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1"/>
        <w:tblW w:w="9276" w:type="dxa"/>
        <w:tblInd w:w="-2" w:type="dxa"/>
        <w:tblBorders>
          <w:top w:val="single" w:color="FF0000" w:sz="2" w:space="0"/>
          <w:left w:val="none" w:color="auto" w:sz="0" w:space="0"/>
          <w:bottom w:val="single" w:color="FF0000" w:sz="4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0"/>
        <w:gridCol w:w="8959"/>
        <w:gridCol w:w="237"/>
      </w:tblGrid>
      <w:tr>
        <w:tblPrEx>
          <w:tblBorders>
            <w:top w:val="single" w:color="FF0000" w:sz="2" w:space="0"/>
            <w:left w:val="none" w:color="auto" w:sz="0" w:space="0"/>
            <w:bottom w:val="single" w:color="FF0000" w:sz="4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80" w:type="dxa"/>
          <w:wAfter w:w="237" w:type="dxa"/>
          <w:trHeight w:val="306" w:hRule="atLeast"/>
        </w:trPr>
        <w:tc>
          <w:tcPr>
            <w:tcW w:w="8959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spacing w:line="440" w:lineRule="exact"/>
              <w:rPr>
                <w:rFonts w:hint="eastAsia" w:ascii="方正姚体" w:eastAsia="方正姚体"/>
                <w:color w:val="FF0000"/>
                <w:w w:val="80"/>
                <w:szCs w:val="21"/>
              </w:rPr>
            </w:pPr>
          </w:p>
        </w:tc>
      </w:tr>
      <w:tr>
        <w:tblPrEx>
          <w:tblBorders>
            <w:top w:val="single" w:color="FF0000" w:sz="2" w:space="0"/>
            <w:left w:val="none" w:color="auto" w:sz="0" w:space="0"/>
            <w:bottom w:val="single" w:color="FF0000" w:sz="4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80" w:type="dxa"/>
          <w:wAfter w:w="237" w:type="dxa"/>
          <w:trHeight w:val="205" w:hRule="atLeast"/>
        </w:trPr>
        <w:tc>
          <w:tcPr>
            <w:tcW w:w="8959" w:type="dxa"/>
            <w:tcBorders>
              <w:top w:val="nil"/>
            </w:tcBorders>
            <w:shd w:val="clear" w:color="auto" w:fill="auto"/>
            <w:noWrap w:val="0"/>
            <w:vAlign w:val="top"/>
          </w:tcPr>
          <w:p>
            <w:pPr>
              <w:spacing w:line="440" w:lineRule="exact"/>
              <w:rPr>
                <w:rFonts w:hint="eastAsia" w:ascii="方正姚体" w:eastAsia="方正姚体"/>
                <w:color w:val="FF0000"/>
                <w:w w:val="80"/>
                <w:sz w:val="32"/>
                <w:szCs w:val="32"/>
              </w:rPr>
            </w:pPr>
          </w:p>
        </w:tc>
      </w:tr>
      <w:tr>
        <w:tblPrEx>
          <w:tblBorders>
            <w:top w:val="single" w:color="FF0000" w:sz="2" w:space="0"/>
            <w:left w:val="none" w:color="auto" w:sz="0" w:space="0"/>
            <w:bottom w:val="single" w:color="FF0000" w:sz="4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276" w:type="dxa"/>
            <w:gridSpan w:val="3"/>
            <w:shd w:val="clear" w:color="auto" w:fill="auto"/>
            <w:noWrap w:val="0"/>
            <w:vAlign w:val="top"/>
          </w:tcPr>
          <w:p>
            <w:pPr>
              <w:ind w:right="61" w:rightChars="29"/>
              <w:jc w:val="distribute"/>
              <w:rPr>
                <w:rFonts w:hint="eastAsia" w:ascii="方正姚体" w:eastAsia="方正姚体"/>
                <w:color w:val="FF0000"/>
                <w:spacing w:val="-40"/>
                <w:w w:val="64"/>
                <w:sz w:val="120"/>
                <w:szCs w:val="120"/>
              </w:rPr>
            </w:pPr>
            <w:r>
              <w:rPr>
                <w:rFonts w:hint="eastAsia" w:ascii="方正小标宋_GBK" w:hAnsi="方正小标宋_GBK" w:eastAsia="方正小标宋_GBK" w:cs="方正小标宋_GBK"/>
                <w:color w:val="FF0000"/>
                <w:spacing w:val="-40"/>
                <w:w w:val="50"/>
                <w:sz w:val="120"/>
                <w:szCs w:val="120"/>
              </w:rPr>
              <w:t>苏州工业园区规划建设委员会文件</w:t>
            </w:r>
          </w:p>
        </w:tc>
      </w:tr>
      <w:tr>
        <w:tblPrEx>
          <w:tblBorders>
            <w:top w:val="single" w:color="FF0000" w:sz="2" w:space="0"/>
            <w:left w:val="none" w:color="auto" w:sz="0" w:space="0"/>
            <w:bottom w:val="single" w:color="FF0000" w:sz="4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80" w:type="dxa"/>
          <w:wAfter w:w="237" w:type="dxa"/>
        </w:trPr>
        <w:tc>
          <w:tcPr>
            <w:tcW w:w="8959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spacing w:line="560" w:lineRule="atLeast"/>
              <w:rPr>
                <w:rFonts w:hint="eastAsia" w:ascii="仿宋_GB2312" w:eastAsia="仿宋_GB2312"/>
                <w:color w:val="FF0000"/>
                <w:w w:val="80"/>
                <w:sz w:val="32"/>
                <w:szCs w:val="32"/>
              </w:rPr>
            </w:pPr>
          </w:p>
        </w:tc>
      </w:tr>
      <w:tr>
        <w:tblPrEx>
          <w:tblBorders>
            <w:top w:val="single" w:color="FF0000" w:sz="2" w:space="0"/>
            <w:left w:val="none" w:color="auto" w:sz="0" w:space="0"/>
            <w:bottom w:val="single" w:color="FF0000" w:sz="4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80" w:type="dxa"/>
          <w:wAfter w:w="237" w:type="dxa"/>
        </w:trPr>
        <w:tc>
          <w:tcPr>
            <w:tcW w:w="8959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spacing w:line="560" w:lineRule="atLeast"/>
              <w:rPr>
                <w:rFonts w:hint="eastAsia" w:ascii="仿宋_GB2312" w:eastAsia="仿宋_GB2312"/>
                <w:color w:val="FF0000"/>
                <w:w w:val="80"/>
                <w:sz w:val="32"/>
                <w:szCs w:val="32"/>
              </w:rPr>
            </w:pPr>
          </w:p>
        </w:tc>
      </w:tr>
      <w:tr>
        <w:tblPrEx>
          <w:tblBorders>
            <w:top w:val="single" w:color="FF0000" w:sz="2" w:space="0"/>
            <w:left w:val="none" w:color="auto" w:sz="0" w:space="0"/>
            <w:bottom w:val="single" w:color="FF0000" w:sz="4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80" w:type="dxa"/>
          <w:wAfter w:w="237" w:type="dxa"/>
        </w:trPr>
        <w:tc>
          <w:tcPr>
            <w:tcW w:w="8959" w:type="dxa"/>
            <w:tcBorders>
              <w:top w:val="nil"/>
              <w:bottom w:val="single" w:color="FF0000" w:sz="18" w:space="0"/>
            </w:tcBorders>
            <w:shd w:val="clear" w:color="auto" w:fill="auto"/>
            <w:noWrap w:val="0"/>
            <w:vAlign w:val="top"/>
          </w:tcPr>
          <w:p>
            <w:pPr>
              <w:spacing w:after="156" w:afterLines="50" w:line="560" w:lineRule="atLeast"/>
              <w:jc w:val="center"/>
              <w:rPr>
                <w:rFonts w:hint="default" w:eastAsia="仿宋_GB2312"/>
                <w:sz w:val="32"/>
                <w:szCs w:val="32"/>
              </w:rPr>
            </w:pPr>
            <w:bookmarkStart w:id="0" w:name="文号"/>
            <w:r>
              <w:rPr>
                <w:rFonts w:hint="default" w:eastAsia="仿宋_GB2312"/>
                <w:sz w:val="32"/>
                <w:szCs w:val="32"/>
              </w:rPr>
              <w:t>苏园规建〔2024〕131号</w:t>
            </w:r>
            <w:bookmarkEnd w:id="0"/>
          </w:p>
        </w:tc>
      </w:tr>
    </w:tbl>
    <w:p>
      <w:pPr>
        <w:rPr>
          <w:rFonts w:hint="eastAsia" w:ascii="仿宋_GB2312" w:eastAsia="仿宋_GB2312"/>
          <w:sz w:val="32"/>
          <w:szCs w:val="32"/>
        </w:rPr>
      </w:pPr>
    </w:p>
    <w:p>
      <w:pPr>
        <w:rPr>
          <w:rFonts w:hint="eastAsia" w:ascii="仿宋_GB2312" w:eastAsia="仿宋_GB2312"/>
          <w:sz w:val="32"/>
          <w:szCs w:val="32"/>
        </w:rPr>
      </w:pPr>
    </w:p>
    <w:p>
      <w:pPr>
        <w:pStyle w:val="2"/>
        <w:rPr>
          <w:rFonts w:hint="eastAsia" w:ascii="方正小标宋简体" w:hAnsi="方正小标宋简体" w:eastAsia="方正小标宋简体"/>
          <w:bCs w:val="0"/>
          <w:color w:val="000000"/>
        </w:rPr>
      </w:pPr>
      <w:bookmarkStart w:id="1" w:name="OLE_LINK4"/>
      <w:bookmarkStart w:id="2" w:name="正文"/>
      <w:bookmarkStart w:id="3" w:name="Content"/>
      <w:r>
        <w:rPr>
          <w:rFonts w:hint="eastAsia" w:ascii="方正小标宋简体" w:hAnsi="方正小标宋简体" w:eastAsia="方正小标宋简体"/>
          <w:bCs w:val="0"/>
          <w:color w:val="000000"/>
        </w:rPr>
        <w:t>园区规划建设委员会关于202</w:t>
      </w:r>
      <w:r>
        <w:rPr>
          <w:rFonts w:ascii="方正小标宋简体" w:hAnsi="方正小标宋简体" w:eastAsia="方正小标宋简体"/>
          <w:bCs w:val="0"/>
          <w:color w:val="000000"/>
        </w:rPr>
        <w:t>4</w:t>
      </w:r>
      <w:r>
        <w:rPr>
          <w:rFonts w:hint="eastAsia" w:ascii="方正小标宋简体" w:hAnsi="方正小标宋简体" w:eastAsia="方正小标宋简体"/>
          <w:bCs w:val="0"/>
          <w:color w:val="000000"/>
        </w:rPr>
        <w:t>年4月份园区</w:t>
      </w:r>
    </w:p>
    <w:p>
      <w:pPr>
        <w:pStyle w:val="2"/>
        <w:rPr>
          <w:rFonts w:ascii="方正小标宋简体" w:hAnsi="方正小标宋简体" w:eastAsia="方正小标宋简体"/>
          <w:bCs w:val="0"/>
          <w:color w:val="000000"/>
        </w:rPr>
      </w:pPr>
      <w:bookmarkStart w:id="7" w:name="_GoBack"/>
      <w:bookmarkEnd w:id="7"/>
      <w:r>
        <w:rPr>
          <w:rFonts w:hint="eastAsia" w:ascii="方正小标宋简体" w:hAnsi="方正小标宋简体" w:eastAsia="方正小标宋简体"/>
          <w:bCs w:val="0"/>
          <w:color w:val="000000"/>
        </w:rPr>
        <w:t>建设工程质量、安全文明、市场行为综合</w:t>
      </w:r>
    </w:p>
    <w:p>
      <w:pPr>
        <w:pStyle w:val="2"/>
        <w:rPr>
          <w:rFonts w:ascii="方正小标宋简体" w:hAnsi="方正小标宋简体" w:eastAsia="方正小标宋简体"/>
          <w:bCs w:val="0"/>
          <w:color w:val="000000"/>
        </w:rPr>
      </w:pPr>
      <w:r>
        <w:rPr>
          <w:rFonts w:hint="eastAsia" w:ascii="方正小标宋简体" w:hAnsi="方正小标宋简体" w:eastAsia="方正小标宋简体"/>
          <w:bCs w:val="0"/>
          <w:color w:val="000000"/>
        </w:rPr>
        <w:t>检查暨高处作业专项整治检查通报</w:t>
      </w:r>
    </w:p>
    <w:p/>
    <w:p>
      <w:pPr>
        <w:pStyle w:val="61"/>
        <w:spacing w:before="0" w:beforeAutospacing="0" w:after="0" w:afterAutospacing="0" w:line="580" w:lineRule="exact"/>
        <w:jc w:val="both"/>
        <w:rPr>
          <w:rFonts w:ascii="仿宋_GB2312" w:hAnsi="仿宋_GB2312" w:eastAsia="仿宋_GB2312" w:cs="仿宋_GB2312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各相关单位：</w:t>
      </w:r>
    </w:p>
    <w:p>
      <w:pPr>
        <w:pStyle w:val="61"/>
        <w:spacing w:before="0" w:beforeAutospacing="0" w:after="0" w:afterAutospacing="0" w:line="580" w:lineRule="exact"/>
        <w:ind w:firstLine="640"/>
        <w:rPr>
          <w:rFonts w:ascii="仿宋_GB2312" w:hAnsi="仿宋_GB2312" w:eastAsia="仿宋_GB2312" w:cs="仿宋_GB2312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为进一步加强园区建设工程质量、安全生产、文明施工和市场行为管理，贯彻落实《关于印发〈市住房城乡建设局安全生产治本攻坚三年行动方案（2024-20</w:t>
      </w:r>
      <w:r>
        <w:rPr>
          <w:rFonts w:ascii="仿宋_GB2312" w:hAnsi="仿宋_GB2312" w:eastAsia="仿宋_GB2312" w:cs="仿宋_GB2312"/>
          <w:kern w:val="2"/>
          <w:sz w:val="32"/>
          <w:szCs w:val="32"/>
        </w:rPr>
        <w:t>26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年）〉的通知》（局安全办〔202</w:t>
      </w:r>
      <w:r>
        <w:rPr>
          <w:rFonts w:ascii="仿宋_GB2312" w:hAnsi="仿宋_GB2312" w:eastAsia="仿宋_GB2312" w:cs="仿宋_GB2312"/>
          <w:kern w:val="2"/>
          <w:sz w:val="32"/>
          <w:szCs w:val="32"/>
        </w:rPr>
        <w:t>4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〕</w:t>
      </w:r>
      <w:r>
        <w:rPr>
          <w:rFonts w:ascii="仿宋_GB2312" w:hAnsi="仿宋_GB2312" w:eastAsia="仿宋_GB2312" w:cs="仿宋_GB2312"/>
          <w:kern w:val="2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号）、《关于印发〈苏州市住房城乡建设领域安全生产“六化”工作实施方案〉的通知》（苏建筑安全委办〔202</w:t>
      </w:r>
      <w:r>
        <w:rPr>
          <w:rFonts w:ascii="仿宋_GB2312" w:hAnsi="仿宋_GB2312" w:eastAsia="仿宋_GB2312" w:cs="仿宋_GB2312"/>
          <w:kern w:val="2"/>
          <w:sz w:val="32"/>
          <w:szCs w:val="32"/>
        </w:rPr>
        <w:t>4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〕4号）等文件精神，园区规划建设委员会于202</w:t>
      </w:r>
      <w:r>
        <w:rPr>
          <w:rFonts w:ascii="仿宋_GB2312" w:hAnsi="仿宋_GB2312" w:eastAsia="仿宋_GB2312" w:cs="仿宋_GB2312"/>
          <w:kern w:val="2"/>
          <w:sz w:val="32"/>
          <w:szCs w:val="32"/>
        </w:rPr>
        <w:t>4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年</w:t>
      </w:r>
      <w:r>
        <w:rPr>
          <w:rFonts w:ascii="仿宋_GB2312" w:hAnsi="仿宋_GB2312" w:eastAsia="仿宋_GB2312" w:cs="仿宋_GB2312"/>
          <w:kern w:val="2"/>
          <w:sz w:val="32"/>
          <w:szCs w:val="32"/>
        </w:rPr>
        <w:t>4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月</w:t>
      </w:r>
      <w:r>
        <w:rPr>
          <w:rFonts w:ascii="仿宋_GB2312" w:hAnsi="仿宋_GB2312" w:eastAsia="仿宋_GB2312" w:cs="仿宋_GB2312"/>
          <w:kern w:val="2"/>
          <w:sz w:val="32"/>
          <w:szCs w:val="32"/>
        </w:rPr>
        <w:t>11日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组织开展2</w:t>
      </w:r>
      <w:r>
        <w:rPr>
          <w:rFonts w:ascii="仿宋_GB2312" w:hAnsi="仿宋_GB2312" w:eastAsia="仿宋_GB2312" w:cs="仿宋_GB2312"/>
          <w:kern w:val="2"/>
          <w:sz w:val="32"/>
          <w:szCs w:val="32"/>
        </w:rPr>
        <w:t>024年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4月份园区建设工程质量、安全文明、市场行为综合检查暨高处作业专项整治行动。本次大检查按照省、市及园区相关要求，随机抽取检查项目，采取“四不两直”的形式，较全面检查了项目的质量管理、安全文明施工、监理行为和市场行为管理，现将检查情况通报如下：</w:t>
      </w:r>
    </w:p>
    <w:p>
      <w:pPr>
        <w:spacing w:line="580" w:lineRule="exact"/>
        <w:ind w:firstLine="640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一、检查概况</w:t>
      </w:r>
    </w:p>
    <w:p>
      <w:pPr>
        <w:autoSpaceDE w:val="0"/>
        <w:autoSpaceDN w:val="0"/>
        <w:spacing w:line="580" w:lineRule="exact"/>
        <w:ind w:firstLine="64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本次综合检查共抽查在建工程项目2</w:t>
      </w:r>
      <w:r>
        <w:rPr>
          <w:rFonts w:ascii="仿宋_GB2312" w:hAnsi="仿宋_GB2312" w:eastAsia="仿宋_GB2312" w:cs="仿宋_GB2312"/>
          <w:sz w:val="32"/>
          <w:szCs w:val="32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</w:rPr>
        <w:t>个，其中住宅建筑</w:t>
      </w:r>
      <w:r>
        <w:rPr>
          <w:rFonts w:ascii="仿宋_GB2312" w:hAnsi="仿宋_GB2312" w:eastAsia="仿宋_GB2312" w:cs="仿宋_GB2312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项，工业建筑9项，公共建筑</w:t>
      </w:r>
      <w:r>
        <w:rPr>
          <w:rFonts w:ascii="仿宋_GB2312" w:hAnsi="仿宋_GB2312" w:eastAsia="仿宋_GB2312" w:cs="仿宋_GB2312"/>
          <w:sz w:val="32"/>
          <w:szCs w:val="32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项，市政基础设施</w:t>
      </w:r>
      <w:r>
        <w:rPr>
          <w:rFonts w:ascii="仿宋_GB2312" w:hAnsi="仿宋_GB2312" w:eastAsia="仿宋_GB2312" w:cs="仿宋_GB2312"/>
          <w:sz w:val="32"/>
          <w:szCs w:val="32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项，总建筑面积1</w:t>
      </w:r>
      <w:r>
        <w:rPr>
          <w:rFonts w:ascii="仿宋_GB2312" w:hAnsi="仿宋_GB2312" w:eastAsia="仿宋_GB2312" w:cs="仿宋_GB2312"/>
          <w:sz w:val="32"/>
          <w:szCs w:val="32"/>
        </w:rPr>
        <w:t>92.04</w:t>
      </w:r>
      <w:r>
        <w:rPr>
          <w:rFonts w:hint="eastAsia" w:ascii="仿宋_GB2312" w:hAnsi="仿宋_GB2312" w:eastAsia="仿宋_GB2312" w:cs="仿宋_GB2312"/>
          <w:sz w:val="32"/>
          <w:szCs w:val="32"/>
        </w:rPr>
        <w:t>万平方米。开具建设工程施工安全隐患限期整改通知书</w:t>
      </w:r>
      <w:r>
        <w:rPr>
          <w:rFonts w:ascii="仿宋_GB2312" w:hAnsi="仿宋_GB2312" w:eastAsia="仿宋_GB2312" w:cs="仿宋_GB2312"/>
          <w:sz w:val="32"/>
          <w:szCs w:val="32"/>
        </w:rPr>
        <w:t>20</w:t>
      </w:r>
      <w:r>
        <w:rPr>
          <w:rFonts w:hint="eastAsia" w:ascii="仿宋_GB2312" w:hAnsi="仿宋_GB2312" w:eastAsia="仿宋_GB2312" w:cs="仿宋_GB2312"/>
          <w:sz w:val="32"/>
          <w:szCs w:val="32"/>
        </w:rPr>
        <w:t>份。</w:t>
      </w:r>
    </w:p>
    <w:p>
      <w:pPr>
        <w:autoSpaceDE w:val="0"/>
        <w:autoSpaceDN w:val="0"/>
        <w:spacing w:line="580" w:lineRule="exact"/>
        <w:ind w:firstLine="64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从本次检查情况看，大部分项目能按照各项规定的要求，积极开展各类整治治理活动，坚持不懈地抓好、抓实质量、安全文明生产工作，</w:t>
      </w:r>
      <w:r>
        <w:rPr>
          <w:rFonts w:ascii="仿宋_GB2312" w:hAnsi="仿宋_GB2312" w:eastAsia="仿宋_GB2312"/>
          <w:color w:val="000000"/>
          <w:sz w:val="32"/>
          <w:szCs w:val="32"/>
        </w:rPr>
        <w:t>监理行为</w:t>
      </w:r>
      <w:r>
        <w:rPr>
          <w:rFonts w:hint="eastAsia" w:ascii="仿宋_GB2312" w:hAnsi="仿宋_GB2312" w:eastAsia="仿宋_GB2312"/>
          <w:color w:val="000000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市场行为管理基本有序，管理体系和措施较为到位，但尚有部分工地的管理存在一定问题和缺陷。</w:t>
      </w:r>
    </w:p>
    <w:p>
      <w:pPr>
        <w:spacing w:line="580" w:lineRule="exact"/>
        <w:ind w:firstLine="640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二、</w:t>
      </w:r>
      <w:bookmarkStart w:id="4" w:name="OLE_LINK1"/>
      <w:bookmarkStart w:id="5" w:name="OLE_LINK2"/>
      <w:r>
        <w:rPr>
          <w:rFonts w:hint="eastAsia" w:ascii="黑体" w:hAnsi="黑体" w:eastAsia="黑体" w:cs="仿宋_GB2312"/>
          <w:sz w:val="32"/>
          <w:szCs w:val="32"/>
        </w:rPr>
        <w:t>存在问题</w:t>
      </w:r>
      <w:bookmarkEnd w:id="4"/>
      <w:bookmarkEnd w:id="5"/>
    </w:p>
    <w:p>
      <w:pPr>
        <w:autoSpaceDE w:val="0"/>
        <w:autoSpaceDN w:val="0"/>
        <w:spacing w:line="580" w:lineRule="exact"/>
        <w:ind w:firstLine="643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质量管理。一是</w:t>
      </w:r>
      <w:r>
        <w:rPr>
          <w:rFonts w:hint="eastAsia" w:ascii="仿宋_GB2312" w:hAnsi="仿宋_GB2312" w:eastAsia="仿宋_GB2312" w:cs="仿宋_GB2312"/>
          <w:sz w:val="32"/>
          <w:szCs w:val="32"/>
        </w:rPr>
        <w:t>现场实体方面，部分项目钢筋骨架固定点不足，钢筋间距不均匀，梁柱节点加密区箍筋数量不足，箍筋起步距离过大，模板定位筋焊于主筋上，柱筋防雷焊接未清理焊渣，构造柱主筋绑扎搭接不规范，后浇带部分钢筋锈蚀且未见防护措施，梁底模板垃圾未及时清理，混凝土柱、梁、剪力墙局部烂根、涨模、漏浆、麻面、露筋、收缩裂缝较大、平整度稍差，同条件养护混凝土试块未放置在相应部位，地下室防水保护层挤塑板脱落、顶板局部裂缝渗漏，钢结构焊缝防锈不到位，岩棉板未铺贴到位，不同基层交界处钢丝网粘贴长度不足，管线槽粉刷前未设网格布，内墙粉刷观感差等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二是</w:t>
      </w:r>
      <w:r>
        <w:rPr>
          <w:rFonts w:hint="eastAsia" w:ascii="仿宋_GB2312" w:hAnsi="仿宋_GB2312" w:eastAsia="仿宋_GB2312" w:cs="仿宋_GB2312"/>
          <w:sz w:val="32"/>
          <w:szCs w:val="32"/>
        </w:rPr>
        <w:t>人员及文件资料管理方面，部分项目质量员、施工员等管理人员未配置或配置数量不足，审图意见书意见及回复缺失，现场规范、标准规程配备不齐，部分质量管理制度未见，部分施工方案引用规范已过期未及时更新，图纸会审资料未见，分部分项验收记录未见验收意见，检验批验收滞后、记录不规范，轴线标高复测记录未见，见证取样台账记录内容不全，未见混凝土试块委托养护协议，沉降观测记录未见，混凝土坍落度现场检查资料不规范，部分材料进场报验资料不齐全，未申报或未落实优质工程，未见QC、工法和专利等。</w:t>
      </w:r>
    </w:p>
    <w:p>
      <w:pPr>
        <w:autoSpaceDE w:val="0"/>
        <w:autoSpaceDN w:val="0"/>
        <w:spacing w:line="580" w:lineRule="exact"/>
        <w:ind w:firstLine="643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2</w:t>
      </w:r>
      <w:r>
        <w:rPr>
          <w:rFonts w:ascii="仿宋_GB2312" w:hAnsi="仿宋_GB2312" w:eastAsia="仿宋_GB2312" w:cs="仿宋_GB2312"/>
          <w:b/>
          <w:bCs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安全文明管理。一是</w:t>
      </w:r>
      <w:r>
        <w:rPr>
          <w:rFonts w:hint="eastAsia" w:ascii="仿宋_GB2312" w:hAnsi="仿宋_GB2312" w:eastAsia="仿宋_GB2312" w:cs="仿宋_GB2312"/>
          <w:sz w:val="32"/>
          <w:szCs w:val="32"/>
        </w:rPr>
        <w:t>现场实体方面，部分项目临边洞口处防护不到位、防护栏杆高度不足，伸缩缝两侧未设置立面防护，高处作业生命线张挂不紧，基坑护坡未及时喷射细石混凝土，施工现场主要通道处于坠落半径内防护措施不到位，脚手架架体基础未硬化、水平杆缺失、连墙件设置不规范、斜撑根部焊接不到位，后浇带模板支撑局部被拆除，个别作业人员未佩带安全带，临时电缆铺设未绝缘架空，部分电缆拖拉在积水中，配电箱漏电保护器参数错误，分配电箱缺少干粉灭火器，小型机具末端开关箱未设置，钢筋加工区机械保护零线未贯通，现场疏散标志、应急照明缺失，生活区未采取限电措施，升降电梯层门底部间隙过大，履带吊操作手柄绑扎无效、拉杆保险挡块脱焊，塔吊基础积水、标准节爬梯固定撑杆损坏、吊钩下降跳电、操作台缺固定螺栓、制动器刹车未固定、变幅钢丝绳端部绳卡固定间距偏大等。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二是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人员及文件资料管理方面，部分项目危大工程资料不齐，安全技术交底缺乏针对性，晨会记录缺失，基坑临边防护、临时用电、消防设施、脚手架、生活区板房验收记录不完善，分配电箱漏电试跳记录不齐全，项目经理带班检查记录未见，企业定期检查记录未见，部分人员三级教育学时不符合要求，安全日志记录内容不齐全等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三是</w:t>
      </w:r>
      <w:r>
        <w:rPr>
          <w:rFonts w:hint="eastAsia" w:ascii="仿宋_GB2312" w:hAnsi="仿宋_GB2312" w:eastAsia="仿宋_GB2312" w:cs="仿宋_GB2312"/>
          <w:sz w:val="32"/>
          <w:szCs w:val="32"/>
        </w:rPr>
        <w:t>文明施工方面，部分项目局部围挡未封闭，局部裸土覆盖不到位，现场道路冲洗不及时，围挡喷淋未定期开启，现场材料堆放乱、垃圾清理不及时。</w:t>
      </w:r>
    </w:p>
    <w:p>
      <w:pPr>
        <w:autoSpaceDE w:val="0"/>
        <w:autoSpaceDN w:val="0"/>
        <w:spacing w:line="580" w:lineRule="exact"/>
        <w:ind w:firstLine="643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b/>
          <w:bCs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监理行为管理。</w:t>
      </w:r>
      <w:r>
        <w:rPr>
          <w:rFonts w:hint="eastAsia" w:ascii="仿宋_GB2312" w:hAnsi="仿宋_GB2312" w:eastAsia="仿宋_GB2312" w:cs="仿宋_GB2312"/>
          <w:sz w:val="32"/>
          <w:szCs w:val="32"/>
        </w:rPr>
        <w:t>部分项目现场监理人员未按规划要求配备，监理人员变更手续不规范，监理人员未带胸牌上岗，监理工作制度流程未上墙，临水、临电、季节性施工、夜间施工、节能专项监理实施细则未见，监理规划、旁站方案针对性差，进场材料见证取样、工序报审不规范，第一次工地例会会议监理交底未做，监理例会会议纪要未见上次会议问题的落实情况，分部、子分部验收记录签字盖章滞后，监理日记内容流于形式、部分问题无闭合记录、验收记录不齐全，旁站记录填写不规范，危大工程巡视记录不齐全等。</w:t>
      </w:r>
    </w:p>
    <w:p>
      <w:pPr>
        <w:widowControl/>
        <w:spacing w:line="580" w:lineRule="exact"/>
        <w:ind w:firstLine="643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4.市场和民工管理。</w:t>
      </w:r>
      <w:r>
        <w:rPr>
          <w:rFonts w:hint="eastAsia" w:ascii="仿宋_GB2312" w:hAnsi="仿宋_GB2312" w:eastAsia="仿宋_GB2312" w:cs="仿宋_GB2312"/>
          <w:sz w:val="32"/>
          <w:szCs w:val="32"/>
        </w:rPr>
        <w:t>市场方面，部分项目存在管理人员不到岗、履职不到位的情况，部分项目承发包台账不全；民工管理方面，部分项目未严格落实《指引》要求，存在用工合同未约定工资，签订合同未录像，合同单价明显低于市场价，用工合同未盖章，花名册与实名制考勤人数不匹配，工资表有代签，应发工资与考勤工资无关联，未见月度结算，工资未按期发放，未公示专户代发记录，未见退场结算手续，未在显著位置设立维权告示牌，未见公示照片、无临时用工考勤台账。</w:t>
      </w:r>
    </w:p>
    <w:p>
      <w:pPr>
        <w:spacing w:line="580" w:lineRule="exact"/>
        <w:ind w:firstLine="640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三、检查通报</w:t>
      </w:r>
    </w:p>
    <w:p>
      <w:pPr>
        <w:autoSpaceDE w:val="0"/>
        <w:autoSpaceDN w:val="0"/>
        <w:spacing w:line="580" w:lineRule="exact"/>
        <w:ind w:firstLine="643"/>
        <w:rPr>
          <w:rFonts w:ascii="楷体_GB2312" w:hAnsi="仿宋_GB2312" w:eastAsia="楷体_GB2312"/>
          <w:sz w:val="32"/>
          <w:szCs w:val="32"/>
        </w:rPr>
      </w:pPr>
      <w:r>
        <w:rPr>
          <w:rFonts w:hint="eastAsia" w:ascii="楷体_GB2312" w:hAnsi="仿宋_GB2312" w:eastAsia="楷体_GB2312"/>
          <w:sz w:val="32"/>
          <w:szCs w:val="32"/>
        </w:rPr>
        <w:t>（一）工程质量安全监督项目</w:t>
      </w:r>
    </w:p>
    <w:p>
      <w:pPr>
        <w:autoSpaceDE w:val="0"/>
        <w:autoSpaceDN w:val="0"/>
        <w:spacing w:line="580" w:lineRule="exact"/>
        <w:ind w:firstLine="640"/>
        <w:rPr>
          <w:rFonts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根据本次专项检查情况，对以下项目的参建单位予以通报：</w:t>
      </w:r>
    </w:p>
    <w:p>
      <w:pPr>
        <w:autoSpaceDE w:val="0"/>
        <w:autoSpaceDN w:val="0"/>
        <w:spacing w:line="580" w:lineRule="exact"/>
        <w:ind w:firstLine="64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1.项目名称：DK20090219地块5#-7#厂房、11#-14#厂房施工总承包（除桩基）</w:t>
      </w:r>
    </w:p>
    <w:p>
      <w:pPr>
        <w:autoSpaceDE w:val="0"/>
        <w:autoSpaceDN w:val="0"/>
        <w:spacing w:line="580" w:lineRule="exact"/>
        <w:ind w:firstLine="64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施工单位：南通市达欣工程股份有限公司</w:t>
      </w:r>
    </w:p>
    <w:p>
      <w:pPr>
        <w:autoSpaceDE w:val="0"/>
        <w:autoSpaceDN w:val="0"/>
        <w:spacing w:line="580" w:lineRule="exact"/>
        <w:ind w:firstLine="64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项目经理：吉顺斌</w:t>
      </w:r>
    </w:p>
    <w:p>
      <w:pPr>
        <w:autoSpaceDE w:val="0"/>
        <w:autoSpaceDN w:val="0"/>
        <w:spacing w:line="580" w:lineRule="exact"/>
        <w:ind w:firstLine="64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监理单位：江苏建达全过程工程咨询有限公司</w:t>
      </w:r>
    </w:p>
    <w:p>
      <w:pPr>
        <w:autoSpaceDE w:val="0"/>
        <w:autoSpaceDN w:val="0"/>
        <w:spacing w:line="580" w:lineRule="exact"/>
        <w:ind w:firstLine="64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总    监：万小康</w:t>
      </w:r>
    </w:p>
    <w:p>
      <w:pPr>
        <w:autoSpaceDE w:val="0"/>
        <w:autoSpaceDN w:val="0"/>
        <w:spacing w:line="580" w:lineRule="exact"/>
        <w:ind w:firstLine="64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主要问题： 焊工赵月阳安全技术交底记录、劳保用品发放记录未见，7#楼7层砌筑内架验收记录不完善、水平杆缺失，悬挑外架底部未封闭、电梯井立面防护门未固定，5#</w:t>
      </w:r>
      <w:r>
        <w:rPr>
          <w:rFonts w:ascii="仿宋_GB2312" w:hAnsi="仿宋_GB2312" w:eastAsia="仿宋_GB2312" w:cs="仿宋_GB2312"/>
          <w:sz w:val="32"/>
          <w:szCs w:val="32"/>
        </w:rPr>
        <w:t>-</w:t>
      </w:r>
      <w:r>
        <w:rPr>
          <w:rFonts w:hint="eastAsia" w:ascii="仿宋_GB2312" w:hAnsi="仿宋_GB2312" w:eastAsia="仿宋_GB2312" w:cs="仿宋_GB2312"/>
          <w:sz w:val="32"/>
          <w:szCs w:val="32"/>
        </w:rPr>
        <w:t>7#楼伸缩缝两侧未设置立面防护</w:t>
      </w:r>
      <w:r>
        <w:rPr>
          <w:rFonts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13#楼塔吊吊钩下降跳电，电气存在故障。</w:t>
      </w:r>
    </w:p>
    <w:p>
      <w:pPr>
        <w:autoSpaceDE w:val="0"/>
        <w:autoSpaceDN w:val="0"/>
        <w:spacing w:line="580" w:lineRule="exact"/>
        <w:ind w:firstLine="64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（二）市场行为和农民工实名制管理项目</w:t>
      </w:r>
    </w:p>
    <w:p>
      <w:pPr>
        <w:autoSpaceDE w:val="0"/>
        <w:autoSpaceDN w:val="0"/>
        <w:spacing w:line="580" w:lineRule="exact"/>
        <w:ind w:firstLine="64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以下项目在市场行为和民工管理方面存在较多突出问题，予以通报，责任单位须于一周内将存在的问题悉数整改到位。</w:t>
      </w:r>
    </w:p>
    <w:bookmarkEnd w:id="1"/>
    <w:p>
      <w:pPr>
        <w:autoSpaceDE w:val="0"/>
        <w:autoSpaceDN w:val="0"/>
        <w:spacing w:line="580" w:lineRule="exact"/>
        <w:ind w:firstLine="64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1.项目名称：DK20090219地块5#-7#厂房、11#-14#厂房施工总承包（除桩基）</w:t>
      </w:r>
    </w:p>
    <w:p>
      <w:pPr>
        <w:autoSpaceDE w:val="0"/>
        <w:autoSpaceDN w:val="0"/>
        <w:spacing w:line="580" w:lineRule="exact"/>
        <w:ind w:firstLine="64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施工单位：南通市达欣工程股份有限公司</w:t>
      </w:r>
    </w:p>
    <w:p>
      <w:pPr>
        <w:autoSpaceDE w:val="0"/>
        <w:autoSpaceDN w:val="0"/>
        <w:spacing w:line="580" w:lineRule="exact"/>
        <w:ind w:firstLine="64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项目经理：吉顺斌</w:t>
      </w:r>
    </w:p>
    <w:p>
      <w:pPr>
        <w:autoSpaceDE w:val="0"/>
        <w:autoSpaceDN w:val="0"/>
        <w:spacing w:line="580" w:lineRule="exact"/>
        <w:ind w:firstLine="64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监理单位：江苏建达全过程工程咨询有限公司</w:t>
      </w:r>
    </w:p>
    <w:p>
      <w:pPr>
        <w:autoSpaceDE w:val="0"/>
        <w:autoSpaceDN w:val="0"/>
        <w:spacing w:line="580" w:lineRule="exact"/>
        <w:ind w:firstLine="64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总    监：万小康</w:t>
      </w:r>
    </w:p>
    <w:p>
      <w:pPr>
        <w:spacing w:line="580" w:lineRule="exact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主要问题：合同约定工资明显低于市场价，较多工人无退场结算台账，工资未足额发放；技术负责人无例会签到，安全员未按合同约定到岗履职，分包单位资质证书和安全许可证未见，劳务分包支付凭证未见，钢筋合同与支付凭证未见。</w:t>
      </w:r>
    </w:p>
    <w:p>
      <w:pPr>
        <w:spacing w:line="580" w:lineRule="exact"/>
        <w:ind w:firstLine="640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四、下一步工作要求</w:t>
      </w:r>
    </w:p>
    <w:p>
      <w:pPr>
        <w:spacing w:line="580" w:lineRule="exact"/>
        <w:ind w:firstLine="643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1.全面落实整改检查中发现的问题。</w:t>
      </w:r>
      <w:r>
        <w:rPr>
          <w:rFonts w:hint="eastAsia" w:ascii="仿宋_GB2312" w:hAnsi="仿宋_GB2312" w:eastAsia="仿宋_GB2312" w:cs="仿宋_GB2312"/>
          <w:sz w:val="32"/>
          <w:szCs w:val="32"/>
        </w:rPr>
        <w:t>各项目应针对本次大检查暴露出的问题，举一反三严格落实各项整改措施。我委将开展严格复查，对在规定期限内仍未完成整改的项目、单位、责任人，联合相关部门进行严肃处罚。各项目应以此次大检查暴露的问题为抓手，针对现场质量安全文明管理的薄弱环节开展全面排查，坚持边查边改、立行立改，做到隐患排查整治见底，重大风险管控到位。</w:t>
      </w:r>
    </w:p>
    <w:p>
      <w:pPr>
        <w:spacing w:line="560" w:lineRule="exact"/>
        <w:ind w:firstLine="643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2</w:t>
      </w:r>
      <w:r>
        <w:rPr>
          <w:rFonts w:ascii="仿宋_GB2312" w:hAnsi="仿宋_GB2312" w:eastAsia="仿宋_GB2312" w:cs="仿宋_GB2312"/>
          <w:b/>
          <w:sz w:val="32"/>
          <w:szCs w:val="32"/>
        </w:rPr>
        <w:t>.持续做好建筑工地环境提升整治工作。</w:t>
      </w:r>
      <w:r>
        <w:rPr>
          <w:rFonts w:ascii="仿宋_GB2312" w:hAnsi="仿宋_GB2312" w:eastAsia="仿宋_GB2312" w:cs="仿宋_GB2312"/>
          <w:sz w:val="32"/>
          <w:szCs w:val="32"/>
        </w:rPr>
        <w:t>各项目应落实</w:t>
      </w:r>
      <w:r>
        <w:rPr>
          <w:rFonts w:hint="eastAsia" w:ascii="仿宋_GB2312" w:hAnsi="仿宋_GB2312" w:eastAsia="仿宋_GB2312" w:cs="仿宋_GB2312"/>
          <w:sz w:val="32"/>
          <w:szCs w:val="32"/>
        </w:rPr>
        <w:t>扬尘污染防治方案、噪声污染防治实施方案、建筑垃圾减量化专项方案的制定与落实，持续强化出土阶段出入口及车辆冲洗工作，督促红线内配套管线（道）工程严格落实防尘降噪措施。拆除工地应及时向对应监管部门进行备案，规范堆放废弃物并在规定时间内清除出场。</w:t>
      </w:r>
    </w:p>
    <w:p>
      <w:pPr>
        <w:spacing w:line="560" w:lineRule="exact"/>
        <w:ind w:firstLine="643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ascii="仿宋_GB2312" w:hAnsi="仿宋_GB2312" w:eastAsia="仿宋_GB2312" w:cs="仿宋_GB2312"/>
          <w:b/>
          <w:bCs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.进一步加强建筑施工高处作业安全防护管理。一是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压紧压实企业主体责任。建设单位应严格履行质量安全首要责任，督促施工、监理单位认真履行高处作业安全管理职责。施工单位应制定预防高处坠落专项施工方案，落实高处作业安全防护措施。监理单位应认真履职尽责，及时督促施工单位消除安全隐患；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二是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不断提升安全防范意识。高处作业人员必须持证上岗，接受安全教育培训、技术交底、安全考核和体检，通过安全事故案例警示、每日晨会制度进一步提高全员安全意识；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三是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强化落实重点环节防高坠措施。加强临边洞口和攀登、悬空作业防护，按照技术规范设置牢固的盖板、防护栏杆、张挂安全网，配置登高和防坠落装置和设施。园区规建委也将开展集中治理，防范遏制各类安全生产事故发生，确保园区建筑施工领域安全生产总体形势平稳可控。</w:t>
      </w:r>
    </w:p>
    <w:p>
      <w:pPr>
        <w:spacing w:line="560" w:lineRule="exact"/>
        <w:ind w:firstLine="643"/>
        <w:rPr>
          <w:rFonts w:hint="eastAsia" w:ascii="仿宋_GB2312" w:hAnsi="仿宋_GB2312" w:eastAsia="仿宋_GB2312" w:cs="仿宋_GB2312"/>
          <w:bCs/>
          <w:sz w:val="32"/>
          <w:szCs w:val="32"/>
        </w:rPr>
      </w:pPr>
    </w:p>
    <w:p>
      <w:pPr>
        <w:spacing w:line="560" w:lineRule="exact"/>
        <w:ind w:firstLine="643"/>
        <w:rPr>
          <w:rFonts w:hint="eastAsia" w:ascii="仿宋_GB2312" w:hAnsi="仿宋_GB2312" w:eastAsia="仿宋_GB2312" w:cs="仿宋_GB2312"/>
          <w:bCs/>
          <w:sz w:val="32"/>
          <w:szCs w:val="32"/>
        </w:rPr>
      </w:pPr>
    </w:p>
    <w:p>
      <w:pPr>
        <w:spacing w:line="580" w:lineRule="exact"/>
        <w:jc w:val="right"/>
        <w:rPr>
          <w:rFonts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苏州工业园区规划建设委员会</w:t>
      </w:r>
      <w:r>
        <w:rPr>
          <w:rFonts w:ascii="仿宋_GB2312" w:hAnsi="仿宋_GB2312" w:eastAsia="仿宋_GB2312" w:cs="仿宋_GB2312"/>
          <w:sz w:val="32"/>
          <w:szCs w:val="32"/>
        </w:rPr>
        <w:t xml:space="preserve">   </w:t>
      </w:r>
    </w:p>
    <w:p>
      <w:pPr>
        <w:spacing w:line="580" w:lineRule="exact"/>
        <w:ind w:right="320" w:firstLine="64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</w:t>
      </w:r>
      <w:r>
        <w:rPr>
          <w:rFonts w:ascii="仿宋_GB2312" w:hAnsi="仿宋_GB2312" w:eastAsia="仿宋_GB2312" w:cs="仿宋_GB2312"/>
          <w:sz w:val="32"/>
          <w:szCs w:val="32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ascii="仿宋_GB2312" w:hAnsi="仿宋_GB2312" w:eastAsia="仿宋_GB2312" w:cs="仿宋_GB2312"/>
          <w:sz w:val="32"/>
          <w:szCs w:val="32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ascii="仿宋_GB2312" w:hAnsi="仿宋_GB2312" w:eastAsia="仿宋_GB2312" w:cs="仿宋_GB2312"/>
          <w:sz w:val="32"/>
          <w:szCs w:val="32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default" w:ascii="仿宋_GB2312" w:hAnsi="仿宋_GB2312" w:eastAsia="仿宋_GB2312" w:cs="仿宋_GB2312"/>
          <w:sz w:val="32"/>
          <w:szCs w:val="32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>
      <w:pPr>
        <w:autoSpaceDE w:val="0"/>
        <w:autoSpaceDN w:val="0"/>
        <w:jc w:val="center"/>
        <w:rPr>
          <w:rFonts w:ascii="仿宋_GB2312" w:hAnsi="仿宋_GB2312" w:eastAsia="仿宋_GB2312" w:cs="仿宋_GB231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br w:type="page"/>
      </w:r>
    </w:p>
    <w:p>
      <w:pPr>
        <w:autoSpaceDE w:val="0"/>
        <w:autoSpaceDN w:val="0"/>
        <w:jc w:val="center"/>
        <w:rPr>
          <w:rFonts w:ascii="仿宋_GB2312" w:hAnsi="仿宋_GB2312" w:eastAsia="仿宋_GB2312" w:cs="仿宋_GB2312"/>
          <w:sz w:val="24"/>
          <w:szCs w:val="32"/>
        </w:rPr>
      </w:pPr>
      <w:r>
        <w:rPr>
          <w:rFonts w:hint="eastAsia" w:ascii="仿宋_GB2312" w:hAnsi="仿宋_GB2312" w:eastAsia="仿宋_GB2312" w:cs="仿宋_GB2312"/>
          <w:sz w:val="24"/>
          <w:szCs w:val="32"/>
        </w:rPr>
        <w:t>园区规划建设委员会关于2024年4月份园区建设工程质量、安全文明、市场行为</w:t>
      </w:r>
    </w:p>
    <w:p>
      <w:pPr>
        <w:autoSpaceDE w:val="0"/>
        <w:autoSpaceDN w:val="0"/>
        <w:jc w:val="center"/>
        <w:rPr>
          <w:rFonts w:ascii="仿宋_GB2312" w:hAnsi="仿宋_GB2312" w:eastAsia="仿宋_GB2312" w:cs="仿宋_GB2312"/>
          <w:sz w:val="24"/>
          <w:szCs w:val="32"/>
        </w:rPr>
      </w:pPr>
      <w:r>
        <w:rPr>
          <w:rFonts w:hint="eastAsia" w:ascii="仿宋_GB2312" w:hAnsi="仿宋_GB2312" w:eastAsia="仿宋_GB2312" w:cs="仿宋_GB2312"/>
          <w:sz w:val="24"/>
          <w:szCs w:val="32"/>
        </w:rPr>
        <w:t>综合检查暨高处作业专项整治检查汇总表</w:t>
      </w:r>
    </w:p>
    <w:tbl>
      <w:tblPr>
        <w:tblStyle w:val="11"/>
        <w:tblW w:w="916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7"/>
        <w:gridCol w:w="2156"/>
        <w:gridCol w:w="1276"/>
        <w:gridCol w:w="1275"/>
        <w:gridCol w:w="709"/>
        <w:gridCol w:w="851"/>
        <w:gridCol w:w="667"/>
        <w:gridCol w:w="850"/>
        <w:gridCol w:w="85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5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  <w:t>序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  <w:t>号</w:t>
            </w:r>
          </w:p>
        </w:tc>
        <w:tc>
          <w:tcPr>
            <w:tcW w:w="21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  <w:t>工程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  <w:t>名称</w:t>
            </w: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  <w:t>施工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  <w:t>单位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  <w:t>监理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  <w:t>单位</w:t>
            </w: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  <w:t>质量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  <w:t>得分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  <w:t>安全文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  <w:t>明得分</w:t>
            </w:r>
          </w:p>
        </w:tc>
        <w:tc>
          <w:tcPr>
            <w:tcW w:w="6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  <w:t>监理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  <w:t>得分</w:t>
            </w: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  <w:t>市场行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  <w:t>为得分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  <w:t>民工管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  <w:sz w:val="20"/>
                <w:szCs w:val="20"/>
              </w:rPr>
              <w:t>理得分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  <w:jc w:val="center"/>
        </w:trPr>
        <w:tc>
          <w:tcPr>
            <w:tcW w:w="5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DK20190139地块1#楼、DK20190123地块地库土建工程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中国建筑第八工程局有限公司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浙江江南工程管理股份有限公司</w:t>
            </w: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89.3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88</w:t>
            </w:r>
          </w:p>
        </w:tc>
        <w:tc>
          <w:tcPr>
            <w:tcW w:w="6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90</w:t>
            </w: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61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93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61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70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" w:hRule="atLeast"/>
          <w:jc w:val="center"/>
        </w:trPr>
        <w:tc>
          <w:tcPr>
            <w:tcW w:w="5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15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DK20190119地块2#楼土建工程</w:t>
            </w:r>
          </w:p>
        </w:tc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上海建工一建集团有限公司</w:t>
            </w:r>
          </w:p>
        </w:tc>
        <w:tc>
          <w:tcPr>
            <w:tcW w:w="12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中衡设计集团工程咨询有限公司</w:t>
            </w: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88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87</w:t>
            </w:r>
          </w:p>
        </w:tc>
        <w:tc>
          <w:tcPr>
            <w:tcW w:w="6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93</w:t>
            </w: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68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65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" w:hRule="atLeast"/>
          <w:jc w:val="center"/>
        </w:trPr>
        <w:tc>
          <w:tcPr>
            <w:tcW w:w="5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15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DK20090219地块5#-7#厂房、11#-14#厂房施工总承包（除桩基）</w:t>
            </w:r>
          </w:p>
        </w:tc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南通市达欣工程股份有限公司</w:t>
            </w:r>
          </w:p>
        </w:tc>
        <w:tc>
          <w:tcPr>
            <w:tcW w:w="12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江苏建达全过程工程咨询有限公司</w:t>
            </w: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82.6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87.5</w:t>
            </w:r>
          </w:p>
        </w:tc>
        <w:tc>
          <w:tcPr>
            <w:tcW w:w="6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89</w:t>
            </w: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65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64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  <w:jc w:val="center"/>
        </w:trPr>
        <w:tc>
          <w:tcPr>
            <w:tcW w:w="5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15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跨越沪宁铁路桥涵工程（扬明路下穿铁路立交改造）（至和西路扬富路）</w:t>
            </w:r>
          </w:p>
        </w:tc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江苏雷威建设工程有限公司</w:t>
            </w:r>
          </w:p>
        </w:tc>
        <w:tc>
          <w:tcPr>
            <w:tcW w:w="12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上海华东铁路建设监理有限公司</w:t>
            </w: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85.6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86</w:t>
            </w:r>
          </w:p>
        </w:tc>
        <w:tc>
          <w:tcPr>
            <w:tcW w:w="6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79</w:t>
            </w: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/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ind w:firstLine="200" w:firstLineChars="100"/>
              <w:jc w:val="both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" w:hRule="atLeast"/>
          <w:jc w:val="center"/>
        </w:trPr>
        <w:tc>
          <w:tcPr>
            <w:tcW w:w="5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15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贸易功能区医药配送中心仓储项目（A-1仓库/，A-2仓库/，B-1办公楼/，B-2开闭所/）施工总承包（不含B-1办公楼桩基工程）</w:t>
            </w:r>
          </w:p>
        </w:tc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上海建工四建集团有限公司</w:t>
            </w:r>
          </w:p>
        </w:tc>
        <w:tc>
          <w:tcPr>
            <w:tcW w:w="12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中衡设计集团工程咨询有限公司</w:t>
            </w: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96.7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87</w:t>
            </w:r>
          </w:p>
        </w:tc>
        <w:tc>
          <w:tcPr>
            <w:tcW w:w="6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95</w:t>
            </w: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89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83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1" w:hRule="atLeast"/>
          <w:jc w:val="center"/>
        </w:trPr>
        <w:tc>
          <w:tcPr>
            <w:tcW w:w="527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苏州昆岭薄膜工业有限公司(12A#生产厂房4/，13A#仓库1/，14#门卫3/，15#开闭所/，16#汽车棚/）施工总承包</w:t>
            </w:r>
          </w:p>
        </w:tc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中国电子系统工程第四建设有限公司</w:t>
            </w:r>
          </w:p>
        </w:tc>
        <w:tc>
          <w:tcPr>
            <w:tcW w:w="12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中衡设计集团工程咨询有限公司</w:t>
            </w: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91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85.5</w:t>
            </w:r>
          </w:p>
        </w:tc>
        <w:tc>
          <w:tcPr>
            <w:tcW w:w="667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94</w:t>
            </w: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77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67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1" w:hRule="atLeast"/>
          <w:jc w:val="center"/>
        </w:trPr>
        <w:tc>
          <w:tcPr>
            <w:tcW w:w="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胜浦镇维力医疗（A-4#配套楼，B-1#配套楼，B-2#厂房，B-3#厂房，B-4#厂房，B-5#厂房，B-6#厂房，B-7#厂房，地库2，开闭所2，门卫2）含人防工程施工总承包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苏阳建工集团有限公司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苏州联信工程管理咨询有限公司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93.9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87</w:t>
            </w:r>
          </w:p>
        </w:tc>
        <w:tc>
          <w:tcPr>
            <w:tcW w:w="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91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83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84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  <w:jc w:val="center"/>
        </w:trPr>
        <w:tc>
          <w:tcPr>
            <w:tcW w:w="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DK20230003地块（生产车间、能源中心、化学品库（甲类）、门卫房和非机动车库、开闭所）施工总承包（不含桩基工程）（博世汽车）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中亿丰建设集团股份有限公司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江苏城铭工程项目管理有限公司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95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90</w:t>
            </w:r>
          </w:p>
        </w:tc>
        <w:tc>
          <w:tcPr>
            <w:tcW w:w="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94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86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87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  <w:jc w:val="center"/>
        </w:trPr>
        <w:tc>
          <w:tcPr>
            <w:tcW w:w="527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纳玫格（苏州）科技有限公司（1#研发办公楼，地下车库，生产车间 A，生产车间 B，生产车间 C）含人防工程施工总承包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苏州百明建设有限公司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江苏正建工程管理咨询有限公司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89.3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86</w:t>
            </w:r>
          </w:p>
        </w:tc>
        <w:tc>
          <w:tcPr>
            <w:tcW w:w="667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87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94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94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15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DK20220235地块（1#、3#、5#、6#住宅，2#配套用房、配电房，4#开闭所、垃圾房及地库）施工总承包工程</w:t>
            </w:r>
          </w:p>
        </w:tc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苏州中金江海建设有限公司</w:t>
            </w:r>
          </w:p>
        </w:tc>
        <w:tc>
          <w:tcPr>
            <w:tcW w:w="12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建发合诚工程咨询股份有限公司</w:t>
            </w: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84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87</w:t>
            </w:r>
          </w:p>
        </w:tc>
        <w:tc>
          <w:tcPr>
            <w:tcW w:w="6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85</w:t>
            </w: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85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0" w:hRule="atLeast"/>
          <w:jc w:val="center"/>
        </w:trPr>
        <w:tc>
          <w:tcPr>
            <w:tcW w:w="5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15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苏州工业园区中建财富中心（DK20110118 地块）超高层项目（地下室）桩基工程及基坑支护工程</w:t>
            </w:r>
          </w:p>
        </w:tc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中国建筑西南勘察设计研究院有限公司、江苏建院营造股份有限公司</w:t>
            </w:r>
          </w:p>
        </w:tc>
        <w:tc>
          <w:tcPr>
            <w:tcW w:w="12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北京帕克国际工程咨询股份有限公司</w:t>
            </w: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82.7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87</w:t>
            </w:r>
          </w:p>
        </w:tc>
        <w:tc>
          <w:tcPr>
            <w:tcW w:w="6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85</w:t>
            </w: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/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5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15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中新大道东拓宽改造工程一期一标段</w:t>
            </w:r>
          </w:p>
        </w:tc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江苏亚兴市政工程有限公司</w:t>
            </w:r>
          </w:p>
        </w:tc>
        <w:tc>
          <w:tcPr>
            <w:tcW w:w="12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江苏齐邦建设监理有限公司</w:t>
            </w: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93.3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90</w:t>
            </w:r>
          </w:p>
        </w:tc>
        <w:tc>
          <w:tcPr>
            <w:tcW w:w="6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91</w:t>
            </w: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89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94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6" w:hRule="atLeast"/>
          <w:jc w:val="center"/>
        </w:trPr>
        <w:tc>
          <w:tcPr>
            <w:tcW w:w="527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15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DK20220034地块1-9#，10#物业用房，11#配套用房，M1门卫，P1配电房、开闭所，P2配电房，地库施工总承包</w:t>
            </w:r>
          </w:p>
        </w:tc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中建国际城市建设有限公司</w:t>
            </w:r>
          </w:p>
        </w:tc>
        <w:tc>
          <w:tcPr>
            <w:tcW w:w="12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苏州中润建设管理咨询有限公司</w:t>
            </w: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85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85</w:t>
            </w:r>
          </w:p>
        </w:tc>
        <w:tc>
          <w:tcPr>
            <w:tcW w:w="667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88</w:t>
            </w: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80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82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  <w:jc w:val="center"/>
        </w:trPr>
        <w:tc>
          <w:tcPr>
            <w:tcW w:w="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DK20180240地块项目（医院主体，后勤楼，污水处理，液氧贮罐/汇流排）施工总承包工程（不含桩基及基坑支护）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中建三局上海有限公司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苏州联信工程管理咨询有限公司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89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86</w:t>
            </w:r>
          </w:p>
        </w:tc>
        <w:tc>
          <w:tcPr>
            <w:tcW w:w="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89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78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95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6" w:hRule="atLeast"/>
          <w:jc w:val="center"/>
        </w:trPr>
        <w:tc>
          <w:tcPr>
            <w:tcW w:w="527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西交利物浦大学慧湖药学院（地库，开闭所，药学院）施工总承包工程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苏州二建建筑集团有限公司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中正建设工程管理（苏州）有限公司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94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89</w:t>
            </w:r>
          </w:p>
        </w:tc>
        <w:tc>
          <w:tcPr>
            <w:tcW w:w="667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88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98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95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  <w:jc w:val="center"/>
        </w:trPr>
        <w:tc>
          <w:tcPr>
            <w:tcW w:w="5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15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纬二路道路工程</w:t>
            </w:r>
          </w:p>
        </w:tc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苏州市水城市政园林工程有限公司</w:t>
            </w:r>
          </w:p>
        </w:tc>
        <w:tc>
          <w:tcPr>
            <w:tcW w:w="12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苏州建设监理有限公司</w:t>
            </w: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86</w:t>
            </w:r>
          </w:p>
        </w:tc>
        <w:tc>
          <w:tcPr>
            <w:tcW w:w="6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92</w:t>
            </w: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91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6" w:hRule="atLeast"/>
          <w:jc w:val="center"/>
        </w:trPr>
        <w:tc>
          <w:tcPr>
            <w:tcW w:w="5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15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SXDK20230004地块(1#多层丁类厂房，2#门卫室、餐厅，3#～5#自行车棚，开闭所 ) 施工总承包工程(不包含人防）</w:t>
            </w:r>
          </w:p>
        </w:tc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苏州顺龙建设集团有限公司</w:t>
            </w:r>
          </w:p>
        </w:tc>
        <w:tc>
          <w:tcPr>
            <w:tcW w:w="12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苏州相城建设监理有限公司</w:t>
            </w: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96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89</w:t>
            </w:r>
          </w:p>
        </w:tc>
        <w:tc>
          <w:tcPr>
            <w:tcW w:w="6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91</w:t>
            </w: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91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6" w:hRule="atLeast"/>
          <w:jc w:val="center"/>
        </w:trPr>
        <w:tc>
          <w:tcPr>
            <w:tcW w:w="5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15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SXDK20210011项目（1#~15#楼，P1#楼，非人防地库一，非人防地库二，人防地库）含人防一期施工总承包工程(不含桩基及基坑支护工程）</w:t>
            </w:r>
          </w:p>
        </w:tc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通州建总集团有限公司</w:t>
            </w:r>
          </w:p>
        </w:tc>
        <w:tc>
          <w:tcPr>
            <w:tcW w:w="12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中诚智信工程咨询集团股份有限公司</w:t>
            </w: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89.3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84</w:t>
            </w:r>
          </w:p>
        </w:tc>
        <w:tc>
          <w:tcPr>
            <w:tcW w:w="6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87</w:t>
            </w: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" w:hRule="atLeast"/>
          <w:jc w:val="center"/>
        </w:trPr>
        <w:tc>
          <w:tcPr>
            <w:tcW w:w="527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215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欣苑路（广济北路—苏泾路）建设工程</w:t>
            </w:r>
          </w:p>
        </w:tc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中交一公局集团有限公司</w:t>
            </w:r>
          </w:p>
        </w:tc>
        <w:tc>
          <w:tcPr>
            <w:tcW w:w="12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宁波交通工程咨询监理有限公司</w:t>
            </w:r>
          </w:p>
        </w:tc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88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84</w:t>
            </w:r>
          </w:p>
        </w:tc>
        <w:tc>
          <w:tcPr>
            <w:tcW w:w="667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90</w:t>
            </w: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85</w:t>
            </w:r>
          </w:p>
        </w:tc>
        <w:tc>
          <w:tcPr>
            <w:tcW w:w="851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6" w:hRule="atLeast"/>
          <w:jc w:val="center"/>
        </w:trPr>
        <w:tc>
          <w:tcPr>
            <w:tcW w:w="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SXDK20210015地块(3#污水处理中心/配电房,4#车间/动力中心,5#仓库,6#仓库（甲类）,7#事故水池,8#门卫/消防控制室/监控室,9#门卫/开闭所,11#垃圾房)施工总承包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南通五建控股集团有限公司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苏州东大工程咨询管理有限公司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91.8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85</w:t>
            </w:r>
          </w:p>
        </w:tc>
        <w:tc>
          <w:tcPr>
            <w:tcW w:w="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86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0"/>
                <w:szCs w:val="20"/>
              </w:rPr>
              <w:t>86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1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cs="仿宋_GB2312" w:asciiTheme="minorEastAsia" w:hAnsiTheme="minorEastAsia" w:eastAsiaTheme="minorEastAsia"/>
                <w:color w:val="000000"/>
                <w:sz w:val="20"/>
                <w:szCs w:val="20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sz w:val="20"/>
                <w:szCs w:val="20"/>
              </w:rPr>
              <w:t>72</w:t>
            </w:r>
          </w:p>
        </w:tc>
      </w:tr>
      <w:bookmarkEnd w:id="2"/>
    </w:tbl>
    <w:p>
      <w:pPr>
        <w:rPr>
          <w:vanish/>
        </w:rPr>
      </w:pPr>
    </w:p>
    <w:p>
      <w:pPr>
        <w:ind w:right="1280"/>
        <w:rPr>
          <w:rFonts w:hAnsi="仿宋_GB2312" w:eastAsia="仿宋_GB2312"/>
          <w:sz w:val="32"/>
        </w:rPr>
      </w:pPr>
    </w:p>
    <w:bookmarkEnd w:id="3"/>
    <w:tbl>
      <w:tblPr>
        <w:tblStyle w:val="11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tcBorders>
              <w:bottom w:val="single" w:color="auto" w:sz="8" w:space="0"/>
            </w:tcBorders>
            <w:shd w:val="clear" w:color="auto" w:fill="auto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tcBorders>
              <w:top w:val="single" w:color="auto" w:sz="8" w:space="0"/>
              <w:bottom w:val="single" w:color="auto" w:sz="8" w:space="0"/>
            </w:tcBorders>
            <w:shd w:val="clear" w:color="auto" w:fill="auto"/>
            <w:noWrap w:val="0"/>
            <w:vAlign w:val="top"/>
          </w:tcPr>
          <w:p>
            <w:pPr>
              <w:spacing w:line="400" w:lineRule="exact"/>
              <w:ind w:right="277"/>
              <w:rPr>
                <w:rFonts w:hint="eastAsia" w:eastAsia="仿宋_GB2312"/>
                <w:sz w:val="32"/>
              </w:rPr>
            </w:pPr>
            <w:r>
              <w:rPr>
                <w:rFonts w:hint="eastAsia" w:eastAsia="仿宋_GB2312"/>
                <w:sz w:val="32"/>
                <w:szCs w:val="32"/>
              </w:rPr>
              <w:t xml:space="preserve">苏州工业园区规划建设委员会 </w:t>
            </w:r>
            <w:r>
              <w:rPr>
                <w:rFonts w:eastAsia="仿宋_GB2312"/>
                <w:sz w:val="32"/>
                <w:szCs w:val="32"/>
              </w:rPr>
              <w:t xml:space="preserve">  </w:t>
            </w:r>
            <w:r>
              <w:rPr>
                <w:rFonts w:hint="eastAsia" w:eastAsia="仿宋_GB2312"/>
                <w:sz w:val="32"/>
                <w:szCs w:val="32"/>
              </w:rPr>
              <w:t xml:space="preserve">  </w:t>
            </w:r>
            <w:bookmarkStart w:id="6" w:name="发文日期"/>
            <w:r>
              <w:rPr>
                <w:rFonts w:eastAsia="仿宋_GB2312"/>
                <w:sz w:val="32"/>
                <w:szCs w:val="32"/>
              </w:rPr>
              <w:t>2024年5月10日</w:t>
            </w:r>
            <w:bookmarkEnd w:id="6"/>
            <w:r>
              <w:rPr>
                <w:rFonts w:eastAsia="仿宋_GB2312"/>
                <w:sz w:val="32"/>
                <w:szCs w:val="32"/>
              </w:rPr>
              <w:t>印发</w:t>
            </w:r>
          </w:p>
        </w:tc>
      </w:tr>
    </w:tbl>
    <w:p>
      <w:pPr>
        <w:spacing w:line="400" w:lineRule="exact"/>
        <w:ind w:right="-100"/>
        <w:jc w:val="right"/>
        <w:rPr>
          <w:rFonts w:hint="eastAsia"/>
        </w:rPr>
      </w:pPr>
    </w:p>
    <w:sectPr>
      <w:pgSz w:w="11906" w:h="16838"/>
      <w:pgMar w:top="2098" w:right="1418" w:bottom="1985" w:left="1588" w:header="851" w:footer="1486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 Light">
    <w:altName w:val="华文中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姚体">
    <w:altName w:val="汉仪书宋二KW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dmMjA4MWYyMDFhODQ0ZTc4YTBjMjBkNjljZDA5MmQifQ=="/>
  </w:docVars>
  <w:rsids>
    <w:rsidRoot w:val="004E083C"/>
    <w:rsid w:val="000172CC"/>
    <w:rsid w:val="00035F71"/>
    <w:rsid w:val="001A22DD"/>
    <w:rsid w:val="001A7A0C"/>
    <w:rsid w:val="002C3C1A"/>
    <w:rsid w:val="00412251"/>
    <w:rsid w:val="004460F8"/>
    <w:rsid w:val="004A1403"/>
    <w:rsid w:val="004C23FD"/>
    <w:rsid w:val="005172B1"/>
    <w:rsid w:val="00554A7A"/>
    <w:rsid w:val="006A3AE6"/>
    <w:rsid w:val="006E7776"/>
    <w:rsid w:val="0075114E"/>
    <w:rsid w:val="00853BA6"/>
    <w:rsid w:val="009D4248"/>
    <w:rsid w:val="00A10A7D"/>
    <w:rsid w:val="00A640FC"/>
    <w:rsid w:val="00BC4F17"/>
    <w:rsid w:val="00C45DE6"/>
    <w:rsid w:val="00CB3E6B"/>
    <w:rsid w:val="00D0686B"/>
    <w:rsid w:val="00FB5AEB"/>
    <w:rsid w:val="461352DC"/>
    <w:rsid w:val="476F3BE2"/>
    <w:rsid w:val="BAEDD864"/>
    <w:rsid w:val="FFE7935A"/>
    <w:rsid w:val="FFEE5A9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qFormat="1"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0"/>
    <w:qFormat/>
    <w:uiPriority w:val="0"/>
    <w:pPr>
      <w:spacing w:line="560" w:lineRule="exact"/>
      <w:jc w:val="center"/>
      <w:outlineLvl w:val="0"/>
    </w:pPr>
    <w:rPr>
      <w:rFonts w:ascii="华文中宋" w:hAnsi="华文中宋" w:eastAsia="黑体"/>
      <w:bCs/>
      <w:sz w:val="44"/>
      <w:szCs w:val="44"/>
    </w:rPr>
  </w:style>
  <w:style w:type="character" w:default="1" w:styleId="14">
    <w:name w:val="Default Paragraph Font"/>
    <w:semiHidden/>
    <w:unhideWhenUsed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ocument Map"/>
    <w:basedOn w:val="1"/>
    <w:qFormat/>
    <w:uiPriority w:val="0"/>
    <w:pPr>
      <w:shd w:val="clear" w:color="auto" w:fill="000080"/>
    </w:pPr>
  </w:style>
  <w:style w:type="paragraph" w:styleId="4">
    <w:name w:val="Body Text"/>
    <w:basedOn w:val="1"/>
    <w:qFormat/>
    <w:uiPriority w:val="0"/>
    <w:rPr>
      <w:rFonts w:ascii="宋体" w:hAnsi="宋体"/>
      <w:sz w:val="24"/>
    </w:rPr>
  </w:style>
  <w:style w:type="paragraph" w:styleId="5">
    <w:name w:val="Body Text Indent"/>
    <w:basedOn w:val="1"/>
    <w:uiPriority w:val="0"/>
    <w:pPr>
      <w:spacing w:line="560" w:lineRule="exact"/>
      <w:ind w:firstLine="538" w:firstLineChars="192"/>
    </w:pPr>
    <w:rPr>
      <w:rFonts w:eastAsia="仿宋"/>
      <w:sz w:val="28"/>
    </w:rPr>
  </w:style>
  <w:style w:type="paragraph" w:styleId="6">
    <w:name w:val="Date"/>
    <w:basedOn w:val="1"/>
    <w:next w:val="1"/>
    <w:qFormat/>
    <w:uiPriority w:val="0"/>
    <w:pPr>
      <w:ind w:left="100" w:leftChars="2500"/>
    </w:pPr>
    <w:rPr>
      <w:sz w:val="28"/>
    </w:rPr>
  </w:style>
  <w:style w:type="paragraph" w:styleId="7">
    <w:name w:val="Balloon Text"/>
    <w:basedOn w:val="1"/>
    <w:link w:val="21"/>
    <w:qFormat/>
    <w:uiPriority w:val="0"/>
    <w:rPr>
      <w:sz w:val="18"/>
      <w:szCs w:val="18"/>
    </w:rPr>
  </w:style>
  <w:style w:type="paragraph" w:styleId="8">
    <w:name w:val="footer"/>
    <w:basedOn w:val="1"/>
    <w:link w:val="1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Subtitle"/>
    <w:basedOn w:val="1"/>
    <w:next w:val="1"/>
    <w:link w:val="22"/>
    <w:qFormat/>
    <w:uiPriority w:val="0"/>
    <w:pPr>
      <w:spacing w:line="560" w:lineRule="exact"/>
      <w:ind w:firstLine="200" w:firstLineChars="200"/>
      <w:jc w:val="center"/>
      <w:outlineLvl w:val="1"/>
    </w:pPr>
    <w:rPr>
      <w:rFonts w:ascii="等线 Light" w:hAnsi="等线 Light" w:eastAsia="黑体"/>
      <w:b/>
      <w:bCs/>
      <w:kern w:val="28"/>
      <w:sz w:val="30"/>
      <w:szCs w:val="32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3">
    <w:name w:val="Table Theme"/>
    <w:basedOn w:val="11"/>
    <w:qFormat/>
    <w:uiPriority w:val="0"/>
    <w:pPr>
      <w:widowControl w:val="0"/>
      <w:spacing w:line="560" w:lineRule="exact"/>
      <w:ind w:firstLine="200" w:firstLineChars="20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page number"/>
    <w:qFormat/>
    <w:uiPriority w:val="0"/>
    <w:rPr>
      <w:rFonts w:ascii="Times New Roman" w:hAnsi="Times New Roman" w:eastAsia="宋体" w:cs="Times New Roman"/>
    </w:rPr>
  </w:style>
  <w:style w:type="character" w:styleId="16">
    <w:name w:val="FollowedHyperlink"/>
    <w:unhideWhenUsed/>
    <w:qFormat/>
    <w:uiPriority w:val="99"/>
    <w:rPr>
      <w:rFonts w:ascii="Times New Roman" w:hAnsi="Times New Roman" w:eastAsia="宋体" w:cs="Times New Roman"/>
      <w:color w:val="954F72"/>
      <w:u w:val="single"/>
    </w:rPr>
  </w:style>
  <w:style w:type="character" w:styleId="17">
    <w:name w:val="Hyperlink"/>
    <w:unhideWhenUsed/>
    <w:qFormat/>
    <w:uiPriority w:val="99"/>
    <w:rPr>
      <w:rFonts w:ascii="Times New Roman" w:hAnsi="Times New Roman" w:eastAsia="宋体" w:cs="Times New Roman"/>
      <w:color w:val="0563C1"/>
      <w:u w:val="single"/>
    </w:rPr>
  </w:style>
  <w:style w:type="character" w:customStyle="1" w:styleId="18">
    <w:name w:val="页眉 Char"/>
    <w:link w:val="9"/>
    <w:qFormat/>
    <w:uiPriority w:val="0"/>
    <w:rPr>
      <w:kern w:val="2"/>
      <w:sz w:val="18"/>
      <w:szCs w:val="18"/>
    </w:rPr>
  </w:style>
  <w:style w:type="character" w:customStyle="1" w:styleId="19">
    <w:name w:val="页脚 Char"/>
    <w:link w:val="8"/>
    <w:qFormat/>
    <w:uiPriority w:val="0"/>
    <w:rPr>
      <w:kern w:val="2"/>
      <w:sz w:val="18"/>
      <w:szCs w:val="18"/>
    </w:rPr>
  </w:style>
  <w:style w:type="character" w:customStyle="1" w:styleId="20">
    <w:name w:val="标题 1 Char"/>
    <w:link w:val="2"/>
    <w:uiPriority w:val="0"/>
    <w:rPr>
      <w:rFonts w:ascii="华文中宋" w:hAnsi="华文中宋" w:eastAsia="黑体" w:cs="Times New Roman"/>
      <w:bCs/>
      <w:sz w:val="44"/>
      <w:szCs w:val="44"/>
    </w:rPr>
  </w:style>
  <w:style w:type="character" w:customStyle="1" w:styleId="21">
    <w:name w:val="批注框文本 Char"/>
    <w:link w:val="7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副标题 Char"/>
    <w:link w:val="10"/>
    <w:qFormat/>
    <w:uiPriority w:val="0"/>
    <w:rPr>
      <w:rFonts w:ascii="等线 Light" w:hAnsi="等线 Light" w:eastAsia="黑体" w:cs="Times New Roman"/>
      <w:b/>
      <w:bCs/>
      <w:kern w:val="28"/>
      <w:sz w:val="30"/>
      <w:szCs w:val="32"/>
    </w:rPr>
  </w:style>
  <w:style w:type="paragraph" w:customStyle="1" w:styleId="23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24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5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26">
    <w:name w:val="font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eastAsia="宋体"/>
      <w:color w:val="0D0D0D"/>
      <w:kern w:val="0"/>
      <w:sz w:val="20"/>
      <w:szCs w:val="20"/>
    </w:rPr>
  </w:style>
  <w:style w:type="paragraph" w:customStyle="1" w:styleId="27">
    <w:name w:val="font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color w:val="0D0D0D"/>
      <w:kern w:val="0"/>
      <w:sz w:val="20"/>
      <w:szCs w:val="20"/>
    </w:rPr>
  </w:style>
  <w:style w:type="paragraph" w:customStyle="1" w:styleId="28">
    <w:name w:val="font1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eastAsia="宋体"/>
      <w:kern w:val="0"/>
      <w:sz w:val="20"/>
      <w:szCs w:val="20"/>
    </w:rPr>
  </w:style>
  <w:style w:type="paragraph" w:customStyle="1" w:styleId="29">
    <w:name w:val="xl65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0">
    <w:name w:val="xl66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31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000000"/>
      <w:kern w:val="0"/>
      <w:sz w:val="20"/>
      <w:szCs w:val="20"/>
    </w:rPr>
  </w:style>
  <w:style w:type="paragraph" w:customStyle="1" w:styleId="32">
    <w:name w:val="xl68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000000"/>
      <w:kern w:val="0"/>
      <w:sz w:val="20"/>
      <w:szCs w:val="20"/>
    </w:rPr>
  </w:style>
  <w:style w:type="paragraph" w:customStyle="1" w:styleId="33">
    <w:name w:val="xl69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000000"/>
      <w:kern w:val="0"/>
      <w:sz w:val="20"/>
      <w:szCs w:val="20"/>
    </w:rPr>
  </w:style>
  <w:style w:type="paragraph" w:customStyle="1" w:styleId="34">
    <w:name w:val="xl70"/>
    <w:basedOn w:val="1"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35">
    <w:name w:val="xl71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36">
    <w:name w:val="xl72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37">
    <w:name w:val="xl73"/>
    <w:basedOn w:val="1"/>
    <w:uiPriority w:val="0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8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000000"/>
      <w:kern w:val="0"/>
      <w:sz w:val="20"/>
      <w:szCs w:val="20"/>
    </w:rPr>
  </w:style>
  <w:style w:type="paragraph" w:customStyle="1" w:styleId="39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40">
    <w:name w:val="xl76"/>
    <w:basedOn w:val="1"/>
    <w:uiPriority w:val="0"/>
    <w:pPr>
      <w:widowControl/>
      <w:pBdr>
        <w:top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1">
    <w:name w:val="xl77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000000"/>
      <w:kern w:val="0"/>
      <w:sz w:val="20"/>
      <w:szCs w:val="20"/>
    </w:rPr>
  </w:style>
  <w:style w:type="paragraph" w:customStyle="1" w:styleId="42">
    <w:name w:val="xl78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43">
    <w:name w:val="xl79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000000"/>
      <w:kern w:val="0"/>
      <w:sz w:val="20"/>
      <w:szCs w:val="20"/>
    </w:rPr>
  </w:style>
  <w:style w:type="paragraph" w:customStyle="1" w:styleId="44">
    <w:name w:val="xl80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000000"/>
      <w:kern w:val="0"/>
      <w:sz w:val="20"/>
      <w:szCs w:val="20"/>
    </w:rPr>
  </w:style>
  <w:style w:type="paragraph" w:customStyle="1" w:styleId="45">
    <w:name w:val="xl81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000000"/>
      <w:kern w:val="0"/>
      <w:sz w:val="20"/>
      <w:szCs w:val="20"/>
    </w:rPr>
  </w:style>
  <w:style w:type="paragraph" w:customStyle="1" w:styleId="46">
    <w:name w:val="xl82"/>
    <w:basedOn w:val="1"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47">
    <w:name w:val="xl83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48">
    <w:name w:val="xl84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宋体"/>
      <w:color w:val="0D0D0D"/>
      <w:kern w:val="0"/>
      <w:sz w:val="20"/>
      <w:szCs w:val="20"/>
    </w:rPr>
  </w:style>
  <w:style w:type="paragraph" w:customStyle="1" w:styleId="49">
    <w:name w:val="xl85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0D0D0D"/>
      <w:kern w:val="0"/>
      <w:sz w:val="20"/>
      <w:szCs w:val="20"/>
    </w:rPr>
  </w:style>
  <w:style w:type="paragraph" w:customStyle="1" w:styleId="50">
    <w:name w:val="xl86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000000"/>
      <w:kern w:val="0"/>
      <w:sz w:val="20"/>
      <w:szCs w:val="20"/>
    </w:rPr>
  </w:style>
  <w:style w:type="paragraph" w:customStyle="1" w:styleId="51">
    <w:name w:val="xl87"/>
    <w:basedOn w:val="1"/>
    <w:uiPriority w:val="0"/>
    <w:pPr>
      <w:widowControl/>
      <w:pBdr>
        <w:lef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52">
    <w:name w:val="xl88"/>
    <w:basedOn w:val="1"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53">
    <w:name w:val="xl89"/>
    <w:basedOn w:val="1"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54">
    <w:name w:val="xl90"/>
    <w:basedOn w:val="1"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55">
    <w:name w:val="xl91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000000"/>
      <w:kern w:val="0"/>
      <w:sz w:val="20"/>
      <w:szCs w:val="20"/>
    </w:rPr>
  </w:style>
  <w:style w:type="paragraph" w:customStyle="1" w:styleId="56">
    <w:name w:val="xl92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000000"/>
      <w:kern w:val="0"/>
      <w:sz w:val="20"/>
      <w:szCs w:val="20"/>
    </w:rPr>
  </w:style>
  <w:style w:type="paragraph" w:customStyle="1" w:styleId="57">
    <w:name w:val="xl93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58">
    <w:name w:val="xl94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0"/>
      <w:szCs w:val="20"/>
    </w:rPr>
  </w:style>
  <w:style w:type="character" w:customStyle="1" w:styleId="59">
    <w:name w:val="正文文本_"/>
    <w:basedOn w:val="14"/>
    <w:link w:val="60"/>
    <w:qFormat/>
    <w:uiPriority w:val="0"/>
    <w:rPr>
      <w:rFonts w:ascii="宋体" w:hAnsi="宋体" w:eastAsia="宋体" w:cs="宋体"/>
      <w:kern w:val="0"/>
      <w:sz w:val="30"/>
      <w:szCs w:val="30"/>
      <w:lang w:val="zh-CN" w:bidi="zh-CN"/>
    </w:rPr>
  </w:style>
  <w:style w:type="paragraph" w:customStyle="1" w:styleId="60">
    <w:name w:val="正文文本1"/>
    <w:basedOn w:val="1"/>
    <w:link w:val="59"/>
    <w:qFormat/>
    <w:uiPriority w:val="0"/>
    <w:pPr>
      <w:spacing w:line="439" w:lineRule="auto"/>
      <w:ind w:firstLine="400"/>
      <w:jc w:val="left"/>
    </w:pPr>
    <w:rPr>
      <w:rFonts w:ascii="宋体" w:hAnsi="宋体" w:eastAsia="宋体" w:cs="宋体"/>
      <w:kern w:val="0"/>
      <w:sz w:val="30"/>
      <w:szCs w:val="30"/>
      <w:lang w:val="zh-CN" w:bidi="zh-CN"/>
    </w:rPr>
  </w:style>
  <w:style w:type="paragraph" w:customStyle="1" w:styleId="61">
    <w:name w:val="paragraph"/>
    <w:basedOn w:val="1"/>
    <w:semiHidden/>
    <w:qFormat/>
    <w:uiPriority w:val="0"/>
    <w:pPr>
      <w:widowControl/>
      <w:spacing w:before="100" w:beforeAutospacing="1" w:after="100" w:afterAutospacing="1"/>
      <w:jc w:val="left"/>
    </w:pPr>
    <w:rPr>
      <w:rFonts w:ascii="等线" w:hAnsi="等线" w:eastAsia="等线"/>
      <w:kern w:val="0"/>
      <w:sz w:val="24"/>
    </w:rPr>
  </w:style>
  <w:style w:type="paragraph" w:customStyle="1" w:styleId="62">
    <w:name w:val="p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苏州工业园区管委会</Company>
  <Pages>10</Pages>
  <Words>818</Words>
  <Characters>4669</Characters>
  <Lines>38</Lines>
  <Paragraphs>10</Paragraphs>
  <TotalTime>2723</TotalTime>
  <ScaleCrop>false</ScaleCrop>
  <LinksUpToDate>false</LinksUpToDate>
  <CharactersWithSpaces>5477</CharactersWithSpaces>
  <Application>WPS Office WWO_wpscloud_20230216181815-a7cba4286f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2024-03-14T00:47:00Z</dcterms:created>
  <dc:creator>Huaq</dc:creator>
  <cp:lastModifiedBy>规划建设委员会-浦心宇</cp:lastModifiedBy>
  <cp:lastPrinted>2023-09-29T19:15:00Z</cp:lastPrinted>
  <dcterms:modified xsi:type="dcterms:W3CDTF">2024-05-10T10:56:43Z</dcterms:modified>
  <dc:title>关于收回苏州工业园区教育发展投资公司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398A7EB494414CBD84729E6FC3AA7CEB_13</vt:lpwstr>
  </property>
</Properties>
</file>