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W w:w="9276" w:type="dxa"/>
        <w:tblInd w:w="-2" w:type="dxa"/>
        <w:tblBorders>
          <w:top w:val="single" w:color="FF0000" w:sz="2" w:space="0"/>
          <w:left w:val="none" w:color="auto" w:sz="0" w:space="0"/>
          <w:bottom w:val="single" w:color="FF0000" w:sz="4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0"/>
        <w:gridCol w:w="8959"/>
        <w:gridCol w:w="237"/>
      </w:tblGrid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  <w:trHeight w:val="306" w:hRule="atLeast"/>
        </w:trPr>
        <w:tc>
          <w:tcPr>
            <w:tcW w:w="8959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spacing w:line="440" w:lineRule="exact"/>
              <w:rPr>
                <w:rFonts w:hint="eastAsia" w:ascii="方正姚体" w:eastAsia="方正姚体"/>
                <w:color w:val="FF0000"/>
                <w:w w:val="80"/>
                <w:szCs w:val="21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  <w:trHeight w:val="205" w:hRule="atLeast"/>
        </w:trPr>
        <w:tc>
          <w:tcPr>
            <w:tcW w:w="8959" w:type="dxa"/>
            <w:tcBorders>
              <w:top w:val="nil"/>
            </w:tcBorders>
            <w:shd w:val="clear" w:color="auto" w:fill="auto"/>
            <w:noWrap w:val="0"/>
            <w:vAlign w:val="top"/>
          </w:tcPr>
          <w:p>
            <w:pPr>
              <w:spacing w:line="440" w:lineRule="exact"/>
              <w:rPr>
                <w:rFonts w:hint="eastAsia" w:ascii="方正姚体" w:eastAsia="方正姚体"/>
                <w:color w:val="FF0000"/>
                <w:w w:val="80"/>
                <w:sz w:val="32"/>
                <w:szCs w:val="32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76" w:type="dxa"/>
            <w:gridSpan w:val="3"/>
            <w:shd w:val="clear" w:color="auto" w:fill="auto"/>
            <w:noWrap w:val="0"/>
            <w:vAlign w:val="top"/>
          </w:tcPr>
          <w:p>
            <w:pPr>
              <w:ind w:right="61" w:rightChars="29"/>
              <w:jc w:val="distribute"/>
              <w:rPr>
                <w:rFonts w:hint="eastAsia" w:ascii="方正姚体" w:eastAsia="方正姚体"/>
                <w:color w:val="FF0000"/>
                <w:spacing w:val="-40"/>
                <w:w w:val="64"/>
                <w:sz w:val="120"/>
                <w:szCs w:val="120"/>
              </w:rPr>
            </w:pPr>
            <w:r>
              <w:rPr>
                <w:rFonts w:hint="eastAsia" w:ascii="方正小标宋_GBK" w:hAnsi="方正小标宋_GBK" w:eastAsia="方正小标宋_GBK" w:cs="方正小标宋_GBK"/>
                <w:color w:val="FF0000"/>
                <w:spacing w:val="-40"/>
                <w:w w:val="50"/>
                <w:sz w:val="120"/>
                <w:szCs w:val="120"/>
              </w:rPr>
              <w:t>苏州工业园区规划建设委员会文件</w:t>
            </w: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</w:trPr>
        <w:tc>
          <w:tcPr>
            <w:tcW w:w="8959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spacing w:line="560" w:lineRule="atLeast"/>
              <w:rPr>
                <w:rFonts w:hint="eastAsia" w:ascii="仿宋_GB2312" w:eastAsia="仿宋_GB2312"/>
                <w:color w:val="FF0000"/>
                <w:w w:val="80"/>
                <w:sz w:val="32"/>
                <w:szCs w:val="32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</w:trPr>
        <w:tc>
          <w:tcPr>
            <w:tcW w:w="8959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spacing w:line="560" w:lineRule="atLeast"/>
              <w:rPr>
                <w:rFonts w:hint="eastAsia" w:ascii="仿宋_GB2312" w:eastAsia="仿宋_GB2312"/>
                <w:color w:val="FF0000"/>
                <w:w w:val="80"/>
                <w:sz w:val="32"/>
                <w:szCs w:val="32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</w:trPr>
        <w:tc>
          <w:tcPr>
            <w:tcW w:w="8959" w:type="dxa"/>
            <w:tcBorders>
              <w:top w:val="nil"/>
              <w:bottom w:val="single" w:color="FF0000" w:sz="18" w:space="0"/>
            </w:tcBorders>
            <w:shd w:val="clear" w:color="auto" w:fill="auto"/>
            <w:noWrap w:val="0"/>
            <w:vAlign w:val="top"/>
          </w:tcPr>
          <w:p>
            <w:pPr>
              <w:spacing w:after="156" w:afterLines="50" w:line="560" w:lineRule="atLeast"/>
              <w:jc w:val="center"/>
              <w:rPr>
                <w:rFonts w:hint="default" w:eastAsia="仿宋_GB2312"/>
                <w:sz w:val="32"/>
                <w:szCs w:val="32"/>
              </w:rPr>
            </w:pPr>
            <w:bookmarkStart w:id="0" w:name="文号"/>
            <w:r>
              <w:rPr>
                <w:rFonts w:hint="default" w:eastAsia="仿宋_GB2312"/>
                <w:sz w:val="32"/>
                <w:szCs w:val="32"/>
              </w:rPr>
              <w:t>苏园规建〔2024〕282号</w:t>
            </w:r>
            <w:bookmarkEnd w:id="0"/>
          </w:p>
        </w:tc>
      </w:tr>
    </w:tbl>
    <w:p>
      <w:pPr>
        <w:rPr>
          <w:rFonts w:hint="eastAsia" w:ascii="仿宋_GB2312" w:eastAsia="仿宋_GB2312"/>
          <w:sz w:val="32"/>
          <w:szCs w:val="32"/>
        </w:rPr>
      </w:pPr>
    </w:p>
    <w:p>
      <w:pPr>
        <w:rPr>
          <w:rFonts w:hint="eastAsia" w:ascii="仿宋_GB2312" w:eastAsia="仿宋_GB2312"/>
          <w:sz w:val="32"/>
          <w:szCs w:val="32"/>
        </w:rPr>
      </w:pPr>
    </w:p>
    <w:p>
      <w:pPr>
        <w:pStyle w:val="2"/>
        <w:snapToGrid/>
        <w:spacing w:before="0" w:after="0" w:line="640" w:lineRule="exact"/>
        <w:ind w:left="0" w:right="0"/>
        <w:jc w:val="center"/>
      </w:pPr>
      <w:bookmarkStart w:id="1" w:name="Content"/>
      <w:r>
        <w:rPr>
          <w:rFonts w:ascii="方正小标宋简体" w:hAnsi="方正小标宋简体" w:eastAsia="方正小标宋简体" w:cs="方正小标宋简体"/>
          <w:i w:val="0"/>
          <w:strike w:val="0"/>
          <w:color w:val="000000"/>
          <w:sz w:val="44"/>
          <w:u w:val="none"/>
        </w:rPr>
        <w:t>园区规划建设委员会关于2024年10月园区</w:t>
      </w:r>
    </w:p>
    <w:p>
      <w:pPr>
        <w:pStyle w:val="2"/>
        <w:snapToGrid/>
        <w:spacing w:before="0" w:after="0" w:line="640" w:lineRule="exact"/>
        <w:ind w:left="0" w:right="0"/>
        <w:jc w:val="center"/>
      </w:pPr>
      <w:r>
        <w:rPr>
          <w:rFonts w:ascii="方正小标宋简体" w:hAnsi="方正小标宋简体" w:eastAsia="方正小标宋简体" w:cs="方正小标宋简体"/>
          <w:i w:val="0"/>
          <w:strike w:val="0"/>
          <w:color w:val="000000"/>
          <w:sz w:val="44"/>
          <w:u w:val="none"/>
        </w:rPr>
        <w:t>建筑质量、安全、市场行为综合检查暨文明</w:t>
      </w:r>
    </w:p>
    <w:p>
      <w:pPr>
        <w:pStyle w:val="2"/>
        <w:snapToGrid/>
        <w:spacing w:before="0" w:after="0" w:line="640" w:lineRule="exact"/>
        <w:ind w:left="0" w:right="0"/>
        <w:jc w:val="center"/>
      </w:pPr>
      <w:r>
        <w:rPr>
          <w:rFonts w:ascii="方正小标宋简体" w:hAnsi="方正小标宋简体" w:eastAsia="方正小标宋简体" w:cs="方正小标宋简体"/>
          <w:i w:val="0"/>
          <w:strike w:val="0"/>
          <w:color w:val="000000"/>
          <w:sz w:val="44"/>
          <w:u w:val="none"/>
        </w:rPr>
        <w:t>施工专项检查通报</w:t>
      </w:r>
    </w:p>
    <w:p>
      <w:pPr>
        <w:snapToGrid/>
        <w:spacing w:before="0" w:after="0" w:line="240" w:lineRule="auto"/>
        <w:ind w:left="0" w:right="0"/>
        <w:jc w:val="both"/>
      </w:pPr>
      <w:r>
        <w:rPr>
          <w:rFonts w:ascii="'Times New Roman'" w:hAnsi="'Times New Roman'" w:cs="'Times New Roman'"/>
          <w:i w:val="0"/>
          <w:strike w:val="0"/>
          <w:color w:val="000000"/>
          <w:sz w:val="32"/>
          <w:u w:val="none"/>
        </w:rPr>
        <w:t> </w:t>
      </w:r>
    </w:p>
    <w:p>
      <w:pPr>
        <w:snapToGrid/>
        <w:spacing w:before="0" w:after="0" w:line="540" w:lineRule="exact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各相关单位：</w:t>
      </w:r>
    </w:p>
    <w:p>
      <w:pPr>
        <w:snapToGrid/>
        <w:spacing w:before="0" w:after="0" w:line="540" w:lineRule="exact"/>
        <w:ind w:firstLine="640" w:firstLineChars="200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为进一步加强园区建设工程质量、安全生产、文明施工和市场行为管理，贯彻落实《关于印发〈市住房城乡建设局安全生产治本攻坚三年行动方案（2024-2026年）〉的通知》（局安全办〔2024〕3号）、《关于印发〈苏州市住房城乡建设领域安全生产“六化”工作实施方案〉的通知》（苏建筑安全委办〔2024〕4号）等文件精神，园区规划建设委员会于2024年10月22日组织开展2024年10月园区建筑质量、安全、市场行为综合检查暨文明施工专项检查。本次大检查按照省、市及园区相关要求，随机抽取检查项目，采取“四不两直”的形式，较全面检查了项目的质量管理、安全文明施工、监理行为和市场行为管理，现将检查情况通报如下：</w:t>
      </w:r>
    </w:p>
    <w:p>
      <w:pPr>
        <w:snapToGrid/>
        <w:spacing w:before="0" w:after="0" w:line="540" w:lineRule="exact"/>
        <w:ind w:left="0" w:right="0" w:firstLine="640" w:firstLineChars="200"/>
        <w:jc w:val="both"/>
        <w:outlineLvl w:val="0"/>
      </w:pPr>
      <w:r>
        <w:rPr>
          <w:rFonts w:ascii="黑体" w:hAnsi="黑体" w:eastAsia="黑体" w:cs="黑体"/>
          <w:i w:val="0"/>
          <w:strike w:val="0"/>
          <w:color w:val="000000"/>
          <w:sz w:val="32"/>
          <w:u w:val="none"/>
        </w:rPr>
        <w:t>一、检查概况</w:t>
      </w:r>
      <w:r>
        <w:rPr>
          <w:rFonts w:ascii="黑体" w:hAnsi="黑体" w:eastAsia="黑体" w:cs="黑体"/>
          <w:i w:val="0"/>
          <w:strike w:val="0"/>
          <w:color w:val="000000"/>
          <w:sz w:val="32"/>
          <w:u w:val="none"/>
        </w:rPr>
        <w:tab/>
      </w:r>
    </w:p>
    <w:p>
      <w:pPr>
        <w:snapToGrid/>
        <w:spacing w:before="0" w:after="0" w:line="540" w:lineRule="exact"/>
        <w:ind w:left="0" w:right="0" w:firstLine="640" w:firstLineChars="200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本次综合检查共抽查在建工程项目20个，其中住宅建筑3项，工业建筑8项，公共建筑7项，市政基础设施2项，总建筑面积154.48万平方米。开具建设工程施工安全隐患限期整改通知书18份。</w:t>
      </w:r>
    </w:p>
    <w:p>
      <w:pPr>
        <w:snapToGrid/>
        <w:spacing w:before="0" w:after="0" w:line="540" w:lineRule="exact"/>
        <w:ind w:left="0" w:right="0" w:firstLine="640" w:firstLineChars="200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从本次检查情况看，大部分项目能按照各项规定的要求，积极开展各类整治治理活动，坚持不懈地抓好、抓实质量、安全文明生产工作，监理行为、市场行为管理基本有序，管理体系和措施较为到位，但尚有部分工地的管理存在一定问题和缺陷。</w:t>
      </w:r>
    </w:p>
    <w:p>
      <w:pPr>
        <w:snapToGrid/>
        <w:spacing w:before="0" w:after="0" w:line="540" w:lineRule="exact"/>
        <w:ind w:left="0" w:right="0" w:firstLine="640" w:firstLineChars="200"/>
        <w:jc w:val="both"/>
        <w:outlineLvl w:val="0"/>
      </w:pPr>
      <w:r>
        <w:rPr>
          <w:rFonts w:ascii="黑体" w:hAnsi="黑体" w:eastAsia="黑体" w:cs="黑体"/>
          <w:i w:val="0"/>
          <w:strike w:val="0"/>
          <w:color w:val="000000"/>
          <w:sz w:val="32"/>
          <w:u w:val="none"/>
        </w:rPr>
        <w:t>二、存在问题</w:t>
      </w:r>
    </w:p>
    <w:p>
      <w:pPr>
        <w:snapToGrid/>
        <w:spacing w:before="0" w:after="0" w:line="540" w:lineRule="exact"/>
        <w:ind w:left="0" w:right="0" w:firstLine="643" w:firstLineChars="200"/>
        <w:jc w:val="both"/>
        <w:rPr>
          <w:shd w:val="clear" w:color="auto" w:fill="auto"/>
        </w:rPr>
      </w:pPr>
      <w:r>
        <w:rPr>
          <w:rFonts w:ascii="仿宋_GB2312" w:hAnsi="仿宋_GB2312" w:eastAsia="仿宋_GB2312" w:cs="仿宋_GB2312"/>
          <w:b/>
          <w:i w:val="0"/>
          <w:strike w:val="0"/>
          <w:color w:val="000000"/>
          <w:sz w:val="32"/>
          <w:u w:val="none"/>
          <w:shd w:val="clear" w:color="auto" w:fill="auto"/>
        </w:rPr>
        <w:t>1.质量管理。一是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现场实体方面，部分项目钢筋被水泥浆污染，直螺纹钢筋头未用保护帽保护，钢筋保护层厚度偏差超规范要求，框架柱钢筋偏位超标未纠偏，后浇带钢筋局部接头差，钢筋箍筋弯钩平直段长度不满足规范要求，钢筋绑扎搭接不规范，局部钢筋偏位，同条件砼试块未放置在结构相应部位，框架柱砼局部涨模，外墙砌体灰缝局部不饱满，二次结构马牙槎位置错误，楼梯间剪力墙砼接缝处涨模、漏浆，顶板混凝土夹木屑严重，墙面粉刷挂网前螺杆未封堵，PC楼梯缝未及时填缝，梁下砌体后塞缝局部有裂缝，局部二结构植筋偏位，柱子接槎处有漏浆、蜂窝，汽车坡道地坪有裂缝，水池外侧墙防水卷材破损、收头不符合设计和规范要求，地下室底板局部渗漏，地下室地坪多处开裂，墙砖有空鼓，个别窗户有渗漏隐患，外墙保温局部不到位，外保温局部锚钉不足，局部幕墙龙骨焊接不到位，室外沟槽积水较多，雨水管底部不平等。</w:t>
      </w:r>
      <w:r>
        <w:rPr>
          <w:rFonts w:ascii="仿宋_GB2312" w:hAnsi="仿宋_GB2312" w:eastAsia="仿宋_GB2312" w:cs="仿宋_GB2312"/>
          <w:b/>
          <w:i w:val="0"/>
          <w:strike w:val="0"/>
          <w:color w:val="000000"/>
          <w:sz w:val="32"/>
          <w:u w:val="none"/>
          <w:shd w:val="clear" w:color="auto" w:fill="auto"/>
        </w:rPr>
        <w:t>二是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人员及文件资料管理方面，部分项目质量员、施工员配置数量不足、人员未履职到岗，沉降观测报告不及时，部分保温材料检测滞后，图纸会审纪要、专项施工方案缺失，部分材料型式检验报告缺失，部分材料进场报验资料不齐全、复试报告滞后，现场规范和图集配备不齐或已过期，分部分项工程验收记录填写不规范，工序报验缺失，未申报或未落实优质工程，未见QC、工法和专利等。</w:t>
      </w:r>
    </w:p>
    <w:p>
      <w:pPr>
        <w:snapToGrid/>
        <w:spacing w:before="0" w:after="0" w:line="540" w:lineRule="exact"/>
        <w:ind w:left="0" w:right="0" w:firstLine="643" w:firstLineChars="200"/>
        <w:jc w:val="both"/>
        <w:rPr>
          <w:shd w:val="clear" w:color="auto" w:fill="auto"/>
        </w:rPr>
      </w:pPr>
      <w:r>
        <w:rPr>
          <w:rFonts w:ascii="仿宋_GB2312" w:hAnsi="仿宋_GB2312" w:eastAsia="仿宋_GB2312" w:cs="仿宋_GB2312"/>
          <w:b/>
          <w:i w:val="0"/>
          <w:strike w:val="0"/>
          <w:color w:val="000000"/>
          <w:sz w:val="32"/>
          <w:u w:val="none"/>
          <w:shd w:val="clear" w:color="auto" w:fill="auto"/>
        </w:rPr>
        <w:t>2.安全文明管理。一是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现场实体方面，部分项目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现场堆土过高，明排水未及时清理积水。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临边、洞口处防护不到位，安全警示标识缺失，生命线设置不到位，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安全通道防护棚不到位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，外架连墙件、扫地杆缺失，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脚手架作业层缺少水平杆，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电缆拉设不规范，部分机具开关箱一闸多机，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临时消防水未通。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塔吊工作钢丝绳排绳轮锈蚀缺润滑、主电缆线未绝缘固定、操作手柄零位保护不灵敏、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顶升油泵门锁损坏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。</w:t>
      </w:r>
      <w:r>
        <w:rPr>
          <w:rFonts w:ascii="仿宋_GB2312" w:hAnsi="仿宋_GB2312" w:eastAsia="仿宋_GB2312" w:cs="仿宋_GB2312"/>
          <w:b/>
          <w:i w:val="0"/>
          <w:strike w:val="0"/>
          <w:color w:val="000000"/>
          <w:sz w:val="32"/>
          <w:u w:val="none"/>
          <w:shd w:val="clear" w:color="auto" w:fill="auto"/>
        </w:rPr>
        <w:t>二是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人员及文件资料管理方面，部分项目安全技术交底记录未见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，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晨会记录缺失，临时用电、消防设施、生活区板房验收记录未见，项目经理带班检查记录不完善，安全日志不齐全，企业对项目检查次数不足，部分人员三级教育不完善、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教育交底签字不全，劳保用品发放台账未发放至个人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，检查记录未及时闭合，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电瓶车充电棚缺少消防器材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等。</w:t>
      </w:r>
      <w:r>
        <w:rPr>
          <w:rFonts w:ascii="仿宋_GB2312" w:hAnsi="仿宋_GB2312" w:eastAsia="仿宋_GB2312" w:cs="仿宋_GB2312"/>
          <w:b/>
          <w:i w:val="0"/>
          <w:strike w:val="0"/>
          <w:color w:val="000000"/>
          <w:sz w:val="32"/>
          <w:u w:val="none"/>
          <w:shd w:val="clear" w:color="auto" w:fill="auto"/>
        </w:rPr>
        <w:t>三是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文明施工方面，部分项目局部裸土、建筑垃圾覆盖不到位，施工道路局部积尘较多未清理。</w:t>
      </w:r>
    </w:p>
    <w:p>
      <w:pPr>
        <w:snapToGrid/>
        <w:spacing w:before="0" w:after="0" w:line="540" w:lineRule="exact"/>
        <w:ind w:left="0" w:right="0" w:firstLine="643" w:firstLineChars="200"/>
        <w:jc w:val="both"/>
        <w:rPr>
          <w:shd w:val="clear" w:color="auto" w:fill="auto"/>
        </w:rPr>
      </w:pPr>
      <w:r>
        <w:rPr>
          <w:rFonts w:ascii="仿宋_GB2312" w:hAnsi="仿宋_GB2312" w:eastAsia="仿宋_GB2312" w:cs="仿宋_GB2312"/>
          <w:b/>
          <w:i w:val="0"/>
          <w:strike w:val="0"/>
          <w:color w:val="000000"/>
          <w:sz w:val="32"/>
          <w:u w:val="none"/>
          <w:shd w:val="clear" w:color="auto" w:fill="auto"/>
        </w:rPr>
        <w:t>3.监理行为管理。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部分项目现场监理人员未按规划要求配备，个别监理人员不在岗，监理人员未戴胸牌上岗，监理实施细则针对性不强，开工报告审核不规范，监理例会召开频次不足，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图纸会审签字盖章不全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，旁站方案针对性差，进场材料见证取样、工序报审不规范，分部、子分部验收记录不齐全，监理日记内容简单、更新不及时、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问题处理及闭合记录不完整、记录人员签字不全。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旁站记录填写不规范，危大工程巡视记录现场情况较多空白、监理实施细则无针对性，监理安全通知单回复滞后等。</w:t>
      </w:r>
    </w:p>
    <w:p>
      <w:pPr>
        <w:snapToGrid/>
        <w:spacing w:before="0" w:after="0" w:line="540" w:lineRule="exact"/>
        <w:ind w:left="0" w:right="0" w:firstLine="643" w:firstLineChars="200"/>
        <w:jc w:val="both"/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b/>
          <w:bCs/>
          <w:i w:val="0"/>
          <w:strike w:val="0"/>
          <w:color w:val="000000"/>
          <w:sz w:val="32"/>
          <w:u w:val="none"/>
          <w:shd w:val="clear" w:color="auto" w:fill="auto"/>
        </w:rPr>
        <w:t>4.市场和民工管理。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市场方面，部分项目存在管理人员不到岗、履职不到位的情况，部分项目承发包台账不全；民工管理方面，部分项目未严格落实《指引》要求，存在用工合同未约定工资，签订合同未录像，用工合同未盖章，花名册与实名制考勤人数不匹配，工资表有代签，应发工资与考勤工资无关联，未见月度结算，未公示专户代发记录，未见退场结算手续，未在显著位置设立维权告示牌，未见公示照片、无临时用工考勤台账。</w:t>
      </w:r>
    </w:p>
    <w:p>
      <w:pPr>
        <w:snapToGrid/>
        <w:spacing w:before="0" w:after="0" w:line="540" w:lineRule="exact"/>
        <w:ind w:left="0" w:right="0" w:firstLine="640" w:firstLineChars="200"/>
        <w:jc w:val="both"/>
        <w:outlineLvl w:val="0"/>
      </w:pPr>
      <w:r>
        <w:rPr>
          <w:rFonts w:ascii="黑体" w:hAnsi="黑体" w:eastAsia="黑体" w:cs="黑体"/>
          <w:i w:val="0"/>
          <w:strike w:val="0"/>
          <w:color w:val="000000"/>
          <w:sz w:val="32"/>
          <w:u w:val="none"/>
        </w:rPr>
        <w:t>三、检查通报</w:t>
      </w:r>
    </w:p>
    <w:p>
      <w:pPr>
        <w:snapToGrid/>
        <w:spacing w:before="0" w:after="0" w:line="540" w:lineRule="exact"/>
        <w:ind w:left="0" w:right="0" w:firstLine="640" w:firstLineChars="200"/>
        <w:jc w:val="both"/>
        <w:outlineLvl w:val="1"/>
      </w:pPr>
      <w:r>
        <w:rPr>
          <w:rFonts w:ascii="楷体_GB2312" w:hAnsi="楷体_GB2312" w:eastAsia="楷体_GB2312" w:cs="楷体_GB2312"/>
          <w:i w:val="0"/>
          <w:strike w:val="0"/>
          <w:color w:val="000000"/>
          <w:sz w:val="32"/>
          <w:u w:val="none"/>
        </w:rPr>
        <w:t>（一）工程质量安全</w:t>
      </w:r>
    </w:p>
    <w:p>
      <w:pPr>
        <w:snapToGrid/>
        <w:spacing w:before="0" w:after="0" w:line="540" w:lineRule="exact"/>
        <w:ind w:left="0" w:right="0" w:firstLine="640" w:firstLineChars="200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根据本次专项检查情况，对以下项目的参建单位予以通报：</w:t>
      </w:r>
    </w:p>
    <w:p>
      <w:pPr>
        <w:snapToGrid/>
        <w:spacing w:before="0" w:after="0" w:line="540" w:lineRule="exact"/>
        <w:ind w:left="0" w:right="0" w:firstLine="640" w:firstLineChars="200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项目名称：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</w:rPr>
        <w:t>胜浦镇苏州金东电子科技有限公司厂房(1#厂房、5#门卫、6#开闭所)施工总承包</w:t>
      </w:r>
    </w:p>
    <w:p>
      <w:pPr>
        <w:snapToGrid/>
        <w:spacing w:before="0" w:after="0" w:line="540" w:lineRule="exact"/>
        <w:ind w:left="0" w:right="0" w:firstLine="640" w:firstLineChars="200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施工单位：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</w:rPr>
        <w:t>江苏云业建设有限公司</w:t>
      </w:r>
    </w:p>
    <w:p>
      <w:pPr>
        <w:snapToGrid/>
        <w:spacing w:before="0" w:after="0" w:line="540" w:lineRule="exact"/>
        <w:ind w:left="0" w:right="0" w:firstLine="640" w:firstLineChars="200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项目经理：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</w:rPr>
        <w:t>卢书俊</w:t>
      </w:r>
    </w:p>
    <w:p>
      <w:pPr>
        <w:snapToGrid/>
        <w:spacing w:before="0" w:after="0" w:line="540" w:lineRule="exact"/>
        <w:ind w:left="0" w:right="0" w:firstLine="640" w:firstLineChars="200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监理单位：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</w:rPr>
        <w:t>苏州市晨阳工程监理咨询有限公司</w:t>
      </w:r>
    </w:p>
    <w:p>
      <w:pPr>
        <w:snapToGrid/>
        <w:spacing w:before="0" w:after="0" w:line="540" w:lineRule="exact"/>
        <w:ind w:left="0" w:right="0" w:firstLine="640" w:firstLineChars="200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总    监：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</w:rPr>
        <w:t>陆小忠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主要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问题：未见质量管理制度，未见一层地坪回填土密实度检测报告，同条件砼试块未放置在结构相应部位，钢筋被水泥浆污染，直螺纹钢筋头未用保护帽保护，框架柱钢筋偏位超标未纠偏，钢筋箍筋弯钩平直段长度不足10d，水池外侧墙防水卷材破损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、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收头不符合设计和规范要求；安全日志填写不规范，高支模论证签到人员不齐全，特种作业人员未见名册汇总，风险辨识管控相关资料未提供，外脚手架连墙件缺失较多，安全网挂设不及时，开口部位未采取加固措施，模板分段施工处临边防护低于工作面，临边防护存在缺口，部分楼梯口处缺防护，电梯井内架无方案，与井壁间隙大，脚手架局部钢排片缺失，</w:t>
      </w:r>
      <w:bookmarkStart w:id="3" w:name="_GoBack"/>
      <w:bookmarkEnd w:id="3"/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扫地杆拆除过早，支模区域在柱子部位形成洞口，钢筋加工厂电箱内接线不规范，缺灭火器，塔吊专用电箱无试跳记录，主电缆集中堆放在顶升平台，无垂直度记录。现场局部裸土覆盖不到位。</w:t>
      </w:r>
    </w:p>
    <w:p>
      <w:pPr>
        <w:snapToGrid/>
        <w:spacing w:before="0" w:after="0" w:line="540" w:lineRule="exact"/>
        <w:ind w:left="0" w:right="0" w:firstLine="640" w:firstLineChars="200"/>
        <w:jc w:val="both"/>
        <w:outlineLvl w:val="1"/>
      </w:pPr>
      <w:r>
        <w:rPr>
          <w:rFonts w:ascii="楷体_GB2312" w:hAnsi="楷体_GB2312" w:eastAsia="楷体_GB2312" w:cs="楷体_GB2312"/>
          <w:i w:val="0"/>
          <w:strike w:val="0"/>
          <w:color w:val="000000"/>
          <w:sz w:val="32"/>
          <w:u w:val="none"/>
        </w:rPr>
        <w:t>（二）市场行为和农民工实名制管理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以下项目在民工管理方面存在较多突出问题，予以通报，责任单位须于一周内将存在的问题悉数整改到位。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1.项目名称：DK20210160地块（1一15#，1#配电房、1#垃圾房，2#垃圾房、开闭所，2#3#配电房，门卫，地库）含人防工程施工总承包工程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施工单位：中铁城建集团第二工程有限公司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项目经理：邓二林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监理单位：苏州公明工程咨询有限公司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总    监：杨铁平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主要问题：现场项目经理、技术负责人、质量负责人、安全员考勤严重不足。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2.项目名称：DK20220234地块（1#-5#住宅，9#-10#住宅，14#配套用房，15#配电房、开闭所，地库1）含人防工程施工总承包(不含桩基）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施工单位：华新建工集团有限公司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项目经理：徐杰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监理单位：江苏维岳工程咨询有限公司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总    监：张贤琨</w:t>
      </w:r>
    </w:p>
    <w:p>
      <w:pPr>
        <w:pBdr>
          <w:bottom w:val="none" w:color="auto" w:sz="0" w:space="0"/>
        </w:pBdr>
        <w:snapToGrid/>
        <w:spacing w:line="540" w:lineRule="exact"/>
        <w:ind w:firstLineChars="200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u w:val="none"/>
          <w:shd w:val="clear" w:color="auto" w:fill="auto"/>
        </w:rPr>
        <w:t>主要问题：项目经理考勤不足，技术负责人、质量负责人考勤不足，专业分包工程款支付凭证上单位名称与实际的不一致。</w:t>
      </w:r>
    </w:p>
    <w:p>
      <w:pPr>
        <w:snapToGrid/>
        <w:spacing w:before="0" w:after="0" w:line="540" w:lineRule="exact"/>
        <w:ind w:left="0" w:right="0" w:firstLine="640" w:firstLineChars="200"/>
        <w:jc w:val="both"/>
        <w:outlineLvl w:val="0"/>
        <w:rPr>
          <w:shd w:val="clear" w:color="auto" w:fill="auto"/>
        </w:rPr>
      </w:pPr>
      <w:r>
        <w:rPr>
          <w:rFonts w:ascii="黑体" w:hAnsi="黑体" w:eastAsia="黑体" w:cs="黑体"/>
          <w:i w:val="0"/>
          <w:strike w:val="0"/>
          <w:color w:val="000000"/>
          <w:sz w:val="32"/>
          <w:u w:val="none"/>
          <w:shd w:val="clear" w:color="auto" w:fill="auto"/>
        </w:rPr>
        <w:t>四、下一步工作要求</w:t>
      </w:r>
    </w:p>
    <w:p>
      <w:pPr>
        <w:snapToGrid/>
        <w:spacing w:before="0" w:after="0" w:line="540" w:lineRule="exact"/>
        <w:ind w:left="0" w:right="0" w:firstLineChars="200"/>
        <w:jc w:val="both"/>
        <w:rPr>
          <w:shd w:val="clear" w:color="auto" w:fill="auto"/>
        </w:rPr>
      </w:pPr>
      <w:r>
        <w:rPr>
          <w:rFonts w:ascii="仿宋_GB2312" w:hAnsi="仿宋_GB2312" w:eastAsia="仿宋_GB2312" w:cs="仿宋_GB2312"/>
          <w:b/>
          <w:i w:val="0"/>
          <w:strike w:val="0"/>
          <w:color w:val="000000"/>
          <w:sz w:val="32"/>
          <w:u w:val="none"/>
          <w:shd w:val="clear" w:color="auto" w:fill="auto"/>
        </w:rPr>
        <w:t>1.全面落实整改检查中发现的问题。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各项目应针对本次大检查暴露出的问题，举一反三严格落实各项整改措施。我委将开展严格复查，对在规定期限内仍未完成整改的项目、单位、责任人，联合相关部门进行严肃处罚。各项目应以此次大检查暴露的问题为抓手，针对现场质量安全文明管理的薄弱环节开展全面排查，坚持边查边改、立行立改，做到隐患排查整治见底，重大风险管控到位。</w:t>
      </w:r>
    </w:p>
    <w:p>
      <w:pPr>
        <w:pBdr>
          <w:bottom w:val="none" w:color="auto" w:sz="0" w:space="0"/>
        </w:pBdr>
        <w:snapToGrid/>
        <w:spacing w:before="0" w:after="0" w:line="540" w:lineRule="exact"/>
        <w:ind w:left="0" w:right="0" w:firstLine="643" w:firstLineChars="200"/>
        <w:jc w:val="both"/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</w:pPr>
      <w:r>
        <w:rPr>
          <w:rFonts w:ascii="仿宋_GB2312" w:hAnsi="仿宋_GB2312" w:eastAsia="仿宋_GB2312" w:cs="仿宋_GB2312"/>
          <w:b/>
          <w:i w:val="0"/>
          <w:strike w:val="0"/>
          <w:color w:val="000000"/>
          <w:sz w:val="32"/>
          <w:u w:val="none"/>
          <w:shd w:val="clear" w:color="auto" w:fill="auto"/>
        </w:rPr>
        <w:t>2.做好消防月安全排查整治。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各项目要严格落实消防安全主体责任，</w:t>
      </w:r>
      <w:r>
        <w:rPr>
          <w:rFonts w:hint="eastAsia"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高度重视当前时期</w:t>
      </w:r>
      <w:r>
        <w:rPr>
          <w:rFonts w:hint="eastAsia"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  <w:lang w:val="en-US" w:eastAsia="zh-CN"/>
        </w:rPr>
        <w:t>消防</w:t>
      </w:r>
      <w:r>
        <w:rPr>
          <w:rFonts w:hint="eastAsia"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安全防范工作，确保责任落实到岗、到人、到位。严格按照落实作业审批、清理、动火、监护、销号“五到位”措施，强化作业人员岗前安全技术交底，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做到“作业人员必有证、焊接设备必有码、作业过程必记录”。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各项目应</w:t>
      </w:r>
      <w:r>
        <w:rPr>
          <w:rFonts w:hint="eastAsia" w:ascii="仿宋_GB2312" w:hAnsi="黑体" w:eastAsia="仿宋_GB2312" w:cs="Times New Roman"/>
          <w:sz w:val="32"/>
          <w:szCs w:val="32"/>
        </w:rPr>
        <w:t>围绕“不起火、烧不大、跑得掉”的目标</w:t>
      </w:r>
      <w:r>
        <w:rPr>
          <w:rFonts w:hint="eastAsia" w:ascii="仿宋_GB2312" w:hAnsi="黑体" w:eastAsia="仿宋_GB2312" w:cs="Times New Roman"/>
          <w:sz w:val="32"/>
          <w:szCs w:val="32"/>
          <w:lang w:eastAsia="zh-CN"/>
        </w:rPr>
        <w:t>，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于近期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针对施工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现场三区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的消防安全措施落实情况进行全面排查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</w:rPr>
        <w:t>。</w:t>
      </w:r>
      <w:r>
        <w:rPr>
          <w:rFonts w:hint="eastAsia" w:ascii="仿宋_GB2312" w:hAnsi="仿宋_GB2312" w:eastAsia="仿宋_GB2312" w:cs="仿宋_GB2312"/>
          <w:i w:val="0"/>
          <w:strike w:val="0"/>
          <w:color w:val="000000"/>
          <w:sz w:val="32"/>
          <w:u w:val="none"/>
          <w:shd w:val="clear" w:color="auto" w:fill="auto"/>
          <w:lang w:val="en-US" w:eastAsia="zh-CN"/>
        </w:rPr>
        <w:t>我委也将</w:t>
      </w:r>
      <w:r>
        <w:rPr>
          <w:rFonts w:hint="eastAsia" w:ascii="仿宋_GB2312" w:hAnsi="黑体" w:eastAsia="仿宋_GB2312" w:cs="Times New Roman"/>
          <w:sz w:val="32"/>
          <w:szCs w:val="32"/>
        </w:rPr>
        <w:t>进一步加大各类建设工程以及零星作业的消防隐患排查整治力度，对现场发现的相关隐患要求责任单位立行立改；不能整改到位的，按照“五落实”要求，进行跟踪监控、限期闭合处理。对于现场责任落实不到位、火灾事故隐患整改不到位的项目严肃顶格查处，全力保障消防安全形势平稳。</w:t>
      </w:r>
    </w:p>
    <w:p>
      <w:pPr>
        <w:pBdr>
          <w:bottom w:val="none" w:color="auto" w:sz="0" w:space="0"/>
        </w:pBdr>
        <w:snapToGrid/>
        <w:spacing w:before="0" w:after="0" w:line="540" w:lineRule="exact"/>
        <w:ind w:left="0" w:right="0" w:firstLine="420" w:firstLineChars="200"/>
        <w:jc w:val="both"/>
      </w:pPr>
    </w:p>
    <w:p>
      <w:pPr>
        <w:snapToGrid/>
        <w:spacing w:before="0" w:after="0" w:line="540" w:lineRule="exact"/>
        <w:ind w:left="0" w:right="0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 </w:t>
      </w:r>
    </w:p>
    <w:p>
      <w:pPr>
        <w:snapToGrid/>
        <w:spacing w:before="0" w:after="0" w:line="540" w:lineRule="exact"/>
        <w:ind w:left="0" w:right="0"/>
        <w:jc w:val="both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> </w:t>
      </w:r>
    </w:p>
    <w:p>
      <w:pPr>
        <w:snapToGrid/>
        <w:spacing w:before="0" w:after="0" w:line="540" w:lineRule="exact"/>
        <w:ind w:left="0" w:right="0"/>
        <w:jc w:val="center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 xml:space="preserve">                        苏州工业园区规划建设委员会      </w:t>
      </w:r>
    </w:p>
    <w:p>
      <w:pPr>
        <w:snapToGrid/>
        <w:spacing w:before="0" w:after="0" w:line="540" w:lineRule="exact"/>
        <w:ind w:left="0" w:leftChars="0" w:right="0" w:firstLine="0" w:firstLineChars="0"/>
        <w:jc w:val="center"/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t xml:space="preserve">                        2024年11月11日</w:t>
      </w:r>
    </w:p>
    <w:p>
      <w:pPr>
        <w:snapToGrid/>
        <w:spacing w:before="0" w:after="0" w:line="240" w:lineRule="auto"/>
        <w:ind w:left="0" w:right="0"/>
        <w:jc w:val="center"/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u w:val="none"/>
        </w:rPr>
        <w:br w:type="page"/>
      </w:r>
    </w:p>
    <w:p>
      <w:pPr>
        <w:pBdr>
          <w:bottom w:val="none" w:color="auto" w:sz="0" w:space="0"/>
        </w:pBdr>
        <w:snapToGrid/>
        <w:spacing w:before="0" w:after="0" w:line="240" w:lineRule="auto"/>
        <w:ind w:left="0" w:right="0"/>
        <w:jc w:val="center"/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szCs w:val="32"/>
          <w:u w:val="none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szCs w:val="32"/>
          <w:u w:val="none"/>
        </w:rPr>
        <w:t>园区规划建设委员会关于</w:t>
      </w: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szCs w:val="32"/>
          <w:u w:val="none"/>
        </w:rPr>
        <w:t>2024年10月园区建筑质量、安全、</w:t>
      </w:r>
    </w:p>
    <w:p>
      <w:pPr>
        <w:pBdr>
          <w:bottom w:val="none" w:color="auto" w:sz="0" w:space="0"/>
        </w:pBdr>
        <w:snapToGrid/>
        <w:spacing w:before="0" w:after="0" w:line="240" w:lineRule="auto"/>
        <w:ind w:left="0" w:right="0"/>
        <w:jc w:val="center"/>
        <w:rPr>
          <w:sz w:val="32"/>
          <w:szCs w:val="32"/>
        </w:rPr>
      </w:pPr>
      <w:r>
        <w:rPr>
          <w:rFonts w:ascii="仿宋_GB2312" w:hAnsi="仿宋_GB2312" w:eastAsia="仿宋_GB2312" w:cs="仿宋_GB2312"/>
          <w:i w:val="0"/>
          <w:strike w:val="0"/>
          <w:color w:val="000000"/>
          <w:spacing w:val="0"/>
          <w:sz w:val="32"/>
          <w:szCs w:val="32"/>
          <w:u w:val="none"/>
        </w:rPr>
        <w:t>市场行为综合检查暨文明施工专项检查</w:t>
      </w:r>
      <w:r>
        <w:rPr>
          <w:rFonts w:ascii="仿宋_GB2312" w:hAnsi="仿宋_GB2312" w:eastAsia="仿宋_GB2312" w:cs="仿宋_GB2312"/>
          <w:i w:val="0"/>
          <w:strike w:val="0"/>
          <w:color w:val="000000"/>
          <w:sz w:val="32"/>
          <w:szCs w:val="32"/>
          <w:u w:val="none"/>
        </w:rPr>
        <w:t>汇总表</w:t>
      </w:r>
    </w:p>
    <w:p>
      <w:pPr>
        <w:snapToGrid/>
        <w:spacing w:before="0" w:after="0" w:line="240" w:lineRule="auto"/>
        <w:ind w:left="0" w:right="0"/>
        <w:jc w:val="center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24"/>
          <w:u w:val="none"/>
        </w:rPr>
        <w:t> </w:t>
      </w:r>
    </w:p>
    <w:p>
      <w:pPr>
        <w:snapToGrid/>
        <w:spacing w:before="0" w:after="0" w:line="240" w:lineRule="auto"/>
        <w:ind w:left="0" w:right="0"/>
        <w:jc w:val="center"/>
      </w:pPr>
      <w:r>
        <w:rPr>
          <w:rFonts w:ascii="仿宋_GB2312" w:hAnsi="仿宋_GB2312" w:eastAsia="仿宋_GB2312" w:cs="仿宋_GB2312"/>
          <w:i w:val="0"/>
          <w:strike w:val="0"/>
          <w:color w:val="000000"/>
          <w:sz w:val="24"/>
          <w:u w:val="none"/>
        </w:rPr>
        <w:t> 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2"/>
        <w:gridCol w:w="2445"/>
        <w:gridCol w:w="1054"/>
        <w:gridCol w:w="1069"/>
        <w:gridCol w:w="763"/>
        <w:gridCol w:w="745"/>
        <w:gridCol w:w="704"/>
        <w:gridCol w:w="760"/>
        <w:gridCol w:w="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512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序</w:t>
            </w:r>
          </w:p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号</w:t>
            </w:r>
          </w:p>
        </w:tc>
        <w:tc>
          <w:tcPr>
            <w:tcW w:w="2445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工程</w:t>
            </w:r>
          </w:p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名称</w:t>
            </w:r>
          </w:p>
        </w:tc>
        <w:tc>
          <w:tcPr>
            <w:tcW w:w="1054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施工</w:t>
            </w:r>
          </w:p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单位</w:t>
            </w:r>
          </w:p>
        </w:tc>
        <w:tc>
          <w:tcPr>
            <w:tcW w:w="1069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监理</w:t>
            </w:r>
          </w:p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单位</w:t>
            </w:r>
          </w:p>
        </w:tc>
        <w:tc>
          <w:tcPr>
            <w:tcW w:w="763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质量</w:t>
            </w:r>
          </w:p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得分</w:t>
            </w:r>
          </w:p>
        </w:tc>
        <w:tc>
          <w:tcPr>
            <w:tcW w:w="745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Bdr>
                <w:bottom w:val="none" w:color="auto" w:sz="0" w:space="0"/>
              </w:pBd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安全文明得分</w:t>
            </w:r>
          </w:p>
        </w:tc>
        <w:tc>
          <w:tcPr>
            <w:tcW w:w="704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监理</w:t>
            </w:r>
          </w:p>
          <w:p>
            <w:pP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得分</w:t>
            </w:r>
          </w:p>
        </w:tc>
        <w:tc>
          <w:tcPr>
            <w:tcW w:w="760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Bdr>
                <w:bottom w:val="none" w:color="auto" w:sz="0" w:space="0"/>
              </w:pBd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市场行为得分</w:t>
            </w:r>
          </w:p>
        </w:tc>
        <w:tc>
          <w:tcPr>
            <w:tcW w:w="820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Bdr>
                <w:bottom w:val="none" w:color="auto" w:sz="0" w:space="0"/>
              </w:pBdr>
              <w:snapToGrid/>
              <w:spacing w:before="0" w:after="0" w:line="240" w:lineRule="auto"/>
              <w:ind w:left="0" w:right="0"/>
              <w:jc w:val="center"/>
              <w:rPr>
                <w:shd w:val="clear" w:color="auto" w:fill="auto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shd w:val="clear" w:color="auto" w:fill="auto"/>
              </w:rPr>
              <w:t>民工管理得分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DK20210087（1#、地库）含人防工程土建工程一标段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苏州第一建筑集团有限公司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中衡设计集团工程咨询有限公司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92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87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94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97 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90 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2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DK20210087土建施工总承包工程二标段（2#-2、3、4、5、6及其下部裙房）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中国建筑第八工程局有限公司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中衡设计集团工程咨询有限公司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88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88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94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89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3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DK20210160地块（1一15#，1#配电房、1#垃圾房，2#垃圾房、开闭所，2#3#配电房，门卫，地库）含人防工程施工总承包工程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中铁城建集团第二工程有限公司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苏州公明工程咨询有限公司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89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87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60 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80 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4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扬豪路（扬富路—娄江大道）、扬富路（经一路—扬中路）、扬中路（扬清路—扬富路）工程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苏州市顺发市政景观建设有限公司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诚信金泰建设管理（苏州）有限公司</w:t>
            </w:r>
          </w:p>
        </w:tc>
        <w:tc>
          <w:tcPr>
            <w:tcW w:w="3792" w:type="dxa"/>
            <w:gridSpan w:val="5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Bdr>
                <w:bottom w:val="none" w:color="auto" w:sz="0" w:space="0"/>
              </w:pBdr>
              <w:snapToGrid/>
              <w:spacing w:before="0" w:after="0" w:line="240" w:lineRule="auto"/>
              <w:ind w:left="0" w:right="0"/>
              <w:jc w:val="center"/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项目已竣工，此项目未打分。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5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胜浦镇苏州金东电子科技有限公司厂房(1#厂房、5#门卫、6#开闭所)施工总承包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江苏云业建设有限公司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苏州市晨阳工程监理咨询有限公司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78.7</w:t>
            </w:r>
          </w:p>
        </w:tc>
        <w:tc>
          <w:tcPr>
            <w:tcW w:w="745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81</w:t>
            </w:r>
          </w:p>
        </w:tc>
        <w:tc>
          <w:tcPr>
            <w:tcW w:w="704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93</w:t>
            </w:r>
          </w:p>
        </w:tc>
        <w:tc>
          <w:tcPr>
            <w:tcW w:w="760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80 </w:t>
            </w:r>
          </w:p>
        </w:tc>
        <w:tc>
          <w:tcPr>
            <w:tcW w:w="820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72 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6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DK20230296地块（1#、2#）工程总承包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苏州二建建筑集团有限公司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中衡设计集团工程咨询有限公司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94.7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92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96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7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DK20230296地块（3#、4#、地下室、开闭所）工程总承包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</w:p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苏州建筑工程集团有限公司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中衡设计集团工程咨询有限公司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90.7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87.5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93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96 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DK20160085地块（钟南邻里中心含人防工程施工总承包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苏州百明建设有限公司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中衡设计集团工程咨询有限公司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88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87.5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94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DK20220234地块（6#-8#住宅，11#-13#住宅，16#配电房，17#配套用房）施工总承包（不含桩基）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江苏泽丰建设集团有限公司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江苏维岳工程咨询有限公司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83.3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88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82.5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68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80 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10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DK20220234地块（1#-5#住宅，9#-10#住宅，14#配套用房，15#配电房、开闭所，地库1）含人防工程施工总承包(不含桩基）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华新建工集团有限公司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江苏维岳工程咨询有限公司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87.2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84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83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64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78 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11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DK20200165地块（办公楼）含人防工程施工总承包（不含桩基及基坑围护工程）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苏州顺龙建设集团有限公司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苏州市晨阳工程监理咨询有限公司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94.7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92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92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12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陆泾路南延（至和西路-苏虹西路）工程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中铁二十四局集团有限公司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江苏齐邦建设监理有限公司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87.2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85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86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65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13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DK20100137地块月亮湾B3地块建屋广场E座施工总承包工程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江苏南通二建集团有限公司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安徽省建设监理有限公司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90.6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89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87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14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DK20060788地块（原独墅湖高教区苏州大学二期增加用地）1#~7#、地库土建总包工程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中国建筑一局（集团）有限公司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江苏建科工程咨询有限公司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89.3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92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90 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90 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15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娄葑东区和昌新型材料(1#厂房及连廊/,2#厂房/,3#办公楼及地下汽车库/.4#门卫/,5#门卫及开闭所/,6#非机动车棚/)施工总承包不含桩基工程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苏州润宝建设发展有限公司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中赐才国际建设集团有限公司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90.6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86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88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81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16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DK20230133地块(1#/,2#/,开闭所/,门卫/)施工总承包（不含桩基、基坑支护）工程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中国建筑第八工程局有限公司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中衡设计集团工程咨询有限公司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92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90.5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90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89 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17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SXDK20220001地块（1#办公、3#生产厂房、6#变电站、7#餐厅、8#仓库、9#动力中心、10#甲类仓库、1#氢气站、12#门卫）工程总承包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信息产业电子第十一设计研</w:t>
            </w:r>
          </w:p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究院科技工程股份有限公司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苏州富莱工程项目管理咨询有限公司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86.7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83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87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82 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73 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1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18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SXDK20220005地块（综合楼、食堂艺体楼、地下车库、门卫1、门卫2)含人防工程施工总承包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苏州建筑工程集团有限公司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江苏国信工程咨询监理有限公司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88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88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 xml:space="preserve">93 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94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19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SXDK20210019地块(1#厂房,2#门卫,3#辅助用房,4#非机动车棚) 施工总承包（不含桩基）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苏州建筑工程集团有限公司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苏州东大工程咨询管理有限公司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86.7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85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91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94 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94 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" w:hRule="atLeast"/>
          <w:jc w:val="center"/>
        </w:trPr>
        <w:tc>
          <w:tcPr>
            <w:tcW w:w="512" w:type="dxa"/>
            <w:tcBorders>
              <w:top w:val="single" w:color="999999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20</w:t>
            </w:r>
          </w:p>
        </w:tc>
        <w:tc>
          <w:tcPr>
            <w:tcW w:w="24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SXDK20230010地块（1#研发办公、2#生产车间、3#附属用房、4#门卫、地下室含人防工程）施工总承包</w:t>
            </w:r>
          </w:p>
        </w:tc>
        <w:tc>
          <w:tcPr>
            <w:tcW w:w="105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苏州中设建设集团有限公司</w:t>
            </w:r>
          </w:p>
        </w:tc>
        <w:tc>
          <w:tcPr>
            <w:tcW w:w="1069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苏州工业园区智宏工程管理咨询有限公司</w:t>
            </w:r>
          </w:p>
        </w:tc>
        <w:tc>
          <w:tcPr>
            <w:tcW w:w="763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84</w:t>
            </w:r>
          </w:p>
        </w:tc>
        <w:tc>
          <w:tcPr>
            <w:tcW w:w="745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86</w:t>
            </w:r>
          </w:p>
        </w:tc>
        <w:tc>
          <w:tcPr>
            <w:tcW w:w="704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  <w:vertAlign w:val="baseline"/>
              </w:rPr>
              <w:t>94</w:t>
            </w:r>
          </w:p>
        </w:tc>
        <w:tc>
          <w:tcPr>
            <w:tcW w:w="76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 90</w:t>
            </w:r>
          </w:p>
        </w:tc>
        <w:tc>
          <w:tcPr>
            <w:tcW w:w="820" w:type="dxa"/>
            <w:tcBorders>
              <w:top w:val="single" w:color="000000" w:sz="0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/>
              <w:spacing w:before="0" w:after="0" w:line="240" w:lineRule="auto"/>
              <w:jc w:val="center"/>
            </w:pPr>
            <w:r>
              <w:rPr>
                <w:rFonts w:ascii="仿宋_GB2312" w:hAnsi="仿宋_GB2312" w:eastAsia="仿宋_GB2312" w:cs="仿宋_GB2312"/>
                <w:i w:val="0"/>
                <w:strike w:val="0"/>
                <w:color w:val="000000"/>
                <w:spacing w:val="0"/>
                <w:sz w:val="20"/>
                <w:u w:val="none"/>
              </w:rPr>
              <w:t>90 </w:t>
            </w:r>
          </w:p>
        </w:tc>
      </w:tr>
    </w:tbl>
    <w:p>
      <w:pPr>
        <w:snapToGrid/>
        <w:spacing w:before="0" w:after="0" w:line="240" w:lineRule="auto"/>
        <w:ind w:left="0" w:right="0"/>
        <w:jc w:val="both"/>
      </w:pPr>
      <w:r>
        <w:rPr>
          <w:rFonts w:ascii="'Times New Roman'" w:hAnsi="'Times New Roman'" w:cs="'Times New Roman'"/>
          <w:i w:val="0"/>
          <w:strike w:val="0"/>
          <w:color w:val="000000"/>
          <w:sz w:val="21"/>
          <w:u w:val="none"/>
        </w:rPr>
        <w:t> </w:t>
      </w:r>
    </w:p>
    <w:p>
      <w:pPr>
        <w:snapToGrid/>
        <w:spacing w:before="0" w:after="0" w:line="240" w:lineRule="auto"/>
        <w:ind w:left="0" w:right="0" w:firstLine="640" w:firstLineChars="200"/>
        <w:jc w:val="right"/>
      </w:pPr>
      <w:r>
        <w:rPr>
          <w:rFonts w:ascii="'Times New Roman'" w:hAnsi="'Times New Roman'" w:cs="'Times New Roman'"/>
          <w:i w:val="0"/>
          <w:strike w:val="0"/>
          <w:color w:val="000000"/>
          <w:sz w:val="32"/>
          <w:u w:val="none"/>
        </w:rPr>
        <w:t> </w:t>
      </w:r>
    </w:p>
    <w:p>
      <w:pPr>
        <w:snapToGrid/>
        <w:spacing w:before="0" w:after="0" w:line="400" w:lineRule="exact"/>
        <w:ind w:left="0" w:right="-100"/>
        <w:jc w:val="right"/>
      </w:pPr>
      <w:r>
        <w:rPr>
          <w:rFonts w:ascii="宋体" w:hAnsi="宋体" w:eastAsia="宋体" w:cs="宋体"/>
          <w:i w:val="0"/>
          <w:strike w:val="0"/>
          <w:color w:val="000000"/>
          <w:sz w:val="21"/>
          <w:u w:val="none"/>
        </w:rPr>
        <w:t> </w:t>
      </w:r>
    </w:p>
    <w:p>
      <w:pPr>
        <w:spacing w:line="240" w:lineRule="auto"/>
        <w:rPr>
          <w:shd w:val="clear" w:color="auto" w:fill="auto"/>
        </w:rPr>
      </w:pPr>
    </w:p>
    <w:bookmarkEnd w:id="1"/>
    <w:p>
      <w:pPr>
        <w:ind w:firstLine="640" w:firstLineChars="200"/>
        <w:jc w:val="right"/>
        <w:rPr>
          <w:rFonts w:hint="default" w:hAnsi="仿宋_GB2312" w:eastAsia="仿宋_GB2312"/>
          <w:sz w:val="32"/>
        </w:rPr>
      </w:pPr>
    </w:p>
    <w:p>
      <w:pPr>
        <w:ind w:firstLine="640" w:firstLineChars="200"/>
        <w:jc w:val="right"/>
        <w:rPr>
          <w:rFonts w:hAnsi="仿宋_GB2312" w:eastAsia="仿宋_GB2312"/>
          <w:sz w:val="32"/>
        </w:rPr>
      </w:pPr>
    </w:p>
    <w:p>
      <w:pPr>
        <w:ind w:firstLine="640" w:firstLineChars="200"/>
        <w:jc w:val="right"/>
        <w:rPr>
          <w:rFonts w:hAnsi="仿宋_GB2312" w:eastAsia="仿宋_GB2312"/>
          <w:sz w:val="32"/>
        </w:rPr>
      </w:pPr>
      <w:r>
        <w:rPr>
          <w:rFonts w:hAnsi="仿宋_GB2312" w:eastAsia="仿宋_GB2312"/>
          <w:sz w:val="32"/>
        </w:rPr>
        <w:t xml:space="preserve"> </w:t>
      </w:r>
    </w:p>
    <w:tbl>
      <w:tblPr>
        <w:tblStyle w:val="11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bottom w:val="single" w:color="auto" w:sz="8" w:space="0"/>
            </w:tcBorders>
            <w:shd w:val="clear" w:color="auto" w:fill="auto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top w:val="single" w:color="auto" w:sz="8" w:space="0"/>
              <w:bottom w:val="single" w:color="auto" w:sz="8" w:space="0"/>
            </w:tcBorders>
            <w:shd w:val="clear" w:color="auto" w:fill="auto"/>
            <w:noWrap w:val="0"/>
            <w:vAlign w:val="top"/>
          </w:tcPr>
          <w:p>
            <w:pPr>
              <w:spacing w:line="400" w:lineRule="exact"/>
              <w:ind w:right="277"/>
              <w:rPr>
                <w:rFonts w:hint="eastAsia" w:eastAsia="仿宋_GB2312"/>
                <w:sz w:val="32"/>
              </w:rPr>
            </w:pPr>
            <w:r>
              <w:rPr>
                <w:rFonts w:hint="eastAsia" w:eastAsia="仿宋_GB2312"/>
                <w:sz w:val="32"/>
                <w:szCs w:val="32"/>
              </w:rPr>
              <w:t xml:space="preserve">苏州工业园区规划建设委员会 </w:t>
            </w:r>
            <w:r>
              <w:rPr>
                <w:rFonts w:eastAsia="仿宋_GB2312"/>
                <w:sz w:val="32"/>
                <w:szCs w:val="32"/>
              </w:rPr>
              <w:t xml:space="preserve">  </w:t>
            </w:r>
            <w:r>
              <w:rPr>
                <w:rFonts w:hint="eastAsia" w:eastAsia="仿宋_GB2312"/>
                <w:sz w:val="32"/>
                <w:szCs w:val="32"/>
              </w:rPr>
              <w:t xml:space="preserve"> </w:t>
            </w:r>
            <w:bookmarkStart w:id="2" w:name="发文日期"/>
            <w:r>
              <w:rPr>
                <w:rFonts w:eastAsia="仿宋_GB2312"/>
                <w:sz w:val="32"/>
                <w:szCs w:val="32"/>
              </w:rPr>
              <w:t>2024年11月11日</w:t>
            </w:r>
            <w:bookmarkEnd w:id="2"/>
            <w:r>
              <w:rPr>
                <w:rFonts w:eastAsia="仿宋_GB2312"/>
                <w:sz w:val="32"/>
                <w:szCs w:val="32"/>
              </w:rPr>
              <w:t>印发</w:t>
            </w:r>
          </w:p>
        </w:tc>
      </w:tr>
    </w:tbl>
    <w:p>
      <w:pPr>
        <w:spacing w:line="400" w:lineRule="exact"/>
        <w:ind w:right="-100"/>
        <w:jc w:val="right"/>
        <w:rPr>
          <w:rFonts w:hint="eastAsia"/>
        </w:rPr>
      </w:pPr>
    </w:p>
    <w:sectPr>
      <w:pgSz w:w="11906" w:h="16838"/>
      <w:pgMar w:top="2098" w:right="1418" w:bottom="1985" w:left="1588" w:header="851" w:footer="1486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姚体">
    <w:altName w:val="汉仪书宋二KW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'Times New Roman'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mMjA4MWYyMDFhODQ0ZTc4YTBjMjBkNjljZDA5MmQifQ=="/>
  </w:docVars>
  <w:rsids>
    <w:rsidRoot w:val="004E083C"/>
    <w:rsid w:val="000172CC"/>
    <w:rsid w:val="00035F71"/>
    <w:rsid w:val="001A22DD"/>
    <w:rsid w:val="001A7A0C"/>
    <w:rsid w:val="002C3C1A"/>
    <w:rsid w:val="00412251"/>
    <w:rsid w:val="004460F8"/>
    <w:rsid w:val="004A1403"/>
    <w:rsid w:val="004C23FD"/>
    <w:rsid w:val="005172B1"/>
    <w:rsid w:val="00554A7A"/>
    <w:rsid w:val="006A3AE6"/>
    <w:rsid w:val="006E7776"/>
    <w:rsid w:val="0075114E"/>
    <w:rsid w:val="00853BA6"/>
    <w:rsid w:val="009D4248"/>
    <w:rsid w:val="00A10A7D"/>
    <w:rsid w:val="00A640FC"/>
    <w:rsid w:val="00BC4F17"/>
    <w:rsid w:val="00C45DE6"/>
    <w:rsid w:val="00CB3E6B"/>
    <w:rsid w:val="00D0686B"/>
    <w:rsid w:val="00FB5AEB"/>
    <w:rsid w:val="461352DC"/>
    <w:rsid w:val="5DDA534E"/>
    <w:rsid w:val="7D9EA742"/>
    <w:rsid w:val="A77D7885"/>
    <w:rsid w:val="EFFC13DB"/>
    <w:rsid w:val="FDF95A9B"/>
    <w:rsid w:val="FEAB40A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8"/>
    <w:qFormat/>
    <w:uiPriority w:val="0"/>
    <w:pPr>
      <w:spacing w:line="560" w:lineRule="exact"/>
      <w:jc w:val="center"/>
      <w:outlineLvl w:val="0"/>
    </w:pPr>
    <w:rPr>
      <w:rFonts w:ascii="华文中宋" w:hAnsi="华文中宋" w:eastAsia="黑体"/>
      <w:bCs/>
      <w:sz w:val="44"/>
      <w:szCs w:val="4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qFormat/>
    <w:uiPriority w:val="0"/>
    <w:pPr>
      <w:shd w:val="clear" w:color="auto" w:fill="000080"/>
    </w:pPr>
  </w:style>
  <w:style w:type="paragraph" w:styleId="4">
    <w:name w:val="Body Text"/>
    <w:basedOn w:val="1"/>
    <w:qFormat/>
    <w:uiPriority w:val="0"/>
    <w:rPr>
      <w:rFonts w:ascii="宋体" w:hAnsi="宋体"/>
      <w:sz w:val="24"/>
    </w:rPr>
  </w:style>
  <w:style w:type="paragraph" w:styleId="5">
    <w:name w:val="Body Text Indent"/>
    <w:basedOn w:val="1"/>
    <w:qFormat/>
    <w:uiPriority w:val="0"/>
    <w:pPr>
      <w:spacing w:line="560" w:lineRule="exact"/>
      <w:ind w:firstLine="538" w:firstLineChars="192"/>
    </w:pPr>
    <w:rPr>
      <w:rFonts w:eastAsia="仿宋"/>
      <w:sz w:val="28"/>
    </w:rPr>
  </w:style>
  <w:style w:type="paragraph" w:styleId="6">
    <w:name w:val="Date"/>
    <w:basedOn w:val="1"/>
    <w:next w:val="1"/>
    <w:qFormat/>
    <w:uiPriority w:val="0"/>
    <w:pPr>
      <w:ind w:left="100" w:leftChars="2500"/>
    </w:pPr>
    <w:rPr>
      <w:sz w:val="28"/>
    </w:rPr>
  </w:style>
  <w:style w:type="paragraph" w:styleId="7">
    <w:name w:val="Balloon Text"/>
    <w:basedOn w:val="1"/>
    <w:link w:val="54"/>
    <w:qFormat/>
    <w:uiPriority w:val="0"/>
    <w:rPr>
      <w:sz w:val="18"/>
      <w:szCs w:val="18"/>
    </w:rPr>
  </w:style>
  <w:style w:type="paragraph" w:styleId="8">
    <w:name w:val="footer"/>
    <w:basedOn w:val="1"/>
    <w:link w:val="6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5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Subtitle"/>
    <w:basedOn w:val="1"/>
    <w:next w:val="1"/>
    <w:link w:val="45"/>
    <w:qFormat/>
    <w:uiPriority w:val="0"/>
    <w:pPr>
      <w:spacing w:line="560" w:lineRule="exact"/>
      <w:ind w:firstLine="200" w:firstLineChars="200"/>
      <w:jc w:val="center"/>
      <w:outlineLvl w:val="1"/>
    </w:pPr>
    <w:rPr>
      <w:rFonts w:ascii="等线 Light" w:hAnsi="等线 Light" w:eastAsia="黑体"/>
      <w:b/>
      <w:bCs/>
      <w:kern w:val="28"/>
      <w:sz w:val="30"/>
      <w:szCs w:val="32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">
    <w:name w:val="Table Theme"/>
    <w:basedOn w:val="11"/>
    <w:qFormat/>
    <w:uiPriority w:val="0"/>
    <w:pPr>
      <w:widowControl w:val="0"/>
      <w:spacing w:line="560" w:lineRule="exact"/>
      <w:ind w:firstLine="200" w:firstLineChars="20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page number"/>
    <w:qFormat/>
    <w:uiPriority w:val="0"/>
    <w:rPr>
      <w:rFonts w:ascii="Times New Roman" w:hAnsi="Times New Roman" w:eastAsia="宋体" w:cs="Times New Roman"/>
    </w:rPr>
  </w:style>
  <w:style w:type="character" w:styleId="16">
    <w:name w:val="FollowedHyperlink"/>
    <w:unhideWhenUsed/>
    <w:qFormat/>
    <w:uiPriority w:val="99"/>
    <w:rPr>
      <w:rFonts w:ascii="Times New Roman" w:hAnsi="Times New Roman" w:eastAsia="宋体" w:cs="Times New Roman"/>
      <w:color w:val="954F72"/>
      <w:u w:val="single"/>
    </w:rPr>
  </w:style>
  <w:style w:type="character" w:styleId="17">
    <w:name w:val="Hyperlink"/>
    <w:unhideWhenUsed/>
    <w:qFormat/>
    <w:uiPriority w:val="99"/>
    <w:rPr>
      <w:rFonts w:ascii="Times New Roman" w:hAnsi="Times New Roman" w:eastAsia="宋体" w:cs="Times New Roman"/>
      <w:color w:val="0563C1"/>
      <w:u w:val="single"/>
    </w:rPr>
  </w:style>
  <w:style w:type="character" w:customStyle="1" w:styleId="18">
    <w:name w:val="页眉 Char"/>
    <w:link w:val="9"/>
    <w:uiPriority w:val="0"/>
    <w:rPr>
      <w:kern w:val="2"/>
      <w:sz w:val="18"/>
      <w:szCs w:val="18"/>
    </w:rPr>
  </w:style>
  <w:style w:type="character" w:customStyle="1" w:styleId="19">
    <w:name w:val="页脚 Char"/>
    <w:link w:val="8"/>
    <w:uiPriority w:val="0"/>
    <w:rPr>
      <w:kern w:val="2"/>
      <w:sz w:val="18"/>
      <w:szCs w:val="18"/>
    </w:rPr>
  </w:style>
  <w:style w:type="paragraph" w:customStyle="1" w:styleId="20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1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88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6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7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paragraph"/>
    <w:semiHidden/>
    <w:qFormat/>
    <w:uiPriority w:val="0"/>
    <w:pPr>
      <w:spacing w:before="100" w:beforeAutospacing="1" w:after="100" w:afterAutospacing="1"/>
    </w:pPr>
    <w:rPr>
      <w:rFonts w:ascii="等线" w:hAnsi="等线" w:eastAsia="等线" w:cs="Times New Roman"/>
      <w:sz w:val="24"/>
      <w:szCs w:val="24"/>
      <w:lang w:val="en-US" w:eastAsia="zh-CN" w:bidi="ar-SA"/>
    </w:rPr>
  </w:style>
  <w:style w:type="paragraph" w:customStyle="1" w:styleId="30">
    <w:name w:val="xl9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character" w:customStyle="1" w:styleId="32">
    <w:name w:val="正文文本_"/>
    <w:basedOn w:val="14"/>
    <w:link w:val="33"/>
    <w:qFormat/>
    <w:uiPriority w:val="0"/>
    <w:rPr>
      <w:rFonts w:ascii="宋体" w:hAnsi="宋体" w:eastAsia="宋体" w:cs="宋体"/>
      <w:kern w:val="0"/>
      <w:sz w:val="30"/>
      <w:szCs w:val="30"/>
      <w:lang w:val="zh-CN" w:bidi="zh-CN"/>
    </w:rPr>
  </w:style>
  <w:style w:type="paragraph" w:customStyle="1" w:styleId="33">
    <w:name w:val="正文文本1"/>
    <w:basedOn w:val="1"/>
    <w:link w:val="32"/>
    <w:qFormat/>
    <w:uiPriority w:val="0"/>
    <w:pPr>
      <w:spacing w:line="439" w:lineRule="auto"/>
      <w:ind w:firstLine="400"/>
      <w:jc w:val="left"/>
    </w:pPr>
    <w:rPr>
      <w:rFonts w:ascii="宋体" w:hAnsi="宋体" w:cs="宋体"/>
      <w:kern w:val="0"/>
      <w:sz w:val="30"/>
      <w:szCs w:val="30"/>
      <w:lang w:val="zh-CN" w:bidi="zh-CN"/>
    </w:rPr>
  </w:style>
  <w:style w:type="paragraph" w:customStyle="1" w:styleId="34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5">
    <w:name w:val="xl76"/>
    <w:basedOn w:val="1"/>
    <w:qFormat/>
    <w:uiPriority w:val="0"/>
    <w:pPr>
      <w:widowControl/>
      <w:pBdr>
        <w:top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7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38">
    <w:name w:val="标题 1 字符"/>
    <w:link w:val="2"/>
    <w:qFormat/>
    <w:uiPriority w:val="0"/>
    <w:rPr>
      <w:rFonts w:ascii="华文中宋" w:hAnsi="华文中宋" w:eastAsia="黑体" w:cs="Times New Roman"/>
      <w:bCs/>
      <w:sz w:val="44"/>
      <w:szCs w:val="44"/>
    </w:rPr>
  </w:style>
  <w:style w:type="paragraph" w:customStyle="1" w:styleId="39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40">
    <w:name w:val="xl73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D0D0D"/>
      <w:kern w:val="0"/>
      <w:sz w:val="20"/>
      <w:szCs w:val="20"/>
    </w:rPr>
  </w:style>
  <w:style w:type="paragraph" w:customStyle="1" w:styleId="42">
    <w:name w:val="xl87"/>
    <w:basedOn w:val="1"/>
    <w:qFormat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45">
    <w:name w:val="副标题 字符"/>
    <w:link w:val="10"/>
    <w:qFormat/>
    <w:uiPriority w:val="0"/>
    <w:rPr>
      <w:rFonts w:ascii="等线 Light" w:hAnsi="等线 Light" w:eastAsia="黑体" w:cs="Times New Roman"/>
      <w:b/>
      <w:bCs/>
      <w:kern w:val="28"/>
      <w:sz w:val="30"/>
      <w:szCs w:val="32"/>
    </w:rPr>
  </w:style>
  <w:style w:type="paragraph" w:customStyle="1" w:styleId="46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47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48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49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50">
    <w:name w:val="xl6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51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52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D0D0D"/>
      <w:kern w:val="0"/>
      <w:sz w:val="20"/>
      <w:szCs w:val="20"/>
    </w:rPr>
  </w:style>
  <w:style w:type="paragraph" w:customStyle="1" w:styleId="53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54">
    <w:name w:val="批注框文本 字符"/>
    <w:link w:val="7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55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D0D0D"/>
      <w:kern w:val="0"/>
      <w:sz w:val="20"/>
      <w:szCs w:val="20"/>
    </w:rPr>
  </w:style>
  <w:style w:type="character" w:customStyle="1" w:styleId="56">
    <w:name w:val="页眉 字符"/>
    <w:link w:val="9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57">
    <w:name w:val="xl90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58">
    <w:name w:val="xl9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59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60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D0D0D"/>
      <w:kern w:val="0"/>
      <w:sz w:val="20"/>
      <w:szCs w:val="20"/>
    </w:rPr>
  </w:style>
  <w:style w:type="paragraph" w:customStyle="1" w:styleId="61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character" w:customStyle="1" w:styleId="62">
    <w:name w:val="页脚 字符"/>
    <w:link w:val="8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63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kern w:val="0"/>
      <w:sz w:val="20"/>
      <w:szCs w:val="20"/>
    </w:rPr>
  </w:style>
  <w:style w:type="paragraph" w:customStyle="1" w:styleId="6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苏州工业园区管委会</Company>
  <Pages>10</Pages>
  <Words>4935</Words>
  <Characters>5444</Characters>
  <Lines>3</Lines>
  <Paragraphs>1</Paragraphs>
  <TotalTime>28</TotalTime>
  <ScaleCrop>false</ScaleCrop>
  <LinksUpToDate>false</LinksUpToDate>
  <CharactersWithSpaces>5511</CharactersWithSpaces>
  <Application>WPS Office WWO_wpscloud_20230216181815-a7cba4286f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2024-11-06T02:47:00Z</dcterms:created>
  <dc:creator>CP</dc:creator>
  <cp:lastModifiedBy>ysqn</cp:lastModifiedBy>
  <cp:lastPrinted>2024-11-06T22:32:00Z</cp:lastPrinted>
  <dcterms:modified xsi:type="dcterms:W3CDTF">2024-11-11T11:27:28Z</dcterms:modified>
  <dc:title>关于收回苏州工业园区教育发展投资公司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398A7EB494414CBD84729E6FC3AA7CEB_13</vt:lpwstr>
  </property>
</Properties>
</file>