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F9D06">
      <w:pPr>
        <w:keepNext/>
        <w:keepLines/>
        <w:tabs>
          <w:tab w:val="left" w:pos="840"/>
          <w:tab w:val="left" w:pos="6955"/>
        </w:tabs>
        <w:snapToGrid w:val="0"/>
        <w:spacing w:before="156" w:beforeLines="50" w:after="93" w:line="240" w:lineRule="auto"/>
        <w:jc w:val="center"/>
        <w:outlineLvl w:val="2"/>
        <w:rPr>
          <w:rFonts w:ascii="微软雅黑" w:hAnsi="微软雅黑" w:eastAsia="微软雅黑"/>
          <w:color w:val="000000"/>
          <w:sz w:val="36"/>
          <w:szCs w:val="36"/>
          <w:shd w:val="clear" w:color="auto" w:fill="FFFFFF"/>
        </w:rPr>
      </w:pPr>
      <w:bookmarkStart w:id="0" w:name="_Toc135913014"/>
      <w:bookmarkStart w:id="12" w:name="_GoBack"/>
      <w:bookmarkEnd w:id="12"/>
      <w:r>
        <w:rPr>
          <w:rFonts w:hint="eastAsia" w:ascii="微软雅黑" w:hAnsi="微软雅黑" w:eastAsia="微软雅黑"/>
          <w:color w:val="000000"/>
          <w:sz w:val="36"/>
          <w:szCs w:val="36"/>
          <w:shd w:val="clear" w:color="auto" w:fill="FFFFFF"/>
        </w:rPr>
        <w:t>20</w:t>
      </w:r>
      <w:r>
        <w:rPr>
          <w:rFonts w:ascii="微软雅黑" w:hAnsi="微软雅黑" w:eastAsia="微软雅黑"/>
          <w:color w:val="000000"/>
          <w:sz w:val="36"/>
          <w:szCs w:val="36"/>
          <w:shd w:val="clear" w:color="auto" w:fill="FFFFFF"/>
        </w:rPr>
        <w:t>24</w:t>
      </w:r>
      <w:r>
        <w:rPr>
          <w:rFonts w:hint="eastAsia" w:ascii="微软雅黑" w:hAnsi="微软雅黑" w:eastAsia="微软雅黑"/>
          <w:color w:val="000000"/>
          <w:sz w:val="36"/>
          <w:szCs w:val="36"/>
          <w:shd w:val="clear" w:color="auto" w:fill="FFFFFF"/>
        </w:rPr>
        <w:t>年度常熟市生态环境状况公报</w:t>
      </w:r>
    </w:p>
    <w:bookmarkEnd w:id="0"/>
    <w:p w14:paraId="5017E378">
      <w:pPr>
        <w:pStyle w:val="2"/>
      </w:pPr>
      <w:bookmarkStart w:id="1" w:name="_Toc167091902"/>
      <w:r>
        <w:rPr>
          <w:rFonts w:hint="eastAsia"/>
        </w:rPr>
        <w:t>1 水环境质量状况</w:t>
      </w:r>
      <w:bookmarkEnd w:id="1"/>
    </w:p>
    <w:p w14:paraId="3A94F371">
      <w:pPr>
        <w:ind w:firstLine="560" w:firstLineChars="200"/>
      </w:pPr>
      <w:bookmarkStart w:id="2" w:name="_Toc135913015"/>
      <w:bookmarkStart w:id="3" w:name="_Toc167091903"/>
      <w:r>
        <w:rPr>
          <w:rFonts w:hint="eastAsia"/>
        </w:rPr>
        <w:t>2024年，常熟市地表水水质状况为优，达到或优于Ⅲ类水质断面的比例为</w:t>
      </w:r>
      <w:r>
        <w:t>9</w:t>
      </w:r>
      <w:r>
        <w:rPr>
          <w:rFonts w:hint="eastAsia"/>
        </w:rPr>
        <w:t>8</w:t>
      </w:r>
      <w:r>
        <w:t>.0</w:t>
      </w:r>
      <w:r>
        <w:rPr>
          <w:rFonts w:hint="eastAsia"/>
        </w:rPr>
        <w:t>%，较上年上升了4</w:t>
      </w:r>
      <w:r>
        <w:t>.0</w:t>
      </w:r>
      <w:r>
        <w:rPr>
          <w:rFonts w:hint="eastAsia"/>
        </w:rPr>
        <w:t>个百分点，无Ⅴ类、劣Ⅴ类水质断面，主要污染指标为总磷；地表水</w:t>
      </w:r>
      <w:r>
        <w:t>平均综合污染指数为0.3</w:t>
      </w:r>
      <w:r>
        <w:rPr>
          <w:rFonts w:hint="eastAsia"/>
        </w:rPr>
        <w:t>5</w:t>
      </w:r>
      <w:r>
        <w:t>，</w:t>
      </w:r>
      <w:r>
        <w:rPr>
          <w:rFonts w:hint="eastAsia"/>
        </w:rPr>
        <w:t>较上年上升</w:t>
      </w:r>
      <w:r>
        <w:t>0.0</w:t>
      </w:r>
      <w:r>
        <w:rPr>
          <w:rFonts w:hint="eastAsia"/>
        </w:rPr>
        <w:t>2</w:t>
      </w:r>
      <w:r>
        <w:t>，</w:t>
      </w:r>
      <w:r>
        <w:rPr>
          <w:rFonts w:hint="eastAsia"/>
        </w:rPr>
        <w:t>升</w:t>
      </w:r>
      <w:r>
        <w:t>幅为</w:t>
      </w:r>
      <w:r>
        <w:rPr>
          <w:rFonts w:hint="eastAsia"/>
        </w:rPr>
        <w:t>6.1</w:t>
      </w:r>
      <w:r>
        <w:t>%</w:t>
      </w:r>
      <w:r>
        <w:rPr>
          <w:rFonts w:hint="eastAsia"/>
        </w:rPr>
        <w:t>。与上年相比，全市</w:t>
      </w:r>
      <w:r>
        <w:t>地表水</w:t>
      </w:r>
      <w:r>
        <w:rPr>
          <w:rFonts w:hint="eastAsia"/>
        </w:rPr>
        <w:t>水质状况保持不变，水</w:t>
      </w:r>
      <w:r>
        <w:t>环境质量</w:t>
      </w:r>
      <w:r>
        <w:rPr>
          <w:rFonts w:hint="eastAsia"/>
        </w:rPr>
        <w:t>无明显变化</w:t>
      </w:r>
      <w:r>
        <w:t>。</w:t>
      </w:r>
    </w:p>
    <w:p w14:paraId="7F4C1A3A">
      <w:pPr>
        <w:ind w:firstLine="560" w:firstLineChars="200"/>
      </w:pPr>
      <w:r>
        <w:rPr>
          <w:rFonts w:hint="eastAsia"/>
        </w:rPr>
        <w:t>城区</w:t>
      </w:r>
      <w:r>
        <w:t>河道水质</w:t>
      </w:r>
      <w:r>
        <w:rPr>
          <w:rFonts w:hint="eastAsia"/>
        </w:rPr>
        <w:t>为优，水质等级</w:t>
      </w:r>
      <w:r>
        <w:rPr>
          <w:rFonts w:hint="eastAsia"/>
          <w:szCs w:val="22"/>
        </w:rPr>
        <w:t>与上年相比无变化，</w:t>
      </w:r>
      <w:r>
        <w:rPr>
          <w:rFonts w:hint="eastAsia"/>
        </w:rPr>
        <w:t>7</w:t>
      </w:r>
      <w:r>
        <w:t>个监测断面</w:t>
      </w:r>
      <w:r>
        <w:rPr>
          <w:rFonts w:hint="eastAsia"/>
        </w:rPr>
        <w:t>的</w:t>
      </w:r>
      <w:r>
        <w:t>优</w:t>
      </w:r>
      <w:r>
        <w:rPr>
          <w:rFonts w:hint="eastAsia" w:cs="宋体"/>
        </w:rPr>
        <w:t>Ⅲ类</w:t>
      </w:r>
      <w:r>
        <w:t>比例为100%</w:t>
      </w:r>
      <w:r>
        <w:rPr>
          <w:rFonts w:hint="eastAsia"/>
        </w:rPr>
        <w:t>，</w:t>
      </w:r>
      <w:r>
        <w:t>优</w:t>
      </w:r>
      <w:r>
        <w:rPr>
          <w:rFonts w:hint="eastAsia" w:cs="宋体"/>
        </w:rPr>
        <w:t>Ⅲ类</w:t>
      </w:r>
      <w:r>
        <w:t>比例</w:t>
      </w:r>
      <w:r>
        <w:rPr>
          <w:rFonts w:hint="eastAsia"/>
        </w:rPr>
        <w:t>与上年持平，无劣Ⅴ类水质断面</w:t>
      </w:r>
      <w:r>
        <w:t>。8条</w:t>
      </w:r>
      <w:r>
        <w:rPr>
          <w:rFonts w:hint="eastAsia"/>
        </w:rPr>
        <w:t>乡镇河道中，白茆塘、望虞河常熟段水质均为优，达到或优于Ⅲ类水质断面的比例为1</w:t>
      </w:r>
      <w:r>
        <w:t>00</w:t>
      </w:r>
      <w:r>
        <w:rPr>
          <w:rFonts w:hint="eastAsia"/>
        </w:rPr>
        <w:t>%，</w:t>
      </w:r>
      <w:r>
        <w:t>其中</w:t>
      </w:r>
      <w:r>
        <w:rPr>
          <w:rFonts w:hint="eastAsia"/>
        </w:rPr>
        <w:t>望虞河常熟段各断面均为Ⅱ类水质，与上年相比2条河道水质状况保持不变；张家港河、元和塘、常浒河水质均为良好，与上年相比3条河道水质状况下降一个等级，</w:t>
      </w:r>
      <w:r>
        <w:t>水质有所</w:t>
      </w:r>
      <w:r>
        <w:rPr>
          <w:rFonts w:hint="eastAsia"/>
        </w:rPr>
        <w:t>下降；福山塘、盐铁塘、锡北运河水质均为良好，与上年相比</w:t>
      </w:r>
      <w:r>
        <w:t>3</w:t>
      </w:r>
      <w:r>
        <w:rPr>
          <w:rFonts w:hint="eastAsia"/>
        </w:rPr>
        <w:t>条河道水质状况保持不变。</w:t>
      </w:r>
    </w:p>
    <w:p w14:paraId="25971DA8">
      <w:pPr>
        <w:ind w:firstLine="560" w:firstLineChars="200"/>
        <w:rPr>
          <w:szCs w:val="28"/>
        </w:rPr>
      </w:pPr>
      <w:r>
        <w:rPr>
          <w:szCs w:val="28"/>
        </w:rPr>
        <w:t>从平均综合污染指数来看</w:t>
      </w:r>
      <w:r>
        <w:rPr>
          <w:rFonts w:hint="eastAsia"/>
          <w:szCs w:val="28"/>
        </w:rPr>
        <w:t>，</w:t>
      </w:r>
      <w:r>
        <w:rPr>
          <w:szCs w:val="28"/>
        </w:rPr>
        <w:t>全市主要河道中</w:t>
      </w:r>
      <w:r>
        <w:rPr>
          <w:rFonts w:hint="eastAsia"/>
          <w:szCs w:val="28"/>
        </w:rPr>
        <w:t>城区河道</w:t>
      </w:r>
      <w:r>
        <w:rPr>
          <w:szCs w:val="28"/>
        </w:rPr>
        <w:t>平均综合污染指数最高，望虞河最低。与上年相比，</w:t>
      </w:r>
      <w:r>
        <w:t>城区河道、福山塘河道、锡北河河道、元和塘河道、张家港河道</w:t>
      </w:r>
      <w:r>
        <w:rPr>
          <w:szCs w:val="28"/>
        </w:rPr>
        <w:t>平均综合污染指数有所上升，</w:t>
      </w:r>
      <w:r>
        <w:t>望虞河河道、常浒河河道</w:t>
      </w:r>
      <w:r>
        <w:rPr>
          <w:szCs w:val="28"/>
        </w:rPr>
        <w:t>平均综合污染指数持平，其余河道平均综合污染指数均有所下降</w:t>
      </w:r>
      <w:r>
        <w:rPr>
          <w:rFonts w:hint="eastAsia"/>
          <w:szCs w:val="28"/>
        </w:rPr>
        <w:t>。</w:t>
      </w:r>
      <w:r>
        <w:rPr>
          <w:szCs w:val="28"/>
        </w:rPr>
        <w:t>其中</w:t>
      </w:r>
      <w:r>
        <w:rPr>
          <w:rFonts w:hint="eastAsia"/>
          <w:szCs w:val="28"/>
        </w:rPr>
        <w:t>盐铁塘</w:t>
      </w:r>
      <w:r>
        <w:rPr>
          <w:szCs w:val="28"/>
        </w:rPr>
        <w:t>下降幅度最大，为</w:t>
      </w:r>
      <w:r>
        <w:rPr>
          <w:rFonts w:hint="eastAsia"/>
          <w:szCs w:val="28"/>
        </w:rPr>
        <w:t>7.3</w:t>
      </w:r>
      <w:r>
        <w:rPr>
          <w:szCs w:val="28"/>
        </w:rPr>
        <w:t>%</w:t>
      </w:r>
      <w:r>
        <w:rPr>
          <w:rFonts w:hint="eastAsia"/>
          <w:szCs w:val="28"/>
        </w:rPr>
        <w:t>，元和塘河道</w:t>
      </w:r>
      <w:r>
        <w:rPr>
          <w:szCs w:val="28"/>
        </w:rPr>
        <w:t>升幅最大</w:t>
      </w:r>
      <w:r>
        <w:rPr>
          <w:rFonts w:hint="eastAsia"/>
          <w:szCs w:val="28"/>
        </w:rPr>
        <w:t>，</w:t>
      </w:r>
      <w:r>
        <w:rPr>
          <w:szCs w:val="28"/>
        </w:rPr>
        <w:t>为</w:t>
      </w:r>
      <w:r>
        <w:rPr>
          <w:rFonts w:hint="eastAsia"/>
          <w:szCs w:val="28"/>
        </w:rPr>
        <w:t>20.6</w:t>
      </w:r>
      <w:r>
        <w:rPr>
          <w:szCs w:val="28"/>
        </w:rPr>
        <w:t>%。</w:t>
      </w:r>
    </w:p>
    <w:p w14:paraId="31596FCD">
      <w:pPr>
        <w:ind w:firstLine="560" w:firstLineChars="200"/>
      </w:pPr>
      <w:r>
        <w:rPr>
          <w:rFonts w:hint="eastAsia"/>
        </w:rPr>
        <w:t>与周边邻市（区）交界断面中，1</w:t>
      </w:r>
      <w:r>
        <w:t>0个</w:t>
      </w:r>
      <w:r>
        <w:rPr>
          <w:rFonts w:hint="eastAsia"/>
        </w:rPr>
        <w:t>断面均达到或优于Ⅲ类水质，优良水质比例为1</w:t>
      </w:r>
      <w:r>
        <w:t>00%，</w:t>
      </w:r>
      <w:r>
        <w:rPr>
          <w:rFonts w:hint="eastAsia"/>
        </w:rPr>
        <w:t>较上年持平。</w:t>
      </w:r>
      <w:r>
        <w:rPr>
          <w:rFonts w:hint="eastAsia"/>
          <w:szCs w:val="22"/>
        </w:rPr>
        <w:t>与上年相比，入境断面中</w:t>
      </w:r>
      <w:r>
        <w:rPr>
          <w:szCs w:val="21"/>
        </w:rPr>
        <w:t>羊尖塘欧阳村</w:t>
      </w:r>
      <w:r>
        <w:rPr>
          <w:rFonts w:hint="eastAsia"/>
          <w:szCs w:val="22"/>
        </w:rPr>
        <w:t>断面水质好转一个类别，</w:t>
      </w:r>
      <w:r>
        <w:rPr>
          <w:szCs w:val="21"/>
        </w:rPr>
        <w:t>嘉菱塘钓邾桥</w:t>
      </w:r>
      <w:r>
        <w:rPr>
          <w:rFonts w:hint="eastAsia"/>
          <w:szCs w:val="21"/>
        </w:rPr>
        <w:t>断面水质变差一个类别，</w:t>
      </w:r>
      <w:r>
        <w:rPr>
          <w:rFonts w:hint="eastAsia"/>
          <w:szCs w:val="22"/>
        </w:rPr>
        <w:t>出境断面中</w:t>
      </w:r>
      <w:r>
        <w:rPr>
          <w:szCs w:val="21"/>
        </w:rPr>
        <w:t>张家港河朱家堰</w:t>
      </w:r>
      <w:r>
        <w:rPr>
          <w:rFonts w:hint="eastAsia"/>
          <w:szCs w:val="21"/>
        </w:rPr>
        <w:t>、</w:t>
      </w:r>
      <w:r>
        <w:rPr>
          <w:szCs w:val="21"/>
        </w:rPr>
        <w:t>西塘河大桥</w:t>
      </w:r>
      <w:r>
        <w:rPr>
          <w:rFonts w:hint="eastAsia"/>
          <w:szCs w:val="22"/>
        </w:rPr>
        <w:t>断面水质好转一个类别，</w:t>
      </w:r>
      <w:r>
        <w:rPr>
          <w:szCs w:val="21"/>
        </w:rPr>
        <w:t>元和塘潭泾村</w:t>
      </w:r>
      <w:r>
        <w:rPr>
          <w:rFonts w:hint="eastAsia"/>
          <w:szCs w:val="21"/>
        </w:rPr>
        <w:t>断面水质变差一个类别，</w:t>
      </w:r>
      <w:r>
        <w:rPr>
          <w:rFonts w:hint="eastAsia"/>
          <w:szCs w:val="22"/>
        </w:rPr>
        <w:t>其他断面水质类别保持不变。</w:t>
      </w:r>
    </w:p>
    <w:p w14:paraId="4F22E709">
      <w:pPr>
        <w:ind w:firstLine="560" w:firstLineChars="200"/>
        <w:rPr>
          <w:szCs w:val="22"/>
        </w:rPr>
      </w:pPr>
      <w:r>
        <w:rPr>
          <w:rFonts w:hint="eastAsia"/>
        </w:rPr>
        <w:t>2</w:t>
      </w:r>
      <w:r>
        <w:t>02</w:t>
      </w:r>
      <w:r>
        <w:rPr>
          <w:rFonts w:hint="eastAsia"/>
        </w:rPr>
        <w:t>4</w:t>
      </w:r>
      <w:r>
        <w:t>年常熟市</w:t>
      </w:r>
      <w:r>
        <w:rPr>
          <w:rFonts w:hint="eastAsia"/>
        </w:rPr>
        <w:t>3个主要湖泊水质均为良好。与上年相比，昆承湖</w:t>
      </w:r>
      <w:r>
        <w:rPr>
          <w:szCs w:val="22"/>
        </w:rPr>
        <w:t>水质</w:t>
      </w:r>
      <w:r>
        <w:rPr>
          <w:rFonts w:hint="eastAsia"/>
          <w:szCs w:val="22"/>
        </w:rPr>
        <w:t>上升了一个等级</w:t>
      </w:r>
      <w:r>
        <w:rPr>
          <w:szCs w:val="22"/>
        </w:rPr>
        <w:t>。</w:t>
      </w:r>
      <w:r>
        <w:rPr>
          <w:rFonts w:hint="eastAsia"/>
        </w:rPr>
        <w:t>昆承湖4个断面均为Ⅲ类水质，徐泾港、西塘河、湖中断面与上年相比均好转一个类别。尚湖、南湖荡水质等级保持良好，达到或优于Ⅲ类水质</w:t>
      </w:r>
      <w:r>
        <w:t>比例为100%</w:t>
      </w:r>
      <w:r>
        <w:rPr>
          <w:rFonts w:hint="eastAsia"/>
        </w:rPr>
        <w:t>。</w:t>
      </w:r>
      <w:r>
        <w:rPr>
          <w:rFonts w:hint="eastAsia"/>
          <w:szCs w:val="22"/>
        </w:rPr>
        <w:t>与上年相比，尚湖湖东断面水质变差一个类别，湖西、堤北点位</w:t>
      </w:r>
      <w:r>
        <w:rPr>
          <w:szCs w:val="22"/>
        </w:rPr>
        <w:t>水质类别</w:t>
      </w:r>
      <w:r>
        <w:rPr>
          <w:rFonts w:hint="eastAsia"/>
          <w:szCs w:val="22"/>
        </w:rPr>
        <w:t>不变，南湖荡各</w:t>
      </w:r>
      <w:r>
        <w:rPr>
          <w:szCs w:val="22"/>
        </w:rPr>
        <w:t>断面水质类别</w:t>
      </w:r>
      <w:r>
        <w:rPr>
          <w:rFonts w:hint="eastAsia"/>
          <w:szCs w:val="22"/>
        </w:rPr>
        <w:t>均保持不变。</w:t>
      </w:r>
    </w:p>
    <w:p w14:paraId="09061CC3">
      <w:pPr>
        <w:ind w:firstLine="560" w:firstLineChars="200"/>
        <w:rPr>
          <w:szCs w:val="22"/>
          <w:highlight w:val="yellow"/>
        </w:rPr>
      </w:pPr>
      <w:r>
        <w:rPr>
          <w:rFonts w:hint="eastAsia"/>
        </w:rPr>
        <w:t>3个主要湖泊中</w:t>
      </w:r>
      <w:r>
        <w:rPr>
          <w:rFonts w:hint="eastAsia"/>
          <w:szCs w:val="22"/>
        </w:rPr>
        <w:t>尚湖</w:t>
      </w:r>
      <w:r>
        <w:rPr>
          <w:szCs w:val="22"/>
        </w:rPr>
        <w:t>的平均综合污染指数最低</w:t>
      </w:r>
      <w:r>
        <w:rPr>
          <w:rFonts w:hint="eastAsia"/>
          <w:szCs w:val="22"/>
        </w:rPr>
        <w:t>，南湖荡最高；与上年</w:t>
      </w:r>
      <w:r>
        <w:rPr>
          <w:szCs w:val="22"/>
        </w:rPr>
        <w:t>相比</w:t>
      </w:r>
      <w:r>
        <w:rPr>
          <w:rFonts w:hint="eastAsia"/>
          <w:szCs w:val="22"/>
        </w:rPr>
        <w:t>，尚湖和</w:t>
      </w:r>
      <w:r>
        <w:rPr>
          <w:szCs w:val="22"/>
        </w:rPr>
        <w:t>昆承湖的</w:t>
      </w:r>
      <w:r>
        <w:rPr>
          <w:rFonts w:hint="eastAsia"/>
          <w:szCs w:val="22"/>
        </w:rPr>
        <w:t>平均综合污染指数有所下降，南湖荡保持不变。</w:t>
      </w:r>
      <w:r>
        <w:rPr>
          <w:rFonts w:hint="eastAsia"/>
        </w:rPr>
        <w:t>湖泊营养状态方面，昆承湖、尚湖、南湖荡均保持在中营养状态</w:t>
      </w:r>
      <w:r>
        <w:rPr>
          <w:rFonts w:hint="eastAsia"/>
          <w:szCs w:val="22"/>
        </w:rPr>
        <w:t>，</w:t>
      </w:r>
      <w:r>
        <w:rPr>
          <w:rFonts w:hint="eastAsia"/>
        </w:rPr>
        <w:t>尚湖综合营养状态指数最低，</w:t>
      </w:r>
      <w:r>
        <w:rPr>
          <w:rFonts w:hint="eastAsia"/>
          <w:szCs w:val="22"/>
        </w:rPr>
        <w:t>南湖荡最高；与上年相比，三个湖泊的</w:t>
      </w:r>
      <w:r>
        <w:rPr>
          <w:rFonts w:hint="eastAsia"/>
        </w:rPr>
        <w:t>综合营养状态指数均</w:t>
      </w:r>
      <w:r>
        <w:rPr>
          <w:rFonts w:hint="eastAsia"/>
          <w:szCs w:val="22"/>
        </w:rPr>
        <w:t>有所降低。</w:t>
      </w:r>
    </w:p>
    <w:p w14:paraId="4A8A2C2C">
      <w:pPr>
        <w:ind w:firstLine="560" w:firstLineChars="200"/>
        <w:rPr>
          <w:szCs w:val="22"/>
          <w:highlight w:val="yellow"/>
        </w:rPr>
      </w:pPr>
      <w:r>
        <w:rPr>
          <w:rFonts w:hint="eastAsia"/>
        </w:rPr>
        <w:t>2</w:t>
      </w:r>
      <w:r>
        <w:t>02</w:t>
      </w:r>
      <w:r>
        <w:rPr>
          <w:rFonts w:hint="eastAsia"/>
        </w:rPr>
        <w:t>4</w:t>
      </w:r>
      <w:r>
        <w:t>年常熟</w:t>
      </w:r>
      <w:r>
        <w:rPr>
          <w:rFonts w:hint="eastAsia"/>
        </w:rPr>
        <w:t>市</w:t>
      </w:r>
      <w:r>
        <w:t>2</w:t>
      </w:r>
      <w:r>
        <w:rPr>
          <w:rFonts w:hint="eastAsia"/>
        </w:rPr>
        <w:t>4个</w:t>
      </w:r>
      <w:r>
        <w:t>主要考核断面</w:t>
      </w:r>
      <w:r>
        <w:rPr>
          <w:rFonts w:hint="eastAsia"/>
        </w:rPr>
        <w:t>中，达到2</w:t>
      </w:r>
      <w:r>
        <w:t>02</w:t>
      </w:r>
      <w:r>
        <w:rPr>
          <w:rFonts w:hint="eastAsia"/>
        </w:rPr>
        <w:t>4</w:t>
      </w:r>
      <w:r>
        <w:t>年</w:t>
      </w:r>
      <w:r>
        <w:rPr>
          <w:rFonts w:hint="eastAsia"/>
        </w:rPr>
        <w:t>考核目标的断面比例为</w:t>
      </w:r>
      <w:r>
        <w:t>10</w:t>
      </w:r>
      <w:r>
        <w:rPr>
          <w:rFonts w:hint="eastAsia"/>
        </w:rPr>
        <w:t>0%，与上年持平；昆承湖心（湖中）水质由轻度污染提升至良好，24个</w:t>
      </w:r>
      <w:r>
        <w:t>主要考核断面</w:t>
      </w:r>
      <w:r>
        <w:rPr>
          <w:rFonts w:hint="eastAsia"/>
        </w:rPr>
        <w:t>水质均为优或良好，达到或优于Ⅲ类水质断面占比100%，与上年相比上升了3.4</w:t>
      </w:r>
      <w:r>
        <w:t>个百分点</w:t>
      </w:r>
      <w:r>
        <w:rPr>
          <w:rFonts w:hint="eastAsia"/>
        </w:rPr>
        <w:t>。</w:t>
      </w:r>
    </w:p>
    <w:p w14:paraId="31CD6AD4">
      <w:pPr>
        <w:ind w:firstLine="560" w:firstLineChars="200"/>
      </w:pPr>
      <w:r>
        <w:rPr>
          <w:rFonts w:hint="eastAsia"/>
        </w:rPr>
        <w:t>2</w:t>
      </w:r>
      <w:r>
        <w:t>02</w:t>
      </w:r>
      <w:r>
        <w:rPr>
          <w:rFonts w:hint="eastAsia"/>
        </w:rPr>
        <w:t>4</w:t>
      </w:r>
      <w:r>
        <w:t>年常熟</w:t>
      </w:r>
      <w:r>
        <w:rPr>
          <w:rFonts w:hint="eastAsia"/>
        </w:rPr>
        <w:t>市2个集中式饮用水</w:t>
      </w:r>
      <w:r>
        <w:t>水源地水质</w:t>
      </w:r>
      <w:r>
        <w:rPr>
          <w:rFonts w:hint="eastAsia"/>
        </w:rPr>
        <w:t>达标率均为100</w:t>
      </w:r>
      <w:r>
        <w:t>%，</w:t>
      </w:r>
      <w:r>
        <w:rPr>
          <w:rFonts w:hint="eastAsia"/>
        </w:rPr>
        <w:t>均属安全饮用水源。尚湖饮用水水源地为Ⅲ类水质，水质状况为良好，与上年相比下降了一个类别；长江饮用水水源地水质为Ⅱ类水质，水质状况为优，与上年持平。全市集中式饮用水源地80个特定项目均未超标，水质安全稳定。</w:t>
      </w:r>
    </w:p>
    <w:p w14:paraId="30880E80">
      <w:pPr>
        <w:ind w:firstLine="560" w:firstLineChars="200"/>
        <w:rPr>
          <w:color w:val="000000"/>
        </w:rPr>
      </w:pPr>
      <w:r>
        <w:rPr>
          <w:rFonts w:hint="eastAsia"/>
        </w:rPr>
        <w:t>2</w:t>
      </w:r>
      <w:r>
        <w:t>02</w:t>
      </w:r>
      <w:r>
        <w:rPr>
          <w:rFonts w:hint="eastAsia"/>
        </w:rPr>
        <w:t>4</w:t>
      </w:r>
      <w:r>
        <w:t>年常熟</w:t>
      </w:r>
      <w:r>
        <w:rPr>
          <w:rFonts w:hint="eastAsia"/>
        </w:rPr>
        <w:t>市3个地下水点位均未</w:t>
      </w:r>
      <w:r>
        <w:t>达到</w:t>
      </w:r>
      <w:r>
        <w:rPr>
          <w:rFonts w:hint="eastAsia"/>
        </w:rPr>
        <w:t>Ⅲ类水质，城区点地下水水质为Ⅴ类，与上年持平，定类指标为</w:t>
      </w:r>
      <w:r>
        <w:t>总大肠菌群</w:t>
      </w:r>
      <w:r>
        <w:rPr>
          <w:rFonts w:hint="eastAsia"/>
        </w:rPr>
        <w:t>；工业点地下水水质为Ⅴ类，与上年持平，定类指标为臭和味、浑</w:t>
      </w:r>
      <w:r>
        <w:rPr>
          <w:rFonts w:hint="eastAsia" w:cs="仿宋"/>
          <w:color w:val="000000"/>
          <w:szCs w:val="28"/>
        </w:rPr>
        <w:t>浊度、氯化物、</w:t>
      </w:r>
      <w:r>
        <w:t>总大肠菌群</w:t>
      </w:r>
      <w:r>
        <w:rPr>
          <w:rFonts w:hint="eastAsia"/>
        </w:rPr>
        <w:t>；农村点地下水水质为Ⅴ类，与上年持平，定类指标为</w:t>
      </w:r>
      <w:r>
        <w:t>总大肠菌群</w:t>
      </w:r>
      <w:r>
        <w:rPr>
          <w:rFonts w:hint="eastAsia"/>
        </w:rPr>
        <w:t>。</w:t>
      </w:r>
    </w:p>
    <w:p w14:paraId="1689FBE0">
      <w:pPr>
        <w:pStyle w:val="2"/>
      </w:pPr>
      <w:r>
        <w:rPr>
          <w:rFonts w:hint="eastAsia"/>
        </w:rPr>
        <w:t>2 大气环境质量及酸沉降状况</w:t>
      </w:r>
      <w:bookmarkEnd w:id="2"/>
      <w:bookmarkEnd w:id="3"/>
    </w:p>
    <w:p w14:paraId="17C18CFA">
      <w:pPr>
        <w:ind w:firstLine="560" w:firstLineChars="200"/>
      </w:pPr>
      <w:bookmarkStart w:id="4" w:name="_Toc167091904"/>
      <w:bookmarkStart w:id="5" w:name="_Toc135913016"/>
      <w:r>
        <w:rPr>
          <w:rFonts w:hint="eastAsia"/>
        </w:rPr>
        <w:t>2024年常熟市城区环境空气质量中各监测指标日达标率在90.7%~100%之间，其中臭氧日达标率最低。二氧化氮、臭氧、可吸入颗粒物日达标率较上年分别上升了0.2、5.2、0.7个百分点；细颗粒物日达标率较上年降低了1.7个百分点；二氧化硫、一氧化碳日达标率同比持平，均为100%。</w:t>
      </w:r>
    </w:p>
    <w:p w14:paraId="3CA360CC">
      <w:pPr>
        <w:ind w:firstLine="560" w:firstLineChars="200"/>
      </w:pPr>
      <w:r>
        <w:rPr>
          <w:rFonts w:hint="eastAsia"/>
        </w:rPr>
        <w:t>各监测指标中二氧化硫、二氧化氮、可吸入颗粒物、臭氧、一氧化碳的年评价指标均达到国家二级标准，细颗粒物年评价指标未达到国家二级标准。二氧化硫年平均浓度为6微克/立方米，与上年相比下降了33.3%，24小时平均第98百分位数浓度为10微克/立方米，较上年下降了16.7%；二氧化氮年平均浓度为24微克/立方米，较上年下降了17.2%，24小时平均第98百分位数浓度为62微克/立方米，较上年下降了11.4%；可吸入颗粒物浓度年平均浓度为45微克/立方米，较上年下降了6.3%，24小时平均第95百分位数浓度为112微克/立方米，较上年上升了3.7%；细颗粒物年平均浓度为28微克/立方米，同比持平，24小时平均第95百分位数浓度为82微克/立方米，较上年上升了17.1%；一氧化碳24小时平均第95百分位数浓度为1.0毫克/立方米，较上年下降了9.1%；臭氧日最大8小时滑动平均值第90百分位数浓度为158微克/立方米，较上年下降了8.1%。</w:t>
      </w:r>
    </w:p>
    <w:p w14:paraId="62C53684">
      <w:pPr>
        <w:ind w:firstLine="560" w:firstLineChars="200"/>
      </w:pPr>
      <w:r>
        <w:rPr>
          <w:rFonts w:hint="eastAsia"/>
        </w:rPr>
        <w:t>城区环境空气质量综合指数为3.96，与上年相比下降0.08，环境空气质量有所好转。细颗粒物的单项质量指数分担率最高，是主要污染物；与上年相比，二氧化硫指数降幅最大，达33.3%；细颗粒物指数升幅最大，达17.2%。城区三个省控站点中，海虞站的环境空气质量综合指数最高，为4.20；兴福站的环境空气质量综合指数最低，为3.83。</w:t>
      </w:r>
    </w:p>
    <w:p w14:paraId="42C95FF0">
      <w:pPr>
        <w:ind w:firstLine="560" w:firstLineChars="200"/>
      </w:pPr>
      <w:r>
        <w:rPr>
          <w:rFonts w:hint="eastAsia"/>
        </w:rPr>
        <w:t>2024年常熟市城区环境空气质量状况以良为主，优良天数共310天，环境空气达标率为84.7%，与上年相比上升了4.7个百分点。未达标天数中，轻度污染48天，占比13.1%；中度污染7天，占比1.9%；重度污染1天，占比0.3%。城区环境空气质量呈季节性变化，4月至10月，臭氧浓度高于其他月份；其他污染物浓度冬季较高，其他季节相对较低。单月累计优良率在1月最低，2月至4月较高，5月份开始呈波动下降趋势，6月、8月到达全年低谷，随后又呈上升趋势，11月再次到达100.0%。</w:t>
      </w:r>
    </w:p>
    <w:p w14:paraId="3564F55B">
      <w:pPr>
        <w:ind w:firstLine="560" w:firstLineChars="200"/>
      </w:pPr>
      <w:r>
        <w:rPr>
          <w:rFonts w:hint="eastAsia"/>
        </w:rPr>
        <w:t>2024年常熟市各乡镇（街道）环境空气中二氧化硫、可吸入颗粒物和一氧化碳的年评价均达标，细颗粒物有10个乡镇（街道）超标，臭氧有9个乡镇（街道）超标，二氧化氮有1个乡镇（街道）超标。各乡镇（街道）中碧溪街道环境空气累计优良率最高，为87.7%；沙家浜镇最低，为78.7%。虞山街道环境空气质量综合指数最低，为3.84；梅李镇最高，为4.43。</w:t>
      </w:r>
    </w:p>
    <w:p w14:paraId="3091F838">
      <w:pPr>
        <w:ind w:firstLine="560" w:firstLineChars="200"/>
        <w:rPr>
          <w:color w:val="000000" w:themeColor="text1"/>
          <w14:textFill>
            <w14:solidFill>
              <w14:schemeClr w14:val="tx1"/>
            </w14:solidFill>
          </w14:textFill>
        </w:rPr>
      </w:pPr>
      <w:r>
        <w:rPr>
          <w:rFonts w:hint="eastAsia"/>
        </w:rPr>
        <w:t>2024年常熟市降尘年平均值为1.6吨/平方公里·月，达到年度考核目标，与上年相比下降了0.5吨/平方公里·月。</w:t>
      </w:r>
      <w:r>
        <w:t>硫酸盐化速率年均值</w:t>
      </w:r>
      <w:r>
        <w:rPr>
          <w:rFonts w:hint="eastAsia"/>
        </w:rPr>
        <w:t>为</w:t>
      </w:r>
      <w:r>
        <w:t>0.</w:t>
      </w:r>
      <w:r>
        <w:rPr>
          <w:rFonts w:hint="eastAsia"/>
        </w:rPr>
        <w:t>0</w:t>
      </w:r>
      <w:r>
        <w:t>2mg</w:t>
      </w:r>
      <w:r>
        <w:rPr>
          <w:rFonts w:hint="eastAsia"/>
        </w:rPr>
        <w:t>·S</w:t>
      </w:r>
      <w:r>
        <w:t>O</w:t>
      </w:r>
      <w:r>
        <w:rPr>
          <w:vertAlign w:val="subscript"/>
        </w:rPr>
        <w:t>3</w:t>
      </w:r>
      <w:r>
        <w:t>/（100cm</w:t>
      </w:r>
      <w:r>
        <w:rPr>
          <w:vertAlign w:val="superscript"/>
        </w:rPr>
        <w:t>2</w:t>
      </w:r>
      <w:r>
        <w:rPr>
          <w:rFonts w:hint="eastAsia"/>
        </w:rPr>
        <w:t>·碱片·</w:t>
      </w:r>
      <w:r>
        <w:t>d</w:t>
      </w:r>
      <w:r>
        <w:rPr>
          <w:rFonts w:hint="eastAsia"/>
        </w:rPr>
        <w:t>），达到参考评价标准，与上年相比下降了0.01</w:t>
      </w:r>
      <w:r>
        <w:t>mg/（100cm</w:t>
      </w:r>
      <w:r>
        <w:rPr>
          <w:vertAlign w:val="superscript"/>
        </w:rPr>
        <w:t>2</w:t>
      </w:r>
      <w:r>
        <w:rPr>
          <w:rFonts w:hint="eastAsia"/>
        </w:rPr>
        <w:t>碱片·</w:t>
      </w:r>
      <w:r>
        <w:t>d</w:t>
      </w:r>
      <w:r>
        <w:rPr>
          <w:rFonts w:hint="eastAsia"/>
        </w:rPr>
        <w:t>）。全年酸雨率为</w:t>
      </w:r>
      <w:r>
        <w:t>30.1%</w:t>
      </w:r>
      <w:r>
        <w:rPr>
          <w:rFonts w:hint="eastAsia"/>
          <w:color w:val="000000" w:themeColor="text1"/>
          <w14:textFill>
            <w14:solidFill>
              <w14:schemeClr w14:val="tx1"/>
            </w14:solidFill>
          </w14:textFill>
        </w:rPr>
        <w:t>，</w:t>
      </w:r>
      <w:r>
        <w:rPr>
          <w:rFonts w:hint="eastAsia"/>
        </w:rPr>
        <w:t>酸雨</w:t>
      </w:r>
      <w:r>
        <w:rPr>
          <w:rFonts w:hint="eastAsia"/>
          <w:color w:val="000000" w:themeColor="text1"/>
          <w14:textFill>
            <w14:solidFill>
              <w14:schemeClr w14:val="tx1"/>
            </w14:solidFill>
          </w14:textFill>
        </w:rPr>
        <w:t>主要集中在2月</w:t>
      </w:r>
      <w:r>
        <w:rPr>
          <w:rFonts w:hint="eastAsia"/>
        </w:rPr>
        <w:t>，与上年相比酸雨率上升了22</w:t>
      </w:r>
      <w:r>
        <w:t>个百分点，</w:t>
      </w:r>
      <w:r>
        <w:rPr>
          <w:rFonts w:hint="eastAsia"/>
          <w:color w:val="000000" w:themeColor="text1"/>
          <w14:textFill>
            <w14:solidFill>
              <w14:schemeClr w14:val="tx1"/>
            </w14:solidFill>
          </w14:textFill>
        </w:rPr>
        <w:t>酸雨发生频率显著上升</w:t>
      </w:r>
      <w:r>
        <w:rPr>
          <w:rFonts w:hint="eastAsia"/>
        </w:rPr>
        <w:t>；全年降水</w:t>
      </w:r>
      <w:r>
        <w:t>pH</w:t>
      </w:r>
      <w:r>
        <w:rPr>
          <w:rFonts w:hint="eastAsia"/>
        </w:rPr>
        <w:t>均值为</w:t>
      </w:r>
      <w:r>
        <w:t>5.58</w:t>
      </w:r>
      <w:r>
        <w:rPr>
          <w:rFonts w:hint="eastAsia"/>
        </w:rPr>
        <w:t>，为轻酸雨区，与上年</w:t>
      </w:r>
      <w:r>
        <w:t>相比</w:t>
      </w:r>
      <w:r>
        <w:rPr>
          <w:rFonts w:hint="eastAsia"/>
        </w:rPr>
        <w:t>下降了0.36</w:t>
      </w:r>
      <w:r>
        <w:t>，污染程度</w:t>
      </w:r>
      <w:r>
        <w:rPr>
          <w:rFonts w:hint="eastAsia"/>
          <w:iCs/>
          <w:color w:val="000000" w:themeColor="text1"/>
          <w14:textFill>
            <w14:solidFill>
              <w14:schemeClr w14:val="tx1"/>
            </w14:solidFill>
          </w14:textFill>
        </w:rPr>
        <w:t>加重</w:t>
      </w:r>
      <w:r>
        <w:rPr>
          <w:rFonts w:hint="eastAsia"/>
        </w:rPr>
        <w:t>。从降水中各离子组分</w:t>
      </w:r>
      <w:r>
        <w:rPr>
          <w:rFonts w:hint="eastAsia"/>
          <w:color w:val="000000" w:themeColor="text1"/>
          <w14:textFill>
            <w14:solidFill>
              <w14:schemeClr w14:val="tx1"/>
            </w14:solidFill>
          </w14:textFill>
        </w:rPr>
        <w:t>当量浓度的比例</w:t>
      </w:r>
      <w:r>
        <w:rPr>
          <w:rFonts w:hint="eastAsia"/>
        </w:rPr>
        <w:t>来看，</w:t>
      </w:r>
      <w:r>
        <w:rPr>
          <w:rFonts w:hint="eastAsia"/>
          <w:color w:val="000000" w:themeColor="text1"/>
          <w14:textFill>
            <w14:solidFill>
              <w14:schemeClr w14:val="tx1"/>
            </w14:solidFill>
          </w14:textFill>
        </w:rPr>
        <w:t>常熟市降雨污染主要来自硝酸根离子的前体物氮氧化物和硫酸根离子的前体物二氧化硫，且硫酸根离子的前体物二氧化硫的影响大于硝酸根离子的前体物氮氧化物</w:t>
      </w:r>
      <w:r>
        <w:rPr>
          <w:rFonts w:hint="eastAsia" w:cs="仿宋"/>
          <w:szCs w:val="28"/>
        </w:rPr>
        <w:t>。</w:t>
      </w:r>
    </w:p>
    <w:p w14:paraId="4C286CCC">
      <w:pPr>
        <w:pStyle w:val="2"/>
      </w:pPr>
      <w:r>
        <w:rPr>
          <w:rFonts w:hint="eastAsia"/>
        </w:rPr>
        <w:t>3 声环境质量状况</w:t>
      </w:r>
      <w:bookmarkEnd w:id="4"/>
      <w:bookmarkEnd w:id="5"/>
    </w:p>
    <w:p w14:paraId="272700D9">
      <w:pPr>
        <w:ind w:firstLine="560" w:firstLineChars="200"/>
        <w:rPr>
          <w:iCs/>
        </w:rPr>
      </w:pPr>
      <w:r>
        <w:rPr>
          <w:rFonts w:hint="eastAsia"/>
        </w:rPr>
        <w:t>20</w:t>
      </w:r>
      <w:r>
        <w:t>24</w:t>
      </w:r>
      <w:r>
        <w:rPr>
          <w:rFonts w:hint="eastAsia"/>
        </w:rPr>
        <w:t>年常熟市道路交通噪声昼间等效声级均值为</w:t>
      </w:r>
      <w:r>
        <w:rPr>
          <w:iCs/>
        </w:rPr>
        <w:t>68.3</w:t>
      </w:r>
      <w:r>
        <w:rPr>
          <w:rFonts w:hint="eastAsia"/>
        </w:rPr>
        <w:t>分贝</w:t>
      </w:r>
      <w:r>
        <w:t>(A)</w:t>
      </w:r>
      <w:r>
        <w:rPr>
          <w:rFonts w:hint="eastAsia"/>
        </w:rPr>
        <w:t>，与上年相比降低了1.1分贝</w:t>
      </w:r>
      <w:r>
        <w:t>(A)</w:t>
      </w:r>
      <w:r>
        <w:rPr>
          <w:rFonts w:hint="eastAsia"/>
        </w:rPr>
        <w:t>；噪声强度等级为二级，与上年强度等级持平；各</w:t>
      </w:r>
      <w:r>
        <w:rPr>
          <w:iCs/>
        </w:rPr>
        <w:t>测点</w:t>
      </w:r>
      <w:r>
        <w:rPr>
          <w:rFonts w:hint="eastAsia"/>
          <w:iCs/>
        </w:rPr>
        <w:t>昼间达标率为</w:t>
      </w:r>
      <w:r>
        <w:rPr>
          <w:iCs/>
        </w:rPr>
        <w:t>77.6%</w:t>
      </w:r>
      <w:r>
        <w:rPr>
          <w:rFonts w:hint="eastAsia"/>
          <w:iCs/>
        </w:rPr>
        <w:t>，较上年上升了</w:t>
      </w:r>
      <w:r>
        <w:rPr>
          <w:iCs/>
        </w:rPr>
        <w:t>8.6个</w:t>
      </w:r>
      <w:r>
        <w:rPr>
          <w:rFonts w:hint="eastAsia"/>
          <w:iCs/>
        </w:rPr>
        <w:t>百分点。</w:t>
      </w:r>
    </w:p>
    <w:p w14:paraId="21D957E5">
      <w:pPr>
        <w:ind w:firstLine="560" w:firstLineChars="200"/>
      </w:pPr>
      <w:r>
        <w:rPr>
          <w:rFonts w:hint="eastAsia"/>
        </w:rPr>
        <w:t>20</w:t>
      </w:r>
      <w:r>
        <w:t>24</w:t>
      </w:r>
      <w:r>
        <w:rPr>
          <w:rFonts w:hint="eastAsia"/>
        </w:rPr>
        <w:t>年常熟市区域环境噪声昼间等效声级均值为</w:t>
      </w:r>
      <w:r>
        <w:rPr>
          <w:iCs/>
        </w:rPr>
        <w:t>54.4</w:t>
      </w:r>
      <w:r>
        <w:rPr>
          <w:rFonts w:hint="eastAsia"/>
        </w:rPr>
        <w:t>分贝</w:t>
      </w:r>
      <w:r>
        <w:t>(A)</w:t>
      </w:r>
      <w:r>
        <w:rPr>
          <w:rFonts w:hint="eastAsia"/>
        </w:rPr>
        <w:t>，与上年相比上升了</w:t>
      </w:r>
      <w:r>
        <w:t>0.7</w:t>
      </w:r>
      <w:r>
        <w:rPr>
          <w:rFonts w:hint="eastAsia"/>
        </w:rPr>
        <w:t>分贝</w:t>
      </w:r>
      <w:r>
        <w:t>(A)；</w:t>
      </w:r>
      <w:r>
        <w:rPr>
          <w:rFonts w:hint="eastAsia"/>
        </w:rPr>
        <w:t>噪声水平等级为二级，同比保持不变。从声源结构来看，</w:t>
      </w:r>
      <w:r>
        <w:rPr>
          <w:rFonts w:hint="eastAsia"/>
          <w:iCs/>
        </w:rPr>
        <w:t>影响常熟市区域声环境质量的主要是生活噪声和交通噪声。</w:t>
      </w:r>
      <w:r>
        <w:rPr>
          <w:iCs/>
        </w:rPr>
        <w:t>从声源强度来看，</w:t>
      </w:r>
      <w:r>
        <w:rPr>
          <w:rFonts w:hint="eastAsia"/>
          <w:iCs/>
        </w:rPr>
        <w:t>昼间区域噪声</w:t>
      </w:r>
      <w:r>
        <w:rPr>
          <w:iCs/>
        </w:rPr>
        <w:t>声源强度从高到低依次为</w:t>
      </w:r>
      <w:r>
        <w:rPr>
          <w:rFonts w:hint="eastAsia"/>
          <w:iCs/>
        </w:rPr>
        <w:t>交通</w:t>
      </w:r>
      <w:r>
        <w:rPr>
          <w:iCs/>
        </w:rPr>
        <w:t>噪声、</w:t>
      </w:r>
      <w:r>
        <w:rPr>
          <w:rFonts w:hint="eastAsia"/>
          <w:iCs/>
        </w:rPr>
        <w:t>工业</w:t>
      </w:r>
      <w:r>
        <w:rPr>
          <w:iCs/>
        </w:rPr>
        <w:t>噪声</w:t>
      </w:r>
      <w:r>
        <w:rPr>
          <w:rFonts w:hint="eastAsia"/>
          <w:iCs/>
        </w:rPr>
        <w:t>、生活噪声、施工</w:t>
      </w:r>
      <w:r>
        <w:rPr>
          <w:iCs/>
        </w:rPr>
        <w:t>噪声</w:t>
      </w:r>
      <w:r>
        <w:rPr>
          <w:rFonts w:hint="eastAsia"/>
          <w:iCs/>
        </w:rPr>
        <w:t>。</w:t>
      </w:r>
    </w:p>
    <w:p w14:paraId="2A0DA1FE">
      <w:pPr>
        <w:ind w:firstLine="560" w:firstLineChars="200"/>
        <w:rPr>
          <w:iCs/>
        </w:rPr>
      </w:pPr>
      <w:r>
        <w:rPr>
          <w:rFonts w:hint="eastAsia"/>
        </w:rPr>
        <w:t>20</w:t>
      </w:r>
      <w:r>
        <w:t>24</w:t>
      </w:r>
      <w:r>
        <w:rPr>
          <w:rFonts w:hint="eastAsia"/>
        </w:rPr>
        <w:t>年常熟市4类</w:t>
      </w:r>
      <w:r>
        <w:t>功能区昼间、夜间噪声年均值均达到</w:t>
      </w:r>
      <w:r>
        <w:rPr>
          <w:szCs w:val="28"/>
        </w:rPr>
        <w:t>对应</w:t>
      </w:r>
      <w:r>
        <w:rPr>
          <w:rFonts w:hint="eastAsia"/>
          <w:iCs/>
        </w:rPr>
        <w:t>环境噪声等效声级</w:t>
      </w:r>
      <w:r>
        <w:rPr>
          <w:szCs w:val="28"/>
        </w:rPr>
        <w:t>限值</w:t>
      </w:r>
      <w:r>
        <w:rPr>
          <w:rFonts w:hint="eastAsia"/>
          <w:szCs w:val="28"/>
        </w:rPr>
        <w:t>。</w:t>
      </w:r>
      <w:r>
        <w:rPr>
          <w:iCs/>
        </w:rPr>
        <w:t>Ⅰ类区（居民文教区）</w:t>
      </w:r>
      <w:r>
        <w:rPr>
          <w:rFonts w:hint="eastAsia"/>
          <w:iCs/>
        </w:rPr>
        <w:t>，</w:t>
      </w:r>
      <w:r>
        <w:rPr>
          <w:iCs/>
        </w:rPr>
        <w:t>Ⅱ类区（居住、工商混合区）</w:t>
      </w:r>
      <w:r>
        <w:rPr>
          <w:rFonts w:hint="eastAsia"/>
          <w:iCs/>
        </w:rPr>
        <w:t>，</w:t>
      </w:r>
      <w:r>
        <w:rPr>
          <w:iCs/>
        </w:rPr>
        <w:t>Ⅲ类区（工业区）</w:t>
      </w:r>
      <w:r>
        <w:rPr>
          <w:rFonts w:hint="eastAsia"/>
          <w:iCs/>
        </w:rPr>
        <w:t>，</w:t>
      </w:r>
      <w:r>
        <w:rPr>
          <w:iCs/>
        </w:rPr>
        <w:t>Ⅳ类区（交通干线两侧区）昼间年均等效声级值依次为</w:t>
      </w:r>
      <w:r>
        <w:rPr>
          <w:rFonts w:hint="eastAsia"/>
          <w:iCs/>
        </w:rPr>
        <w:t>45.4分贝(A)，52.6分贝(A)，54.0分贝(A)，58.8分贝(A)</w:t>
      </w:r>
      <w:r>
        <w:rPr>
          <w:iCs/>
        </w:rPr>
        <w:t>；夜间年均等效声级值依次为</w:t>
      </w:r>
      <w:r>
        <w:rPr>
          <w:rFonts w:hint="eastAsia"/>
          <w:iCs/>
        </w:rPr>
        <w:t>38.7分贝(A)，45.0分贝(A)，48.4分贝(A)，52.0分贝(A)</w:t>
      </w:r>
      <w:r>
        <w:rPr>
          <w:iCs/>
        </w:rPr>
        <w:t>；与上年相比，</w:t>
      </w:r>
      <w:r>
        <w:rPr>
          <w:rFonts w:hint="eastAsia"/>
          <w:iCs/>
        </w:rPr>
        <w:t>除了I类区域（居民文教区）昼间噪声年均值有所下降，污染程度有所减轻，夜间噪声年均值保持稳定以外，</w:t>
      </w:r>
      <w:r>
        <w:rPr>
          <w:iCs/>
        </w:rPr>
        <w:t>其余</w:t>
      </w:r>
      <w:r>
        <w:rPr>
          <w:rFonts w:hint="eastAsia"/>
          <w:iCs/>
        </w:rPr>
        <w:t>三类功能区</w:t>
      </w:r>
      <w:r>
        <w:rPr>
          <w:iCs/>
        </w:rPr>
        <w:t>昼间、夜间噪声</w:t>
      </w:r>
      <w:r>
        <w:rPr>
          <w:rFonts w:hint="eastAsia"/>
          <w:iCs/>
        </w:rPr>
        <w:t>污染程度均有所加重</w:t>
      </w:r>
      <w:r>
        <w:rPr>
          <w:iCs/>
        </w:rPr>
        <w:t>。各测点昼间、</w:t>
      </w:r>
      <w:r>
        <w:rPr>
          <w:rFonts w:hint="eastAsia"/>
          <w:iCs/>
        </w:rPr>
        <w:t>夜间</w:t>
      </w:r>
      <w:r>
        <w:rPr>
          <w:iCs/>
        </w:rPr>
        <w:t>噪声达标率</w:t>
      </w:r>
      <w:r>
        <w:rPr>
          <w:rFonts w:hint="eastAsia"/>
          <w:iCs/>
        </w:rPr>
        <w:t>均为</w:t>
      </w:r>
      <w:r>
        <w:rPr>
          <w:szCs w:val="28"/>
        </w:rPr>
        <w:t>100%</w:t>
      </w:r>
      <w:r>
        <w:rPr>
          <w:rFonts w:hint="eastAsia"/>
          <w:szCs w:val="28"/>
        </w:rPr>
        <w:t>，达标率</w:t>
      </w:r>
      <w:r>
        <w:rPr>
          <w:iCs/>
        </w:rPr>
        <w:t>与上年持平。</w:t>
      </w:r>
      <w:r>
        <w:t xml:space="preserve">                                                                                                                                                                                                                                                                                                                                                                                                                                                                                                                                                                                                                                                                                                                                                                                                                                                                                                                                                                                                                                                                                                               </w:t>
      </w:r>
    </w:p>
    <w:p w14:paraId="680C50C8">
      <w:pPr>
        <w:pStyle w:val="2"/>
      </w:pPr>
      <w:bookmarkStart w:id="6" w:name="_Toc167091905"/>
      <w:bookmarkStart w:id="7" w:name="_Toc135913017"/>
      <w:r>
        <w:rPr>
          <w:rFonts w:hint="eastAsia"/>
        </w:rPr>
        <w:t>4 辐射环境质量状况</w:t>
      </w:r>
      <w:bookmarkEnd w:id="6"/>
      <w:bookmarkEnd w:id="7"/>
    </w:p>
    <w:p w14:paraId="3B83FBBF">
      <w:pPr>
        <w:ind w:firstLine="560" w:firstLineChars="200"/>
      </w:pPr>
      <w:r>
        <w:rPr>
          <w:rFonts w:hint="eastAsia"/>
        </w:rPr>
        <w:t>20</w:t>
      </w:r>
      <w:r>
        <w:t>24</w:t>
      </w:r>
      <w:r>
        <w:rPr>
          <w:rFonts w:hint="eastAsia"/>
        </w:rPr>
        <w:t>年常熟市辐射环境质量保持良好。</w:t>
      </w:r>
      <w:r>
        <w:t>道路</w:t>
      </w:r>
      <w:r>
        <w:rPr>
          <w:rFonts w:hint="eastAsia"/>
        </w:rPr>
        <w:t>、原野</w:t>
      </w:r>
      <w:r>
        <w:t>监测点</w:t>
      </w:r>
      <w:r>
        <w:rPr>
          <w:rFonts w:hint="eastAsia"/>
        </w:rPr>
        <w:t>的瞬时</w:t>
      </w:r>
      <w:r>
        <w:rPr>
          <w:rFonts w:cs="仿宋"/>
          <w:kern w:val="0"/>
          <w:szCs w:val="28"/>
        </w:rPr>
        <w:t>γ辐射空气吸收剂量率</w:t>
      </w:r>
      <w:r>
        <w:rPr>
          <w:rFonts w:hint="eastAsia"/>
        </w:rPr>
        <w:t>（扣除宇宙响应值）分别为</w:t>
      </w:r>
      <w:r>
        <w:t>73.9</w:t>
      </w:r>
      <w:r>
        <w:rPr>
          <w:rFonts w:hint="eastAsia"/>
        </w:rPr>
        <w:t>纳戈瑞/小时、</w:t>
      </w:r>
      <w:r>
        <w:t>70.4</w:t>
      </w:r>
      <w:r>
        <w:rPr>
          <w:rFonts w:hint="eastAsia"/>
        </w:rPr>
        <w:t>纳戈瑞/小时，</w:t>
      </w:r>
      <w:r>
        <w:t>均</w:t>
      </w:r>
      <w:r>
        <w:rPr>
          <w:rFonts w:hint="eastAsia"/>
        </w:rPr>
        <w:t>处在江</w:t>
      </w:r>
      <w:r>
        <w:rPr>
          <w:rFonts w:cs="仿宋"/>
          <w:kern w:val="0"/>
          <w:szCs w:val="28"/>
        </w:rPr>
        <w:t>苏省天然本底水平</w:t>
      </w:r>
      <w:r>
        <w:rPr>
          <w:rFonts w:hint="eastAsia" w:cs="仿宋"/>
          <w:kern w:val="0"/>
          <w:szCs w:val="28"/>
        </w:rPr>
        <w:t>范围内</w:t>
      </w:r>
      <w:r>
        <w:rPr>
          <w:rFonts w:hint="eastAsia"/>
        </w:rPr>
        <w:t>。与</w:t>
      </w:r>
      <w:r>
        <w:t>上年相比道路、</w:t>
      </w:r>
      <w:r>
        <w:rPr>
          <w:rFonts w:hint="eastAsia"/>
        </w:rPr>
        <w:t>原野瞬时</w:t>
      </w:r>
      <w:r>
        <w:rPr>
          <w:rFonts w:cs="仿宋"/>
          <w:kern w:val="0"/>
          <w:szCs w:val="28"/>
        </w:rPr>
        <w:t>γ辐射空气吸收剂量率</w:t>
      </w:r>
      <w:r>
        <w:rPr>
          <w:rFonts w:hint="eastAsia" w:cs="仿宋"/>
          <w:kern w:val="0"/>
          <w:szCs w:val="28"/>
        </w:rPr>
        <w:t>均</w:t>
      </w:r>
      <w:r>
        <w:t>有所</w:t>
      </w:r>
      <w:r>
        <w:rPr>
          <w:rFonts w:hint="eastAsia"/>
        </w:rPr>
        <w:t>上升，升幅分别为7.7</w:t>
      </w:r>
      <w:r>
        <w:rPr>
          <w:szCs w:val="28"/>
        </w:rPr>
        <w:t>%、14.8%</w:t>
      </w:r>
      <w:r>
        <w:rPr>
          <w:rFonts w:hint="eastAsia"/>
          <w:szCs w:val="28"/>
        </w:rPr>
        <w:t>。地下水中总α、总β放射性监测指标均达到《地下水质量标准》</w:t>
      </w:r>
      <w:r>
        <w:rPr>
          <w:rFonts w:hint="eastAsia"/>
        </w:rPr>
        <w:t>（GB/T14848-2</w:t>
      </w:r>
      <w:r>
        <w:rPr>
          <w:iCs/>
        </w:rPr>
        <w:t>0</w:t>
      </w:r>
      <w:r>
        <w:rPr>
          <w:rFonts w:hint="eastAsia"/>
          <w:iCs/>
        </w:rPr>
        <w:t>17</w:t>
      </w:r>
      <w:r>
        <w:rPr>
          <w:rFonts w:hint="eastAsia"/>
        </w:rPr>
        <w:t>）中</w:t>
      </w:r>
      <w:r>
        <w:rPr>
          <w:iCs/>
        </w:rPr>
        <w:t>Ⅲ类</w:t>
      </w:r>
      <w:r>
        <w:rPr>
          <w:rFonts w:hint="eastAsia"/>
          <w:iCs/>
        </w:rPr>
        <w:t>限值。</w:t>
      </w:r>
    </w:p>
    <w:p w14:paraId="515DA83A">
      <w:pPr>
        <w:pStyle w:val="2"/>
      </w:pPr>
      <w:bookmarkStart w:id="8" w:name="_Toc167091906"/>
      <w:bookmarkStart w:id="9" w:name="_Toc135913018"/>
      <w:r>
        <w:rPr>
          <w:rFonts w:hint="eastAsia"/>
        </w:rPr>
        <w:t>5 生态环境质量状况</w:t>
      </w:r>
      <w:bookmarkEnd w:id="8"/>
      <w:bookmarkEnd w:id="9"/>
    </w:p>
    <w:p w14:paraId="110B8ABF">
      <w:pPr>
        <w:ind w:firstLine="560" w:firstLineChars="200"/>
      </w:pPr>
      <w:r>
        <w:t>2024</w:t>
      </w:r>
      <w:r>
        <w:rPr>
          <w:rFonts w:hint="eastAsia"/>
        </w:rPr>
        <w:t>年常熟市生态质量分类为“三类”，</w:t>
      </w:r>
      <w:r>
        <w:rPr>
          <w:rFonts w:hint="eastAsia"/>
          <w:szCs w:val="22"/>
        </w:rPr>
        <w:t>整体</w:t>
      </w:r>
      <w:r>
        <w:rPr>
          <w:szCs w:val="22"/>
        </w:rPr>
        <w:t>自然生态系统覆盖比例一般</w:t>
      </w:r>
      <w:r>
        <w:rPr>
          <w:rFonts w:hint="eastAsia"/>
          <w:szCs w:val="22"/>
        </w:rPr>
        <w:t>，</w:t>
      </w:r>
      <w:r>
        <w:rPr>
          <w:szCs w:val="22"/>
        </w:rPr>
        <w:t>受到一定程度的人类活动干扰</w:t>
      </w:r>
      <w:r>
        <w:rPr>
          <w:rFonts w:hint="eastAsia"/>
          <w:szCs w:val="22"/>
        </w:rPr>
        <w:t>，</w:t>
      </w:r>
      <w:r>
        <w:rPr>
          <w:szCs w:val="22"/>
        </w:rPr>
        <w:t>生物多样性丰富度一般</w:t>
      </w:r>
      <w:r>
        <w:rPr>
          <w:rFonts w:hint="eastAsia"/>
          <w:szCs w:val="22"/>
        </w:rPr>
        <w:t>，</w:t>
      </w:r>
      <w:r>
        <w:rPr>
          <w:szCs w:val="22"/>
        </w:rPr>
        <w:t>生态结构完整性和稳定性一般</w:t>
      </w:r>
      <w:r>
        <w:rPr>
          <w:rFonts w:hint="eastAsia"/>
          <w:szCs w:val="22"/>
        </w:rPr>
        <w:t>，</w:t>
      </w:r>
      <w:r>
        <w:rPr>
          <w:szCs w:val="22"/>
        </w:rPr>
        <w:t>生态功能基本完善</w:t>
      </w:r>
      <w:r>
        <w:rPr>
          <w:rFonts w:hint="eastAsia"/>
          <w:szCs w:val="22"/>
        </w:rPr>
        <w:t>。</w:t>
      </w:r>
      <w:r>
        <w:rPr>
          <w:rFonts w:hint="eastAsia"/>
        </w:rPr>
        <w:t>与上年相比，</w:t>
      </w:r>
      <w:r>
        <w:rPr>
          <w:rFonts w:hint="eastAsia"/>
          <w:szCs w:val="22"/>
        </w:rPr>
        <w:t>变化类别</w:t>
      </w:r>
      <w:r>
        <w:rPr>
          <w:szCs w:val="22"/>
        </w:rPr>
        <w:t>为</w:t>
      </w:r>
      <w:r>
        <w:rPr>
          <w:rFonts w:hint="eastAsia"/>
          <w:szCs w:val="22"/>
        </w:rPr>
        <w:t>“基本稳定”</w:t>
      </w:r>
      <w:r>
        <w:rPr>
          <w:rFonts w:hint="eastAsia"/>
        </w:rPr>
        <w:t>。</w:t>
      </w:r>
    </w:p>
    <w:p w14:paraId="02D6746B">
      <w:pPr>
        <w:ind w:firstLine="560" w:firstLineChars="200"/>
      </w:pPr>
      <w:r>
        <w:rPr>
          <w:rFonts w:hint="eastAsia"/>
          <w:szCs w:val="22"/>
        </w:rPr>
        <w:t>生物多样性本底调查中监测到</w:t>
      </w:r>
      <w:r>
        <w:rPr>
          <w:rFonts w:hint="eastAsia"/>
        </w:rPr>
        <w:t>常熟市有各类生物1622种，其中国家重点保护物种64种，珍稀濒危物种56种。虞山国家森林公园等山体林地，铁黄沙、沙家浜国家湿地公园等湿地是濒危物种集中分布地。</w:t>
      </w:r>
      <w:r>
        <w:rPr>
          <w:rFonts w:hint="eastAsia"/>
          <w:szCs w:val="22"/>
        </w:rPr>
        <w:t>全市</w:t>
      </w:r>
      <w:r>
        <w:rPr>
          <w:color w:val="111111"/>
          <w:kern w:val="0"/>
          <w:szCs w:val="22"/>
        </w:rPr>
        <w:t>已划定</w:t>
      </w:r>
      <w:r>
        <w:rPr>
          <w:rFonts w:hint="eastAsia"/>
          <w:szCs w:val="22"/>
        </w:rPr>
        <w:t>国家生态保护红线区域面积为26.05平方公里，省级生态空间管控区域面积为161.82平方公里。</w:t>
      </w:r>
    </w:p>
    <w:p w14:paraId="783CD4BB">
      <w:pPr>
        <w:pStyle w:val="2"/>
      </w:pPr>
      <w:bookmarkStart w:id="10" w:name="_Toc167091907"/>
      <w:bookmarkStart w:id="11" w:name="_Toc135913019"/>
      <w:r>
        <w:rPr>
          <w:rFonts w:hint="eastAsia"/>
        </w:rPr>
        <w:t>6 农村环境质量状况</w:t>
      </w:r>
      <w:bookmarkEnd w:id="10"/>
      <w:bookmarkEnd w:id="11"/>
    </w:p>
    <w:p w14:paraId="50B9FC0D">
      <w:pPr>
        <w:ind w:firstLine="560" w:firstLineChars="200"/>
      </w:pPr>
      <w:r>
        <w:rPr>
          <w:rFonts w:hint="eastAsia"/>
        </w:rPr>
        <w:t>2024年常熟市农村环境状况指数为89.9，与上年相比上升1.5；农村环境状况为良，环境轻微污染，基本适合农村居民生活和生产，农村环境质量无明显变化。农业面源的内梅罗综合指数为1.5，为轻度污染，与上年指数相比上升0.2，污染状况无明显变化。村庄层面，浒西村、七峰村环境空气日均值达标率为86.6%，环境空气质量指数为84.5；土壤监测为1次/5年，监测任务于2021年、2022年已完成，土壤达标率为75.0%，土壤环境质量指数为90.0。县域层面，日处理能力20吨及以上农村生活污水处理设施出水水质达标率为95.9%，出水水质指数为98.9；地表水水质达标率为100%，地表水水质指数为84.2；农田灌溉水质达标率为100%，农田灌溉水质指数为100.0。与上年相比，农田灌溉水质指数持平，农村生活污水出水水质指数、环境空气质量指数、地表水水质指数分别上升了1.1、2.3、3.4。</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D0"/>
    <w:rsid w:val="00010B25"/>
    <w:rsid w:val="000144F1"/>
    <w:rsid w:val="00062245"/>
    <w:rsid w:val="0007149D"/>
    <w:rsid w:val="00083857"/>
    <w:rsid w:val="000939A2"/>
    <w:rsid w:val="000E5FD5"/>
    <w:rsid w:val="00101662"/>
    <w:rsid w:val="0019117A"/>
    <w:rsid w:val="001A2A69"/>
    <w:rsid w:val="001C2D68"/>
    <w:rsid w:val="001E0F70"/>
    <w:rsid w:val="00200CF6"/>
    <w:rsid w:val="00217E5A"/>
    <w:rsid w:val="002762A4"/>
    <w:rsid w:val="00287F20"/>
    <w:rsid w:val="002E0294"/>
    <w:rsid w:val="00302A29"/>
    <w:rsid w:val="003B23A7"/>
    <w:rsid w:val="003F2F29"/>
    <w:rsid w:val="003F2F4F"/>
    <w:rsid w:val="004608ED"/>
    <w:rsid w:val="004633BC"/>
    <w:rsid w:val="00463502"/>
    <w:rsid w:val="00484EEA"/>
    <w:rsid w:val="00522BCD"/>
    <w:rsid w:val="005421EF"/>
    <w:rsid w:val="005439E1"/>
    <w:rsid w:val="0054543C"/>
    <w:rsid w:val="00583C2F"/>
    <w:rsid w:val="005D0241"/>
    <w:rsid w:val="005D2441"/>
    <w:rsid w:val="00626C26"/>
    <w:rsid w:val="006810A5"/>
    <w:rsid w:val="006870C0"/>
    <w:rsid w:val="00693934"/>
    <w:rsid w:val="00694A9F"/>
    <w:rsid w:val="006A7BF2"/>
    <w:rsid w:val="006B37AA"/>
    <w:rsid w:val="006C2544"/>
    <w:rsid w:val="0071742B"/>
    <w:rsid w:val="00725AA1"/>
    <w:rsid w:val="007B2E9E"/>
    <w:rsid w:val="007B3692"/>
    <w:rsid w:val="0087366E"/>
    <w:rsid w:val="009F350C"/>
    <w:rsid w:val="00A0214F"/>
    <w:rsid w:val="00A616D0"/>
    <w:rsid w:val="00A80772"/>
    <w:rsid w:val="00AB72C7"/>
    <w:rsid w:val="00B13536"/>
    <w:rsid w:val="00B226DB"/>
    <w:rsid w:val="00B65D74"/>
    <w:rsid w:val="00B851DA"/>
    <w:rsid w:val="00B90B54"/>
    <w:rsid w:val="00C3505F"/>
    <w:rsid w:val="00C713F0"/>
    <w:rsid w:val="00CC7DF9"/>
    <w:rsid w:val="00D940E3"/>
    <w:rsid w:val="00D9780E"/>
    <w:rsid w:val="00DE5B4E"/>
    <w:rsid w:val="00DE7CFF"/>
    <w:rsid w:val="00E03F64"/>
    <w:rsid w:val="00E64920"/>
    <w:rsid w:val="00EA1787"/>
    <w:rsid w:val="00F0669C"/>
    <w:rsid w:val="00F7627C"/>
    <w:rsid w:val="00F77DE6"/>
    <w:rsid w:val="00F810CB"/>
    <w:rsid w:val="00FA16B4"/>
    <w:rsid w:val="00FD77D3"/>
    <w:rsid w:val="00FE4F64"/>
    <w:rsid w:val="78AF1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仿宋" w:cs="Times New Roman"/>
      <w:kern w:val="2"/>
      <w:sz w:val="28"/>
      <w:szCs w:val="24"/>
      <w:lang w:val="en-US" w:eastAsia="zh-CN" w:bidi="ar-SA"/>
    </w:rPr>
  </w:style>
  <w:style w:type="paragraph" w:styleId="2">
    <w:name w:val="heading 2"/>
    <w:basedOn w:val="1"/>
    <w:next w:val="3"/>
    <w:link w:val="15"/>
    <w:autoRedefine/>
    <w:unhideWhenUsed/>
    <w:qFormat/>
    <w:uiPriority w:val="0"/>
    <w:pPr>
      <w:keepNext/>
      <w:keepLines/>
      <w:tabs>
        <w:tab w:val="left" w:pos="840"/>
        <w:tab w:val="left" w:pos="6955"/>
      </w:tabs>
      <w:snapToGrid w:val="0"/>
      <w:spacing w:before="156" w:beforeLines="50" w:after="93" w:line="240" w:lineRule="auto"/>
      <w:outlineLvl w:val="1"/>
    </w:pPr>
    <w:rPr>
      <w:rFonts w:ascii="黑体" w:hAnsi="黑体" w:eastAsia="黑体" w:cs="黑体"/>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link w:val="17"/>
    <w:semiHidden/>
    <w:unhideWhenUsed/>
    <w:qFormat/>
    <w:uiPriority w:val="99"/>
    <w:pPr>
      <w:jc w:val="left"/>
    </w:pPr>
  </w:style>
  <w:style w:type="paragraph" w:styleId="5">
    <w:name w:val="Balloon Text"/>
    <w:basedOn w:val="1"/>
    <w:link w:val="16"/>
    <w:semiHidden/>
    <w:unhideWhenUsed/>
    <w:qFormat/>
    <w:uiPriority w:val="99"/>
    <w:pPr>
      <w:spacing w:line="240" w:lineRule="auto"/>
    </w:pPr>
    <w:rPr>
      <w:sz w:val="18"/>
      <w:szCs w:val="18"/>
    </w:rPr>
  </w:style>
  <w:style w:type="paragraph" w:styleId="6">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annotation subject"/>
    <w:basedOn w:val="4"/>
    <w:next w:val="4"/>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7"/>
    <w:qFormat/>
    <w:uiPriority w:val="99"/>
    <w:rPr>
      <w:rFonts w:ascii="Times New Roman" w:hAnsi="Times New Roman" w:eastAsia="仿宋" w:cs="Times New Roman"/>
      <w:sz w:val="18"/>
      <w:szCs w:val="18"/>
    </w:rPr>
  </w:style>
  <w:style w:type="character" w:customStyle="1" w:styleId="13">
    <w:name w:val="页脚 字符"/>
    <w:basedOn w:val="10"/>
    <w:link w:val="6"/>
    <w:qFormat/>
    <w:uiPriority w:val="99"/>
    <w:rPr>
      <w:rFonts w:ascii="Times New Roman" w:hAnsi="Times New Roman" w:eastAsia="仿宋" w:cs="Times New Roman"/>
      <w:sz w:val="18"/>
      <w:szCs w:val="18"/>
    </w:rPr>
  </w:style>
  <w:style w:type="character" w:customStyle="1" w:styleId="14">
    <w:name w:val="标题 2 Char"/>
    <w:basedOn w:val="10"/>
    <w:semiHidden/>
    <w:qFormat/>
    <w:uiPriority w:val="9"/>
    <w:rPr>
      <w:rFonts w:asciiTheme="majorHAnsi" w:hAnsiTheme="majorHAnsi" w:eastAsiaTheme="majorEastAsia" w:cstheme="majorBidi"/>
      <w:b/>
      <w:bCs/>
      <w:sz w:val="32"/>
      <w:szCs w:val="32"/>
    </w:rPr>
  </w:style>
  <w:style w:type="character" w:customStyle="1" w:styleId="15">
    <w:name w:val="标题 2 字符"/>
    <w:link w:val="2"/>
    <w:autoRedefine/>
    <w:qFormat/>
    <w:locked/>
    <w:uiPriority w:val="0"/>
    <w:rPr>
      <w:rFonts w:ascii="黑体" w:hAnsi="黑体" w:eastAsia="黑体" w:cs="黑体"/>
      <w:sz w:val="28"/>
      <w:szCs w:val="28"/>
    </w:rPr>
  </w:style>
  <w:style w:type="character" w:customStyle="1" w:styleId="16">
    <w:name w:val="批注框文本 字符"/>
    <w:basedOn w:val="10"/>
    <w:link w:val="5"/>
    <w:semiHidden/>
    <w:qFormat/>
    <w:uiPriority w:val="99"/>
    <w:rPr>
      <w:rFonts w:ascii="Times New Roman" w:hAnsi="Times New Roman" w:eastAsia="仿宋" w:cs="Times New Roman"/>
      <w:sz w:val="18"/>
      <w:szCs w:val="18"/>
    </w:rPr>
  </w:style>
  <w:style w:type="character" w:customStyle="1" w:styleId="17">
    <w:name w:val="批注文字 字符"/>
    <w:basedOn w:val="10"/>
    <w:link w:val="4"/>
    <w:semiHidden/>
    <w:qFormat/>
    <w:uiPriority w:val="99"/>
    <w:rPr>
      <w:rFonts w:ascii="Times New Roman" w:hAnsi="Times New Roman" w:eastAsia="仿宋" w:cs="Times New Roman"/>
      <w:sz w:val="28"/>
      <w:szCs w:val="24"/>
    </w:rPr>
  </w:style>
  <w:style w:type="character" w:customStyle="1" w:styleId="18">
    <w:name w:val="批注主题 字符"/>
    <w:basedOn w:val="17"/>
    <w:link w:val="8"/>
    <w:semiHidden/>
    <w:qFormat/>
    <w:uiPriority w:val="99"/>
    <w:rPr>
      <w:rFonts w:ascii="Times New Roman" w:hAnsi="Times New Roman" w:eastAsia="仿宋" w:cs="Times New Roman"/>
      <w:b/>
      <w:bCs/>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3787</Words>
  <Characters>4227</Characters>
  <Lines>37</Lines>
  <Paragraphs>10</Paragraphs>
  <TotalTime>1</TotalTime>
  <ScaleCrop>false</ScaleCrop>
  <LinksUpToDate>false</LinksUpToDate>
  <CharactersWithSpaces>5304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2025-05-08T01:49:00Z</dcterms:created>
  <dc:creator>GaoWei</dc:creator>
  <cp:lastModifiedBy> 童许</cp:lastModifiedBy>
  <cp:lastPrinted>2024-06-04T06:46:00Z</cp:lastPrinted>
  <dcterms:modified xsi:type="dcterms:W3CDTF">2025-06-05T06:13:16Z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9DA3FFB3D11A4AC090A730E4EC270EEA_13</vt:lpwstr>
  </property>
</Properties>
</file>