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C26" w:rsidRDefault="003D5303">
      <w:pPr>
        <w:rPr>
          <w:rFonts w:ascii="仿宋" w:eastAsia="仿宋" w:hAnsi="仿宋" w:cs="仿宋"/>
          <w:sz w:val="32"/>
          <w:szCs w:val="32"/>
        </w:rPr>
      </w:pPr>
      <w:r>
        <w:rPr>
          <w:rFonts w:ascii="仿宋" w:eastAsia="仿宋" w:hAnsi="仿宋" w:cs="仿宋" w:hint="eastAsia"/>
          <w:sz w:val="32"/>
          <w:szCs w:val="32"/>
        </w:rPr>
        <w:t>附件</w:t>
      </w:r>
      <w:bookmarkStart w:id="0" w:name="_GoBack"/>
      <w:bookmarkEnd w:id="0"/>
    </w:p>
    <w:tbl>
      <w:tblPr>
        <w:tblStyle w:val="a3"/>
        <w:tblW w:w="4958" w:type="pct"/>
        <w:tblLook w:val="04A0" w:firstRow="1" w:lastRow="0" w:firstColumn="1" w:lastColumn="0" w:noHBand="0" w:noVBand="1"/>
      </w:tblPr>
      <w:tblGrid>
        <w:gridCol w:w="411"/>
        <w:gridCol w:w="1541"/>
        <w:gridCol w:w="960"/>
        <w:gridCol w:w="662"/>
        <w:gridCol w:w="1333"/>
        <w:gridCol w:w="4850"/>
        <w:gridCol w:w="1187"/>
        <w:gridCol w:w="1224"/>
        <w:gridCol w:w="1047"/>
        <w:gridCol w:w="840"/>
      </w:tblGrid>
      <w:tr w:rsidR="00244C26">
        <w:trPr>
          <w:trHeight w:val="577"/>
        </w:trPr>
        <w:tc>
          <w:tcPr>
            <w:tcW w:w="146" w:type="pct"/>
            <w:vMerge w:val="restart"/>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2025</w:t>
            </w:r>
            <w:r>
              <w:rPr>
                <w:rFonts w:ascii="仿宋_GB2312" w:eastAsia="仿宋_GB2312" w:hAnsi="仿宋_GB2312" w:cs="仿宋_GB2312" w:hint="eastAsia"/>
                <w:snapToGrid w:val="0"/>
                <w:kern w:val="0"/>
                <w:sz w:val="18"/>
                <w:szCs w:val="18"/>
              </w:rPr>
              <w:t>年度苏州市电竞酒店跨部门综合监管</w:t>
            </w:r>
          </w:p>
        </w:tc>
        <w:tc>
          <w:tcPr>
            <w:tcW w:w="341"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电竞酒店</w:t>
            </w:r>
            <w:proofErr w:type="gramEnd"/>
            <w:r>
              <w:rPr>
                <w:rFonts w:ascii="仿宋_GB2312" w:eastAsia="仿宋_GB2312" w:hAnsi="仿宋_GB2312" w:cs="仿宋_GB2312" w:hint="eastAsia"/>
                <w:snapToGrid w:val="0"/>
                <w:kern w:val="0"/>
                <w:sz w:val="18"/>
                <w:szCs w:val="18"/>
              </w:rPr>
              <w:t>市场</w:t>
            </w:r>
          </w:p>
        </w:tc>
        <w:tc>
          <w:tcPr>
            <w:tcW w:w="235" w:type="pc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发起部门</w:t>
            </w: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文旅</w:t>
            </w:r>
            <w:proofErr w:type="gramEnd"/>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w:t>
            </w:r>
            <w:proofErr w:type="gramStart"/>
            <w:r>
              <w:rPr>
                <w:rFonts w:ascii="仿宋_GB2312" w:eastAsia="仿宋_GB2312" w:hAnsi="仿宋_GB2312" w:cs="仿宋_GB2312" w:hint="eastAsia"/>
                <w:snapToGrid w:val="0"/>
                <w:kern w:val="0"/>
                <w:sz w:val="18"/>
                <w:szCs w:val="18"/>
              </w:rPr>
              <w:t>电竞酒店</w:t>
            </w:r>
            <w:proofErr w:type="gramEnd"/>
            <w:r>
              <w:rPr>
                <w:rFonts w:ascii="仿宋_GB2312" w:eastAsia="仿宋_GB2312" w:hAnsi="仿宋_GB2312" w:cs="仿宋_GB2312" w:hint="eastAsia"/>
                <w:snapToGrid w:val="0"/>
                <w:kern w:val="0"/>
                <w:sz w:val="18"/>
                <w:szCs w:val="18"/>
              </w:rPr>
              <w:t>互联网上网服务经营活动的行</w:t>
            </w:r>
            <w:r>
              <w:rPr>
                <w:rFonts w:ascii="仿宋_GB2312" w:eastAsia="仿宋_GB2312" w:hAnsi="仿宋_GB2312" w:cs="仿宋_GB2312" w:hint="eastAsia"/>
                <w:snapToGrid w:val="0"/>
                <w:kern w:val="0"/>
                <w:sz w:val="18"/>
                <w:szCs w:val="18"/>
              </w:rPr>
              <w:t xml:space="preserve"> </w:t>
            </w:r>
            <w:proofErr w:type="gramStart"/>
            <w:r>
              <w:rPr>
                <w:rFonts w:ascii="仿宋_GB2312" w:eastAsia="仿宋_GB2312" w:hAnsi="仿宋_GB2312" w:cs="仿宋_GB2312" w:hint="eastAsia"/>
                <w:snapToGrid w:val="0"/>
                <w:kern w:val="0"/>
                <w:sz w:val="18"/>
                <w:szCs w:val="18"/>
              </w:rPr>
              <w:t>政检查</w:t>
            </w:r>
            <w:proofErr w:type="gramEnd"/>
          </w:p>
        </w:tc>
        <w:tc>
          <w:tcPr>
            <w:tcW w:w="422"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电竞酒店</w:t>
            </w:r>
            <w:proofErr w:type="gramEnd"/>
          </w:p>
        </w:tc>
        <w:tc>
          <w:tcPr>
            <w:tcW w:w="435"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现场检查</w:t>
            </w:r>
          </w:p>
        </w:tc>
        <w:tc>
          <w:tcPr>
            <w:tcW w:w="372" w:type="pct"/>
            <w:vMerge w:val="restar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10</w:t>
            </w:r>
          </w:p>
        </w:tc>
        <w:tc>
          <w:tcPr>
            <w:tcW w:w="299"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市</w:t>
            </w:r>
            <w:r>
              <w:rPr>
                <w:rFonts w:ascii="仿宋_GB2312" w:eastAsia="仿宋_GB2312" w:hAnsi="仿宋_GB2312" w:cs="仿宋_GB2312" w:hint="eastAsia"/>
                <w:snapToGrid w:val="0"/>
                <w:kern w:val="0"/>
                <w:sz w:val="18"/>
                <w:szCs w:val="18"/>
              </w:rPr>
              <w:t>县</w:t>
            </w:r>
          </w:p>
        </w:tc>
      </w:tr>
      <w:tr w:rsidR="00244C26">
        <w:trPr>
          <w:trHeight w:val="856"/>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参与部门</w:t>
            </w: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公安</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对旅馆业取得许可证情况的行政检查、对旅馆业治安安全情况的行政检查、对单位网络安全防护措施、网络安全相关制度的行政检查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572"/>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住建</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对投入使用的特殊建设工程是否获得消防</w:t>
            </w:r>
            <w:r>
              <w:rPr>
                <w:rFonts w:ascii="仿宋_GB2312" w:eastAsia="仿宋_GB2312" w:hAnsi="仿宋_GB2312" w:cs="仿宋_GB2312" w:hint="eastAsia"/>
                <w:snapToGrid w:val="0"/>
                <w:kern w:val="0"/>
                <w:sz w:val="18"/>
                <w:szCs w:val="18"/>
              </w:rPr>
              <w:t xml:space="preserve"> </w:t>
            </w:r>
            <w:r>
              <w:rPr>
                <w:rFonts w:ascii="仿宋_GB2312" w:eastAsia="仿宋_GB2312" w:hAnsi="仿宋_GB2312" w:cs="仿宋_GB2312" w:hint="eastAsia"/>
                <w:snapToGrid w:val="0"/>
                <w:kern w:val="0"/>
                <w:sz w:val="18"/>
                <w:szCs w:val="18"/>
              </w:rPr>
              <w:t>验收许可的行政检查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335"/>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消防</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对单位履行法定消防安全职责情况的行政</w:t>
            </w:r>
            <w:r>
              <w:rPr>
                <w:rFonts w:ascii="仿宋_GB2312" w:eastAsia="仿宋_GB2312" w:hAnsi="仿宋_GB2312" w:cs="仿宋_GB2312" w:hint="eastAsia"/>
                <w:snapToGrid w:val="0"/>
                <w:kern w:val="0"/>
                <w:sz w:val="18"/>
                <w:szCs w:val="18"/>
              </w:rPr>
              <w:t xml:space="preserve"> </w:t>
            </w:r>
            <w:r>
              <w:rPr>
                <w:rFonts w:ascii="仿宋_GB2312" w:eastAsia="仿宋_GB2312" w:hAnsi="仿宋_GB2312" w:cs="仿宋_GB2312" w:hint="eastAsia"/>
                <w:snapToGrid w:val="0"/>
                <w:kern w:val="0"/>
                <w:sz w:val="18"/>
                <w:szCs w:val="18"/>
              </w:rPr>
              <w:t>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386"/>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市场监管</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对特种设备使用单位的行政检查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856"/>
        </w:trPr>
        <w:tc>
          <w:tcPr>
            <w:tcW w:w="146" w:type="pct"/>
            <w:vMerge w:val="restart"/>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2025</w:t>
            </w:r>
            <w:r>
              <w:rPr>
                <w:rFonts w:ascii="仿宋_GB2312" w:eastAsia="仿宋_GB2312" w:hAnsi="仿宋_GB2312" w:cs="仿宋_GB2312" w:hint="eastAsia"/>
                <w:snapToGrid w:val="0"/>
                <w:kern w:val="0"/>
                <w:sz w:val="18"/>
                <w:szCs w:val="18"/>
              </w:rPr>
              <w:t>年度苏州市剧本娱乐场所跨部门综合监管</w:t>
            </w:r>
          </w:p>
        </w:tc>
        <w:tc>
          <w:tcPr>
            <w:tcW w:w="341"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剧本娱乐场所</w:t>
            </w:r>
          </w:p>
        </w:tc>
        <w:tc>
          <w:tcPr>
            <w:tcW w:w="235" w:type="pc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发起部门</w:t>
            </w: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proofErr w:type="gramStart"/>
            <w:r>
              <w:rPr>
                <w:rFonts w:ascii="仿宋_GB2312" w:eastAsia="仿宋_GB2312" w:hAnsi="仿宋_GB2312" w:cs="仿宋_GB2312" w:hint="eastAsia"/>
                <w:snapToGrid w:val="0"/>
                <w:kern w:val="0"/>
                <w:sz w:val="18"/>
                <w:szCs w:val="18"/>
              </w:rPr>
              <w:t>文旅</w:t>
            </w:r>
            <w:proofErr w:type="gramEnd"/>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对剧本娱乐活动内容和未成年人保护工作检查、对剧本娱乐经营场所履行安全生产和消防安全责任的检查</w:t>
            </w:r>
          </w:p>
        </w:tc>
        <w:tc>
          <w:tcPr>
            <w:tcW w:w="422"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剧本娱乐场所（含剧本杀和密室逃脱）</w:t>
            </w:r>
          </w:p>
        </w:tc>
        <w:tc>
          <w:tcPr>
            <w:tcW w:w="435"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现场检查</w:t>
            </w:r>
          </w:p>
        </w:tc>
        <w:tc>
          <w:tcPr>
            <w:tcW w:w="372" w:type="pct"/>
            <w:vMerge w:val="restar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15</w:t>
            </w:r>
          </w:p>
        </w:tc>
        <w:tc>
          <w:tcPr>
            <w:tcW w:w="299"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市</w:t>
            </w:r>
            <w:r>
              <w:rPr>
                <w:rFonts w:ascii="仿宋_GB2312" w:eastAsia="仿宋_GB2312" w:hAnsi="仿宋_GB2312" w:cs="仿宋_GB2312" w:hint="eastAsia"/>
                <w:snapToGrid w:val="0"/>
                <w:kern w:val="0"/>
                <w:sz w:val="18"/>
                <w:szCs w:val="18"/>
              </w:rPr>
              <w:t>县</w:t>
            </w:r>
          </w:p>
        </w:tc>
      </w:tr>
      <w:tr w:rsidR="00244C26">
        <w:trPr>
          <w:trHeight w:val="505"/>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参与部门</w:t>
            </w: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公安</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对剧本娱乐场所治安状况的检查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299"/>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住建</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对其他建设工程消防验收备案的行政检查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299"/>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市场监管</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登记事项检查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572"/>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消防</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对单位履行法定消防安全职责情况的行政检查、对单位遵守消防法律、法规情况的监督检查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r w:rsidR="00244C26">
        <w:trPr>
          <w:trHeight w:val="672"/>
        </w:trPr>
        <w:tc>
          <w:tcPr>
            <w:tcW w:w="146" w:type="pct"/>
            <w:vMerge w:val="restart"/>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2025</w:t>
            </w:r>
            <w:r>
              <w:rPr>
                <w:rFonts w:ascii="仿宋_GB2312" w:eastAsia="仿宋_GB2312" w:hAnsi="仿宋_GB2312" w:cs="仿宋_GB2312" w:hint="eastAsia"/>
                <w:snapToGrid w:val="0"/>
                <w:kern w:val="0"/>
                <w:sz w:val="18"/>
                <w:szCs w:val="18"/>
              </w:rPr>
              <w:t>年度苏州市陆生野生动植物出售购买利用情况部门联合双随机检查任务</w:t>
            </w:r>
          </w:p>
        </w:tc>
        <w:tc>
          <w:tcPr>
            <w:tcW w:w="341"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陆生野生动植物</w:t>
            </w:r>
          </w:p>
        </w:tc>
        <w:tc>
          <w:tcPr>
            <w:tcW w:w="235" w:type="pc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发起部门</w:t>
            </w: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园林</w:t>
            </w:r>
            <w:proofErr w:type="gramStart"/>
            <w:r>
              <w:rPr>
                <w:rFonts w:ascii="仿宋_GB2312" w:eastAsia="仿宋_GB2312" w:hAnsi="仿宋_GB2312" w:cs="仿宋_GB2312" w:hint="eastAsia"/>
                <w:snapToGrid w:val="0"/>
                <w:kern w:val="0"/>
                <w:sz w:val="18"/>
                <w:szCs w:val="18"/>
              </w:rPr>
              <w:t>绿化局</w:t>
            </w:r>
            <w:proofErr w:type="gramEnd"/>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对陆生野生动植物的行政检查</w:t>
            </w:r>
          </w:p>
        </w:tc>
        <w:tc>
          <w:tcPr>
            <w:tcW w:w="422" w:type="pct"/>
            <w:vMerge w:val="restar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2024</w:t>
            </w:r>
            <w:r>
              <w:rPr>
                <w:rFonts w:ascii="仿宋_GB2312" w:eastAsia="仿宋_GB2312" w:hAnsi="仿宋_GB2312" w:cs="仿宋_GB2312" w:hint="eastAsia"/>
                <w:snapToGrid w:val="0"/>
                <w:kern w:val="0"/>
                <w:sz w:val="18"/>
                <w:szCs w:val="18"/>
              </w:rPr>
              <w:t>年度取得野生动植物行政许可的单位</w:t>
            </w:r>
          </w:p>
        </w:tc>
        <w:tc>
          <w:tcPr>
            <w:tcW w:w="435"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现场检查</w:t>
            </w:r>
          </w:p>
        </w:tc>
        <w:tc>
          <w:tcPr>
            <w:tcW w:w="372" w:type="pct"/>
            <w:vMerge w:val="restar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1</w:t>
            </w:r>
          </w:p>
        </w:tc>
        <w:tc>
          <w:tcPr>
            <w:tcW w:w="299" w:type="pct"/>
            <w:vMerge w:val="restar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市县</w:t>
            </w:r>
          </w:p>
        </w:tc>
      </w:tr>
      <w:tr w:rsidR="00244C26">
        <w:trPr>
          <w:trHeight w:val="764"/>
        </w:trPr>
        <w:tc>
          <w:tcPr>
            <w:tcW w:w="146" w:type="pct"/>
            <w:vMerge/>
            <w:vAlign w:val="center"/>
          </w:tcPr>
          <w:p w:rsidR="00244C26" w:rsidRDefault="00244C26">
            <w:pPr>
              <w:pStyle w:val="a4"/>
              <w:numPr>
                <w:ilvl w:val="0"/>
                <w:numId w:val="1"/>
              </w:numPr>
              <w:spacing w:line="280" w:lineRule="exact"/>
              <w:ind w:rightChars="-32" w:right="-67" w:firstLineChars="0"/>
              <w:jc w:val="center"/>
              <w:rPr>
                <w:rFonts w:ascii="仿宋_GB2312" w:eastAsia="仿宋_GB2312" w:hAnsi="仿宋_GB2312" w:cs="仿宋_GB2312"/>
                <w:snapToGrid w:val="0"/>
                <w:kern w:val="0"/>
                <w:sz w:val="18"/>
                <w:szCs w:val="18"/>
              </w:rPr>
            </w:pPr>
          </w:p>
        </w:tc>
        <w:tc>
          <w:tcPr>
            <w:tcW w:w="548"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41"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35" w:type="pct"/>
            <w:tcBorders>
              <w:righ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参与部门</w:t>
            </w:r>
          </w:p>
        </w:tc>
        <w:tc>
          <w:tcPr>
            <w:tcW w:w="474" w:type="pct"/>
            <w:tcBorders>
              <w:left w:val="single" w:sz="4" w:space="0" w:color="auto"/>
            </w:tcBorders>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市场监督</w:t>
            </w:r>
          </w:p>
        </w:tc>
        <w:tc>
          <w:tcPr>
            <w:tcW w:w="1724" w:type="pct"/>
            <w:vAlign w:val="center"/>
          </w:tcPr>
          <w:p w:rsidR="00244C26" w:rsidRDefault="003D5303">
            <w:pPr>
              <w:spacing w:line="280" w:lineRule="exact"/>
              <w:ind w:rightChars="-32" w:right="-67"/>
              <w:jc w:val="center"/>
              <w:rPr>
                <w:rFonts w:ascii="仿宋_GB2312" w:eastAsia="仿宋_GB2312" w:hAnsi="仿宋_GB2312" w:cs="仿宋_GB2312"/>
                <w:snapToGrid w:val="0"/>
                <w:kern w:val="0"/>
                <w:sz w:val="18"/>
                <w:szCs w:val="18"/>
              </w:rPr>
            </w:pPr>
            <w:r>
              <w:rPr>
                <w:rFonts w:ascii="仿宋_GB2312" w:eastAsia="仿宋_GB2312" w:hAnsi="仿宋_GB2312" w:cs="仿宋_GB2312" w:hint="eastAsia"/>
                <w:snapToGrid w:val="0"/>
                <w:kern w:val="0"/>
                <w:sz w:val="18"/>
                <w:szCs w:val="18"/>
              </w:rPr>
              <w:t>为非法交易野生动物等违法行为提供交易服务的检查</w:t>
            </w:r>
          </w:p>
        </w:tc>
        <w:tc>
          <w:tcPr>
            <w:tcW w:w="422" w:type="pct"/>
            <w:vMerge/>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435"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372" w:type="pct"/>
            <w:vMerge/>
            <w:tcBorders>
              <w:lef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c>
          <w:tcPr>
            <w:tcW w:w="299" w:type="pct"/>
            <w:vMerge/>
            <w:tcBorders>
              <w:right w:val="single" w:sz="4" w:space="0" w:color="auto"/>
            </w:tcBorders>
            <w:vAlign w:val="center"/>
          </w:tcPr>
          <w:p w:rsidR="00244C26" w:rsidRDefault="00244C26">
            <w:pPr>
              <w:spacing w:line="280" w:lineRule="exact"/>
              <w:ind w:rightChars="-32" w:right="-67"/>
              <w:jc w:val="center"/>
              <w:rPr>
                <w:rFonts w:ascii="仿宋_GB2312" w:eastAsia="仿宋_GB2312" w:hAnsi="仿宋_GB2312" w:cs="仿宋_GB2312"/>
                <w:snapToGrid w:val="0"/>
                <w:kern w:val="0"/>
                <w:sz w:val="18"/>
                <w:szCs w:val="18"/>
              </w:rPr>
            </w:pPr>
          </w:p>
        </w:tc>
      </w:tr>
    </w:tbl>
    <w:p w:rsidR="00244C26" w:rsidRDefault="00244C26"/>
    <w:sectPr w:rsidR="00244C2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E82B8424-EDE5-47E2-BF80-C05CF975160D}"/>
  </w:font>
  <w:font w:name="仿宋_GB2312">
    <w:panose1 w:val="02010609030101010101"/>
    <w:charset w:val="86"/>
    <w:family w:val="modern"/>
    <w:pitch w:val="fixed"/>
    <w:sig w:usb0="00000001" w:usb1="080E0000" w:usb2="00000010" w:usb3="00000000" w:csb0="00040000" w:csb1="00000000"/>
    <w:embedRegular r:id="rId2" w:subsetted="1" w:fontKey="{4D0E17F5-D4BA-445F-A45F-ABDE87E15A6D}"/>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44429"/>
    <w:multiLevelType w:val="multilevel"/>
    <w:tmpl w:val="4124442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26"/>
    <w:rsid w:val="00244C26"/>
    <w:rsid w:val="003D5303"/>
    <w:rsid w:val="0F371C9D"/>
    <w:rsid w:val="27133ADC"/>
    <w:rsid w:val="55162084"/>
    <w:rsid w:val="74DD58F1"/>
    <w:rsid w:val="7B572E27"/>
    <w:rsid w:val="7D0A0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75640A4-ACCA-4AC2-9BCF-2789B094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firstLineChars="200" w:firstLine="42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2025-03-27T08:09:00Z</dcterms:created>
  <dcterms:modified xsi:type="dcterms:W3CDTF">2025-08-22T06:03:00Z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eyJoZGlkIjoiZjVmMGJjMWFlZmM1NWM2MTIyNDE4ZmEyZmFmNzU5OTYiLCJ1c2VySWQiOiIyNzIyNzgwMjkifQ==</vt:lpwstr>
  </property>
  <property fmtid="{D5CDD505-2E9C-101B-9397-08002B2CF9AE}" pid="4" name="ICV">
    <vt:lpwstr>3E62F0D9013D42CEBEF0A8024535ACE5_12</vt:lpwstr>
  </property>
</Properties>
</file>