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4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2020年太仓市国民经济和社会发展统计公报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2020年，面对新冠肺炎疫情的严重冲击和复杂严峻的国内外环境，全市上下坚决贯彻落实上级决策部署，自觉践行新发展理念，同心同德、团结拼搏，高质量建设“两地两城”，扎实做好“六稳”工作，全面落实“六保”任务，全市经济快速复苏、稳中有进，社会大局和谐稳定，经济社会高质量发展取得新成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一、综合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2020年，全市实现地区生产总值1386.09亿元，按可比价格计算，比上年增长3.9%。其中，第一产业增加值26.96亿元，下降18.4%；第二产业增加值666.53亿元，增长4.3%；第三产业增加值692.60亿元，增长4.7%。第一产业增加值占地区生产总值的比重为1.9%，第二产业增加值比重为48.1%，第三产业增加值比重为50.0%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343525" cy="27527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2020年，太仓市共实现一般公共预算收入171.12亿元，比上年增长5.0%；其中税收收入147.21亿元，增长4.8%；税收占比为86.0%。全年一般公共预算支出151.06亿元，比上年增长5.5%。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76850" cy="3686175"/>
            <wp:effectExtent l="0" t="0" r="0" b="0"/>
            <wp:docPr id="5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二、农业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完成农林牧渔业总产值48.6亿元，比上年下降19%。其中，种植业产值27.47亿元，比上年上升1.62%；畜牧业产值2.81亿元，下降55.66%；渔业产值6.36亿元，下降59%。粮食、棉花、油料种植面积分别为31.98万亩、0.04万亩和1.01万亩，粮食、棉花、油料作物总产量分别为151377吨、26吨和1696吨。年末生猪存栏1.35万头，生猪出栏1.96万头；年末家禽存栏24.11万羽，家禽出栏81.95万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种植业主要产品生产情况</w:t>
      </w: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1270"/>
        <w:gridCol w:w="1090"/>
        <w:gridCol w:w="1090"/>
        <w:gridCol w:w="1362"/>
        <w:gridCol w:w="109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  <w:jc w:val="center"/>
        </w:trPr>
        <w:tc>
          <w:tcPr>
            <w:tcW w:w="12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产品名称</w:t>
            </w:r>
          </w:p>
        </w:tc>
        <w:tc>
          <w:tcPr>
            <w:tcW w:w="12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播种面积（万亩）</w:t>
            </w:r>
          </w:p>
        </w:tc>
        <w:tc>
          <w:tcPr>
            <w:tcW w:w="1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总产量（吨）</w:t>
            </w:r>
          </w:p>
        </w:tc>
        <w:tc>
          <w:tcPr>
            <w:tcW w:w="1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产品名称</w:t>
            </w:r>
          </w:p>
        </w:tc>
        <w:tc>
          <w:tcPr>
            <w:tcW w:w="13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播种面积（万亩）</w:t>
            </w:r>
          </w:p>
        </w:tc>
        <w:tc>
          <w:tcPr>
            <w:tcW w:w="1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总产量（吨）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粮食作物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31.98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151377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棉花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油料作物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1.01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1696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瓜果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0.94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17799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21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#花生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0.14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336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蔬菜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21.21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456684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油菜籽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0.84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1335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 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 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 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新建高标准农田4.2万亩，建成水稻绿色高质高效创建示范片6个。1.2万亩“菜篮子”工程蔬菜基地完成提档。新增国家级水产健康养殖示范场2家。万头规模猪场建成投运。“太仓白蒜”“新毛芋艿”获评国家农产品地理标志。建成“全程机械化+综合农事”服务中心4个。新增向村集体流转农户承包土地1.2万亩。获评全国秸秆全量利用示范县、省农村一二三产业融合发展先导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三、工业和建筑业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全年规模以上工业总产值比上年增长5.0%。年末全市规模以上工业企业1068家，其中超亿元企业402家、超五十亿元企业4家、超百亿企业2家。新兴产业产值增长5.9%，占规模以上工业产值的比重为58.2%。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规模以上工业企业主要产品产量</w:t>
      </w:r>
    </w:p>
    <w:tbl>
      <w:tblPr>
        <w:tblStyle w:val="4"/>
        <w:tblW w:w="804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01"/>
        <w:gridCol w:w="1417"/>
        <w:gridCol w:w="1560"/>
        <w:gridCol w:w="136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3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产品名称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计量单位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产品产量</w:t>
            </w:r>
          </w:p>
        </w:tc>
        <w:tc>
          <w:tcPr>
            <w:tcW w:w="13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比上年增长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%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29190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-25.1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万米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8124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服装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万件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1431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-24.4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家具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件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209474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-14.4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机制纸及纸板（外购原纸加工除外）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2923225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初级形态塑料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172051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化学药品原药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-7.3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化学纤维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934710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塑料制品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49472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-12.8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水泥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2143713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铜材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66964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金属集装箱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立方米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7667966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43.9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摩托车整车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717861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-3.6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两轮脚踏自行车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795490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电动自行车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81134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-9.9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电动机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千瓦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7206020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家用电热取暖器具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220738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电子元件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万只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11868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工业自动调节仪表与控制系统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台（套）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3998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66.0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37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自来水生产量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万立方米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10453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-0.6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Style w:val="4"/>
        <w:tblW w:w="80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全年资质内总专包建筑业企业完成总产值58.51亿元，比上年增长15.3%；建筑企业房屋建筑施工面积322.47万平方米，增长7.8%；房屋竣工面积89.15万平方米，增长1.8%。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四、固定资产投资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完成全社会固定资产投资468.59亿元，比上年增长16.4%。其中，工业投资160.35亿元，增长25.0%；服务业投资307.01亿元，增长11.9%。完成新兴产业投资130.39亿元，占全社会固定资产投资的比重为27.8%；完成高新技术产业投资70.65亿元，占工业投资的比重为44.1%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完成房地产开发投资216.54亿元，比上年增长15.4%，占全社会固定资产投资的比重为46.2%。商品房新开工面积235.81万平方米，下降-9.9%；施工面积1088.63万平方米，增长15.3%；竣工面积97.62万平方米，增长11.6%；销售面积164.57万平方米，上升8.7%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五、国内贸易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实现社会消费品零售总额425.04亿元，比上年增长0.1%。按消费形态统计，批发和零售业零售额395.29亿元，增长1.7%；住宿和餐饮业零售额29.75亿元，下降17.6%。按经营地统计，城镇消费品零售额384.66亿元，同比增长0.1%，乡村消费品零售额40.38亿元，与上年持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76850" cy="3286125"/>
            <wp:effectExtent l="0" t="0" r="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六、开放型经济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新批外资项目102个，其中德资项目32个。完成注册外资19.46亿美元，比上年增长73.6%。完成实际利用外资8.15亿美元，比上年增长78.6%。实现服务外包接包合同额11.02亿美元，同比增长7.3%，离岸服务外包执行额4.13亿美元，增长4.3%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全年实现进出口总额133.35亿美元，比上年下降0.2%，其中出口总额63.36亿美元，下降0.4%；进口总额69.99亿美元，增长0.1%。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29225" cy="3429000"/>
            <wp:effectExtent l="0" t="0" r="0" b="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引进内资项目3234个，新增注册资金258.80亿元，引进内资实际到帐资金318.21亿元。其中，注册资金在500万元以上项目1040个。从产业分类看，引进一产项目3个，注册资金0.31亿元；二产项目822个，注册资金54.91亿元；三产项目2409个，注册资金203.58亿元。年末全市私营企业总量为37482户，比上年增长14.3%，在册私营企业注册资本2281.40亿元，比上年增长18.6%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七、交通、邮电和旅游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完成交通运输、仓储及邮政业增加值76.71亿元，按可比价格计算，比上年增长14.7%。完成旅客运输量1867万人次，旅客运输周转量61931万人公里；货物运输量2101万吨，增长13.4%；货物运输周转量503838万吨公里，增长98.9%。年末民用汽车保有量27.7万辆，比上年增长7.8%；其中，私人汽车保有量22.9万辆，增长7.0%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全年实现邮政业务总收入1.55亿元，比上年增长14.9%；电信业务总收入13.36亿元，增长4.3%。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太仓港全年实现港口集装箱运量521.2万标箱，比上年增长1.2%；货物吞吐量21606万吨，增长0.1%，其中，金属矿石、煤炭及制品、木材分别为5911万吨、3798万吨、952万吨，增速分别为2.1%、-31.5%和-6.7%。年末共有各类型泊位数91个、国际国内航线211条。太仓港成为全国第九大集装箱港口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受新型冠状病毒疫情影响，全年旅游接待境内外游客464.8万人次，比上年下降30.0%；旅游总收入75.83亿元，同比下降28.1%。景区接待人数325.6万人次，同比下降26.8%，平均客房出租率为32.2%。年末拥有星级饭店9家，国家4A级、3A级景区各2个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八、金融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末金融机构人民币各项存款余额1867.10亿元，比年初增长15.9%；其中住户存款余额761.21亿元，比年初增长13.7%。外汇存款余额97736万美元，比年初增长52.2%。人民币各项贷款余额1851.64亿元，比年初增长17.1%；其中短期贷款余额647.07亿元，比年初增长15.2%；中长期贷款余额1136.25亿元，比年初增长18.5%。外汇贷款余额36433万美元，比年初增长11.0%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金融机构存贷款余额</w:t>
      </w:r>
    </w:p>
    <w:tbl>
      <w:tblPr>
        <w:tblStyle w:val="4"/>
        <w:tblW w:w="738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28"/>
        <w:gridCol w:w="1080"/>
        <w:gridCol w:w="1360"/>
        <w:gridCol w:w="151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 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</w:t>
            </w:r>
          </w:p>
        </w:tc>
        <w:tc>
          <w:tcPr>
            <w:tcW w:w="13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年末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比年初增减额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一、金融机构存款余额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人民币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1867.10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256.46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住户存款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761.21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91.47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非金融企业存款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757.01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161.07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二、金融机构贷款余额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人民币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1851.64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269.91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短期贷款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647.07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85.32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中长期贷款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1136.25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177.33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三、金融机构存款余额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本外币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1930.87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275.42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住户存款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766.68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91.56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四、金融机构贷款余额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本外币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亿元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1875.41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270.79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Style w:val="4"/>
        <w:tblW w:w="7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年末登记证券开户数96577户，比上年增长7.3%；全年证券交易额2075.14亿元，增长96.5%。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全年保费收入32.08亿元，比上年增长17.0%；全年保险业务赔付9.81亿元，增长7.7%。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九、教育和科学技术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市拥有小学39所（其中民办小学8所），普通初中15所，普通高中4所，特殊教育学校1所，中等专业学校1所，高等职业技术学院1所，社区教育中心7个，老年大学1所。全市在校学生11.14万人，其中公办学校9.81万人。全市学龄儿童入学率、初中毕业生升学率、高中阶段教育毛入学率均为100%。全市中小学拥有教职员工7550人，其中公办学校6349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社会R&amp;D经费支出占地区生产总值比重3.34%。高新技术产业产值占规模以上工业比重49.29%。净增高新技术企业240家，新增省级企业研发机构11家。西工大太仓长三角研究院获评省级新型研发机构。新增省级以上科创载体5个、省外国专家工作室3家。新增企业创新人才2.3万人、苏州市级以上领军人才35人。全年共申请专利12767件，其中发明专利2642件，授权专利7722件。年末万人发明专利拥有量75.61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十、文化、体育和卫生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末各类艺术表演团体24个，文化馆、公共图书馆各1个、档案馆2个、博物馆6个，公共图书馆总藏量146.4万册，已开放各类档案2.37万卷。公共服务设施持续完善。政府实事工程美术馆新建工程稳步推进中，基层综合性文化服务中心标准化建设实现全覆盖，娄江新城文化艺术中心完成初步规划，有线智慧镇（街道）建设通过省级验收。开展文体惠民活动超4300多场次，惠及群众200多万人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重大赛事承办力度不减。当年承办全国赛事3项、省级赛事3项。新增全民健身工程18套，进一步优化城乡社区“10分钟健身圈”服务功能。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市公卫中心完成建设，港区医院动工建设，10家基层医疗机构提档升级建设有序推进，健康综合管理平台升级项目按序进行，医疗卫生信息系统升级项目完成建设。获评全国健康城市建设示范市县级市第四名。全市各级各类医疗机构298所，其中医院、卫生院29所，妇幼卫生机构1所，疾控中心1所。年末卫生机构拥有床位4335张，其中乡镇卫生院床位数1175张；拥有卫生技术人员5638人，其中执业（助理）医师2336人、注册护士2423人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十一、人民生活和社会保障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年末户籍人口51.05万人，比上年增加8794人。其中，男性24.53万人，女性26.52万人。户籍人口出生率为6.44‰，死亡率为9.13‰，自然增长率为-2.69‰。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城镇居民人均可支配收入70592元，农村居民人均可支配收入37521元，分别增长3.5%和6.6%。城镇居民人均生活消费支出38584元，农村居民人均生活消费支出22912元，分别下降1.5%和3.6%。城乡居民食品支出占生活费支出的比重（恩格尔系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superscript"/>
        </w:rPr>
        <w:t>*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）分别为27.9%和28.0%。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5276850" cy="2676525"/>
            <wp:effectExtent l="0" t="0" r="0" b="9525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年末全市基本养老保险参保人数35.78万人，医疗保险参保人数66.08万人，失业保险职工参保人数32.37万人，参保率均在99%以上。保障性安居工程新开工1947套，基本建成1529套。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年组织再就业培训5548人，农村劳动力培训51964人次，技能培训70503人次，参加技能鉴定9091人次，颁发国家职业资格证书7728份。应届毕业生就业率96.08%。年末城镇失业人数2404人，较上年减少5.0%；城镇新增就业人数1.29万人，城镇登记失业率1.77%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城乡低保标准提高至每人每月1045元，发放各类生活救助金、慰问金（物资）7000万元。科教新城、双凤养老服务中心投用，新建升级日间照料服务中心20家。社区养老社会化运营率超96%，养老服务经验全国推广。人均期望寿命达84.7岁。获评首批全国健康城市建设示范市、中国民间文化艺术之乡。连续五年位居中国最具幸福感城市县级市首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十二、城乡建设和环境保护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城市功能日益完善。2035国土空间总体规划、娄江新城“1+5+N”规划加快编制，片区控规实现全覆盖，镇村布局、城市双修、快速路网等专项规划完成编制。主城区更新提档有序实施，城市功能配套更加完善。清华力合科技谷加快建设，科教新城城市形态基本形成。娄江新城滨河公园建成开园，科教创新区一期项目全面启动，西北工业大学太仓校区一期工程、西交利物浦大学太仓校区宿舍区封顶。南沿江铁路加快建设。太浏快速路全线贯通，沙溪服务区改建扩容，204国道双凤段获评省十佳集镇段。十八港北段治理、杨林塘口门建筑物等工程完工。太仓500千伏变电站扩建工程有序推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城市管理不断优化。城区学耕路等9条背街小巷、花园新村等8个老旧小区、兴业楼等12个农贸市场完成提档升级。“百万”拆违攻坚行动强势推进，存量违建有序消化，新增违建有效遏制。整治违规户外广告、店招标牌超1000块。依法实施城乡生活垃圾分类，458个居民小区“定时定点定人督导”实现全覆盖。新改建公厕77座。智慧交通体系启动建设。新增停车泊位2.4万个、电动汽车充电桩100个、纯电动公交车55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生态质量持续提升。单位地区生产总值能耗下降3.9%。PM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vertAlign w:val="subscript"/>
        </w:rPr>
        <w:t>2.5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均浓度26微克/立方米，连续两年为苏州最低；空气质量优良天数比率达85.2%。国省考断面、主要入江支流水质优Ⅲ比例均达100%。长江流域禁捕退捕、水上过驳作业取缔工作全面落实。关停淘汰低端低效产能企业（作坊）170家。减煤56万吨，淘汰高污染机动车8466辆。3座生活污水处理厂完成提标扩建，沙溪工业污水处理厂开工建设。新改建污水主管网121.6公里。再生资源综合利用、建筑垃圾资源化利用项目开工建设。获评国家生态文明建设示范市、节水型社会建设达标县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注：1.本公报2020年数据为初步统计数；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6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2.联合国根据恩格尔系数的大小，对世界各国的生活水平有一个划分标准，即一个国家平均家庭恩格尔系数大于60%为贫穷；50%-60%为温饱；40%-50%为小康；30%-40%属于相对富裕；20%-30%为富裕；20%以下为极其富裕。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43862B4A"/>
    <w:rsid w:val="24FB04B8"/>
    <w:rsid w:val="4386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4574</Words>
  <Characters>5793</Characters>
  <Lines>0</Lines>
  <Paragraphs>0</Paragraphs>
  <TotalTime>6</TotalTime>
  <ScaleCrop>false</ScaleCrop>
  <LinksUpToDate>false</LinksUpToDate>
  <CharactersWithSpaces>5796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2022-10-21T07:38:00Z</dcterms:created>
  <dc:creator>fight for myself</dc:creator>
  <cp:lastModifiedBy>潘云霞</cp:lastModifiedBy>
  <dcterms:modified xsi:type="dcterms:W3CDTF">2022-10-21T08:57:00Z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1C15184F4B7A4A128AB5A492DEBFB7F7</vt:lpwstr>
  </property>
</Properties>
</file>