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35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jc w:val="center"/>
        <w:textAlignment w:val="baseline"/>
        <w:rPr>
          <w:rFonts w:hint="eastAsia" w:ascii="方正小标宋_GBK" w:hAnsi="方正小标宋_GBK" w:eastAsia="方正小标宋_GBK" w:cs="方正小标宋_GBK"/>
          <w:i w:val="0"/>
          <w:caps w:val="0"/>
          <w:color w:val="505050"/>
          <w:spacing w:val="0"/>
          <w:kern w:val="0"/>
          <w:sz w:val="44"/>
          <w:szCs w:val="44"/>
          <w:u w:val="none"/>
          <w:shd w:val="clear" w:color="auto" w:fill="FFFFFF"/>
          <w:vertAlign w:val="baseline"/>
          <w:lang w:val="en-US" w:eastAsia="zh-CN" w:bidi="ar"/>
        </w:rPr>
      </w:pPr>
      <w:bookmarkStart w:id="0" w:name="_GoBack"/>
      <w:bookmarkEnd w:id="0"/>
      <w:r>
        <w:rPr>
          <w:rFonts w:hint="eastAsia" w:ascii="方正小标宋_GBK" w:hAnsi="方正小标宋_GBK" w:eastAsia="方正小标宋_GBK" w:cs="方正小标宋_GBK"/>
          <w:i w:val="0"/>
          <w:caps w:val="0"/>
          <w:color w:val="505050"/>
          <w:spacing w:val="0"/>
          <w:kern w:val="0"/>
          <w:sz w:val="44"/>
          <w:szCs w:val="44"/>
          <w:u w:val="none"/>
          <w:shd w:val="clear" w:color="auto" w:fill="FFFFFF"/>
          <w:vertAlign w:val="baseline"/>
          <w:lang w:val="en-US" w:eastAsia="zh-CN" w:bidi="ar"/>
        </w:rPr>
        <w:t>关于苏州市吴江区2025年国民经济</w:t>
      </w:r>
    </w:p>
    <w:p w14:paraId="135027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right="0"/>
        <w:jc w:val="center"/>
        <w:textAlignment w:val="baseline"/>
        <w:rPr>
          <w:rFonts w:hint="eastAsia" w:ascii="方正小标宋_GBK" w:hAnsi="方正小标宋_GBK" w:eastAsia="方正小标宋_GBK" w:cs="方正小标宋_GBK"/>
          <w:i w:val="0"/>
          <w:caps w:val="0"/>
          <w:color w:val="505050"/>
          <w:spacing w:val="0"/>
          <w:kern w:val="0"/>
          <w:sz w:val="44"/>
          <w:szCs w:val="44"/>
          <w:u w:val="none"/>
          <w:shd w:val="clear" w:color="auto" w:fill="FFFFFF"/>
          <w:vertAlign w:val="baseline"/>
          <w:lang w:val="en-US" w:eastAsia="zh-CN" w:bidi="ar"/>
        </w:rPr>
      </w:pPr>
      <w:r>
        <w:rPr>
          <w:rFonts w:hint="eastAsia" w:ascii="方正小标宋_GBK" w:hAnsi="方正小标宋_GBK" w:eastAsia="方正小标宋_GBK" w:cs="方正小标宋_GBK"/>
          <w:i w:val="0"/>
          <w:caps w:val="0"/>
          <w:color w:val="505050"/>
          <w:spacing w:val="0"/>
          <w:kern w:val="0"/>
          <w:sz w:val="44"/>
          <w:szCs w:val="44"/>
          <w:u w:val="none"/>
          <w:shd w:val="clear" w:color="auto" w:fill="FFFFFF"/>
          <w:vertAlign w:val="baseline"/>
          <w:lang w:val="en-US" w:eastAsia="zh-CN" w:bidi="ar"/>
        </w:rPr>
        <w:t>和社会发展计划上半年执行情况的报告</w:t>
      </w:r>
    </w:p>
    <w:p w14:paraId="4A5DCC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pPr>
    </w:p>
    <w:p w14:paraId="077E16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今年以来，</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吴江区坚持以习近平新时代中国特色社会主义思想为指导，全面贯彻党的二十大和二十届二中、三中全会精神，坚持稳中求进工作总基调，牢牢把握“四个走在前”“四个新”等重大任务，保持定力，克难奋进，推进示范区建设再上新台阶，推动高质量发展实现新跃升，奋力谱写“强富美高”新吴江现代化建设新篇章。</w:t>
      </w:r>
    </w:p>
    <w:p w14:paraId="5A440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ascii="黑体" w:hAnsi="宋体" w:eastAsia="黑体" w:cs="黑体"/>
          <w:i w:val="0"/>
          <w:caps w:val="0"/>
          <w:color w:val="505050"/>
          <w:spacing w:val="0"/>
          <w:kern w:val="0"/>
          <w:sz w:val="32"/>
          <w:szCs w:val="32"/>
          <w:u w:val="none"/>
          <w:shd w:val="clear" w:color="auto" w:fill="FFFFFF"/>
          <w:vertAlign w:val="baseline"/>
          <w:lang w:val="en-US" w:eastAsia="zh-CN" w:bidi="ar"/>
        </w:rPr>
        <w:t>一、</w:t>
      </w:r>
      <w:r>
        <w:rPr>
          <w:rFonts w:hint="eastAsia" w:ascii="黑体" w:hAnsi="宋体" w:eastAsia="黑体" w:cs="黑体"/>
          <w:i w:val="0"/>
          <w:caps w:val="0"/>
          <w:color w:val="505050"/>
          <w:spacing w:val="0"/>
          <w:kern w:val="0"/>
          <w:sz w:val="32"/>
          <w:szCs w:val="32"/>
          <w:u w:val="none"/>
          <w:shd w:val="clear" w:color="auto" w:fill="FFFFFF"/>
          <w:vertAlign w:val="baseline"/>
          <w:lang w:val="en-US" w:eastAsia="zh-CN" w:bidi="ar"/>
        </w:rPr>
        <w:t>2025年国民经济和社会发展计划上半年执行情况</w:t>
      </w:r>
    </w:p>
    <w:p w14:paraId="0FD554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上半年，吴江区统筹推进“一统领三稳三新三保”，以实干实绩勇挑大梁、走在前列，各项经济社会发展指标呈现稳中有进、进中向好、好中提质的良好态势。</w:t>
      </w:r>
    </w:p>
    <w:p w14:paraId="36AAD8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全区完成地区生产总值1285.41亿元，增长6.1%（不变价）；</w:t>
      </w:r>
    </w:p>
    <w:p w14:paraId="7E6412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完成规上工业总产值2836.10亿元，增长6.2%；</w:t>
      </w:r>
    </w:p>
    <w:p w14:paraId="71970A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制造业增加值占GDP比重45.0%；</w:t>
      </w:r>
    </w:p>
    <w:p w14:paraId="529E1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完成全社会固定资产投资396.40亿元，增长7.4%；</w:t>
      </w:r>
    </w:p>
    <w:p w14:paraId="0667A4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完成工业投资166.06亿元，增长15.8%；</w:t>
      </w:r>
    </w:p>
    <w:p w14:paraId="231DC0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完成社会消费品零售总额402.25亿元, 增长5.0%；</w:t>
      </w:r>
    </w:p>
    <w:p w14:paraId="680230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完成进出口总额938.85亿元，增长11.0%；</w:t>
      </w:r>
    </w:p>
    <w:p w14:paraId="3CACB3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实际使用外资3.23亿美元，增长0.8%；</w:t>
      </w:r>
    </w:p>
    <w:p w14:paraId="62B701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完成一般公共预算收入149.74亿元,增长0.3%；</w:t>
      </w:r>
    </w:p>
    <w:p w14:paraId="1080B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高新技术产业产值占规模以上工业产值比重63.4%；</w:t>
      </w:r>
    </w:p>
    <w:p w14:paraId="0C36FC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工业增加值率保持稳定；</w:t>
      </w:r>
    </w:p>
    <w:p w14:paraId="0AA163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新增智能工厂34家；</w:t>
      </w:r>
    </w:p>
    <w:p w14:paraId="0ED527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预计每万人口高价值发明专利拥有量为35件；</w:t>
      </w:r>
    </w:p>
    <w:p w14:paraId="4F81C5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每万劳动力中高技能人才1578人；</w:t>
      </w:r>
    </w:p>
    <w:p w14:paraId="79AC02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高等教育毛入学率71.3%；</w:t>
      </w:r>
    </w:p>
    <w:p w14:paraId="0CE42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引留高校毕业生0.85万人；</w:t>
      </w:r>
    </w:p>
    <w:p w14:paraId="06ADD7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城乡基本医保参保人数130.30万人;</w:t>
      </w:r>
    </w:p>
    <w:p w14:paraId="00CAA9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完成城中村改造搬迁279户；</w:t>
      </w:r>
    </w:p>
    <w:p w14:paraId="5740F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每千人口拥有0-3岁婴幼儿托位数4.7个；</w:t>
      </w:r>
    </w:p>
    <w:p w14:paraId="7B95E8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接受上门服务的居家老年人数占比20.2%；</w:t>
      </w:r>
    </w:p>
    <w:p w14:paraId="0F4736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每千人口医疗卫生机构床位数6.27张；</w:t>
      </w:r>
    </w:p>
    <w:p w14:paraId="67DABF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每千人口执业（助理）医师数3.29人；</w:t>
      </w:r>
    </w:p>
    <w:p w14:paraId="518127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居民人均可支配收入与经济增长基本同步；</w:t>
      </w:r>
    </w:p>
    <w:p w14:paraId="45E3F6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城乡居民收入倍差稳步降低；</w:t>
      </w:r>
    </w:p>
    <w:p w14:paraId="4BF65B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城镇新增就业人数2.57万人；</w:t>
      </w:r>
    </w:p>
    <w:p w14:paraId="590080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新增就业参保大学生3778人；</w:t>
      </w:r>
    </w:p>
    <w:p w14:paraId="63D44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单位地区生产总值能源消耗降低完成上级下达任务；</w:t>
      </w:r>
    </w:p>
    <w:p w14:paraId="533DFB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PM</w:t>
      </w:r>
      <w:r>
        <w:rPr>
          <w:rFonts w:hint="eastAsia" w:ascii="仿宋_GB2312" w:hAnsi="宋体" w:eastAsia="仿宋_GB2312" w:cs="仿宋_GB2312"/>
          <w:i w:val="0"/>
          <w:caps w:val="0"/>
          <w:color w:val="505050"/>
          <w:spacing w:val="0"/>
          <w:kern w:val="0"/>
          <w:sz w:val="32"/>
          <w:szCs w:val="32"/>
          <w:u w:val="none"/>
          <w:shd w:val="clear" w:color="auto" w:fill="FFFFFF"/>
          <w:vertAlign w:val="subscript"/>
          <w:lang w:val="en-US" w:eastAsia="zh-CN" w:bidi="ar"/>
        </w:rPr>
        <w:t>2.5</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浓度完成上级下达任务；</w:t>
      </w:r>
    </w:p>
    <w:p w14:paraId="2CF663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空气质量优良天数比例完成上级下达任务；</w:t>
      </w:r>
    </w:p>
    <w:p w14:paraId="0657F6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省考地表水达到或优于Ⅲ类水体比例完成上级下达任务；</w:t>
      </w:r>
    </w:p>
    <w:p w14:paraId="67B4DC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主要污染物排放总量削减完成上级下达任务；</w:t>
      </w:r>
    </w:p>
    <w:p w14:paraId="53313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批而未供和闲置土地处置率完成上级下达任务；</w:t>
      </w:r>
    </w:p>
    <w:p w14:paraId="517DA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耕地保有量完成上级下达任务；</w:t>
      </w:r>
    </w:p>
    <w:p w14:paraId="76180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粮食综合生产能力产量保持稳定，完成市下达粮食播种面积任务；</w:t>
      </w:r>
    </w:p>
    <w:p w14:paraId="6CA49F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安全生产未发生重特大生产安全责任事故。</w:t>
      </w:r>
    </w:p>
    <w:p w14:paraId="685027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工业战略性新兴产业产值占工业总产值比重、新增高新技术企业、数字经济核心产业增加值占GDP比重、新增国家级专精特新“小巨人”企业数、规上生产性服务业营业收入、全社会研究与试验发展经费支出占GDP比重、企业研究与试验发展经费投入、人才资源总量、城乡基本养老保险参保缴费率为年度数据，无半年度预计数。</w:t>
      </w:r>
    </w:p>
    <w:p w14:paraId="5C0B79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（一）聚焦实体经济，区域能级持续提升</w:t>
      </w:r>
    </w:p>
    <w:p w14:paraId="62604D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1.农业经济积极向好。</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实现农林牧渔业总产值25.60亿元，增长6.2%，建设高标准农田1.85万亩，夏粮总产4.44万吨，蔬菜产量17.94万吨，渔业产量2.45万吨，生猪出栏5.8万头。稳步实施农业农村重点项目23个，完成投资7.57亿元。新增完工惠村项目15个，面积9.38万平方米。上半年，全区村均经营性收入达324万元。平望镇庙头村获评国家级美丽休闲乡村。全省首只乡村振兴股权投资母基金运作良好。七都镇入选农业农村部农业产业强镇名单。吴江区获评省级乡村振兴争先进位县。</w:t>
      </w:r>
    </w:p>
    <w:p w14:paraId="1A276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2.工业经济支撑有力。</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规上、规下工业增加值分别增长9.1%、6.0%（不变价）；实现规上新兴产业产值1462亿元，增长5.5%，占规上工业总产值比重51.5%；完成工业投资166.06亿元，增长15.8%。电子信息业完成规上产值527.35亿元，增长4.4%；丝绸纺织业完成规上产值625.34亿元，增长1.0%；装备制造业完成规上产值933.35亿元，增长8.1%；光电缆业完成规上产值273.53亿元，增长24.1%；新材料产业完成规上产值811.70亿元，增长13.8%;新能源产业完成规上产值503.18亿元，增长7.8%。亨通光电获评首批国家卓越级智能工厂。吴江开发区、吴江高新区入选省级绿色工业园区。新增省级先进级智能工厂34家、省级绿色工厂22家。</w:t>
      </w:r>
    </w:p>
    <w:p w14:paraId="341E1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3.服务业经济量质齐升。</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完成服务业增加值635.01亿元，增长5.4%（不变价），占GDP比重49.4%；完成服务业投资230.23亿元，占全社会固定资产投资比重58.1%；完成服务业税收（全口径）68亿元，占全部税收比重31.8%；预计完成规上服务业营业收入119.71亿元，增长13.6%。“盛泽织造”“恒力”“桑罗”上榜首批中国消费名品名单。盛家厍入选省级夜间消费集聚区。举办“五福临门 欢聚吴江”“乐GO吴江”五五购物节等促消费活动，招引各类首店30余家，多元消费领域活力显著释放。</w:t>
      </w:r>
    </w:p>
    <w:p w14:paraId="48CB0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4.民营经济动能强劲。</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完成民营经济增加值899.79亿元，占GDP比重达70%;新增民营企业5696户、民营企业注册资本90.54亿元；完成民间投资236.50亿元，占全社会固定资产投资比重59.7%。恒力化纤、亨通光纤获评全国工信系统先进集体。清华汽研院、亨通线缆获评中国专利优秀奖。迈为股份、赛伍股份、同享电子入选全球光伏企业品牌100强。亨通光电入选《财富》中国ESG影响力榜。</w:t>
      </w:r>
    </w:p>
    <w:p w14:paraId="08E8AF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（二）狠抓科技创新，产业结构持续优化</w:t>
      </w:r>
    </w:p>
    <w:p w14:paraId="732D60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1.有效投资持续扩大。</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5个省重大项目完成投资11.72亿元，占年度计划63.4%，4个新开工项目全部开工。57个市重点项目完成投资140.95亿元，占年度计划72.5%，16个新开工项目全部开工。323个区重点项目投资完成投资361.13亿元，占年度计划57.4%，148个新开工项目已开工84个，开工率56.8%。全区共签约项目145个，总投资562.8亿元，其中内资129个，总投资513.2亿元；外资16个，总投资6.9亿美元。吴江特高压变压器数字化智慧工厂建成投产。中国移动长三角（苏州）汾湖智算中心开工建设。积极开展区土地征收成片开发方案编制工作。</w:t>
      </w:r>
    </w:p>
    <w:p w14:paraId="4DE34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2.科技创新成果丰硕。</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在2025赛迪创新百强区中，吴江区位列全国第11，全省第2，大市第1。吴江高新区正式获批省级高新区。上半年，全区完成高新技术产业产值1797.07亿元，占规上工业总产值比重63.4%，较去年底提升3.9个百分点。新增国家级企业技术中心1家、省级企业技术中心17家、省级专精特新中小企业15家。新增国家级博士后科研工作站3家。国望高科获评省创新联合体。清华汽研院获评首批省标杆孵化器。吴江（西安）未来创新中心正式启用。全区技能人才总量超31万人，其中高技能人才超14万人。</w:t>
      </w:r>
    </w:p>
    <w:p w14:paraId="30087F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3.文体旅发展亮点纷呈。</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上半年，全区接待境内外游客1053.16万人次,增长4.8%；完成规上文化产业营收超118.49亿元，增长15.6%。扎实推进文化强区“8050”计划，</w:t>
      </w:r>
      <w:r>
        <w:rPr>
          <w:rFonts w:hint="eastAsia" w:ascii="仿宋_GB2312" w:hAnsi="宋体" w:eastAsia="仿宋_GB2312" w:cs="仿宋_GB2312"/>
          <w:i w:val="0"/>
          <w:caps w:val="0"/>
          <w:color w:val="000000"/>
          <w:spacing w:val="0"/>
          <w:kern w:val="0"/>
          <w:sz w:val="32"/>
          <w:szCs w:val="32"/>
          <w:u w:val="none"/>
          <w:shd w:val="clear" w:color="auto" w:fill="FFFFFF"/>
          <w:vertAlign w:val="baseline"/>
          <w:lang w:val="en-US" w:eastAsia="zh-CN" w:bidi="ar"/>
        </w:rPr>
        <w:t>50个重点文化产业项目完成投资20.08亿元。</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吴江区入选全国市辖区旅游综合实力百强区。吴江运河文化旅游景区入选全省首批游学养推荐目的地。“谷雨乡绘 春满吴江”之旅入选省级乡村旅游与休闲农业精品线路。慈云蚕丝入选省级非遗工坊。举办国际攀联世界杯攀岩赛、同里杯中国围棋天元赛、全省青少年帆船锦标赛等品牌赛事。</w:t>
      </w:r>
    </w:p>
    <w:p w14:paraId="57B6FB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（三）加快改革步伐，开放格局持续扩大</w:t>
      </w:r>
    </w:p>
    <w:p w14:paraId="25CC9D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1.国家战略纵深推进。</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细化落实</w:t>
      </w:r>
      <w:r>
        <w:rPr>
          <w:rFonts w:hint="eastAsia" w:ascii="仿宋_GB2312" w:hAnsi="宋体" w:eastAsia="仿宋_GB2312" w:cs="仿宋_GB2312"/>
          <w:i w:val="0"/>
          <w:caps w:val="0"/>
          <w:color w:val="000000"/>
          <w:spacing w:val="0"/>
          <w:kern w:val="0"/>
          <w:sz w:val="32"/>
          <w:szCs w:val="32"/>
          <w:u w:val="none"/>
          <w:shd w:val="clear" w:color="auto" w:fill="FFFFFF"/>
          <w:vertAlign w:val="baseline"/>
          <w:lang w:val="en-US" w:eastAsia="zh-CN" w:bidi="ar"/>
        </w:rPr>
        <w:t>省委、省政府《关于推动长三角生态绿色一体化发展示范区高质量发展的若干政策意见</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》53项</w:t>
      </w:r>
      <w:r>
        <w:rPr>
          <w:rFonts w:hint="eastAsia" w:ascii="仿宋_GB2312" w:hAnsi="宋体" w:eastAsia="仿宋_GB2312" w:cs="仿宋_GB2312"/>
          <w:i w:val="0"/>
          <w:caps w:val="0"/>
          <w:color w:val="000000"/>
          <w:spacing w:val="0"/>
          <w:kern w:val="0"/>
          <w:sz w:val="32"/>
          <w:szCs w:val="32"/>
          <w:u w:val="none"/>
          <w:shd w:val="clear" w:color="auto" w:fill="FFFFFF"/>
          <w:vertAlign w:val="baseline"/>
          <w:lang w:val="en-US" w:eastAsia="zh-CN" w:bidi="ar"/>
        </w:rPr>
        <w:t>任务分解表。</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积极推动示范区两批18项改革授权事项落地见效。携手青浦、嘉善累计推出制度创新成果154项，其中57项面向全国复制推广。有序推进106项示范区建设重点工作和48项先行启动区重点工作，更大力度推动示范区吴江片区走在示范区高质量发展前列。协调推进对口支援协作合作。</w:t>
      </w:r>
    </w:p>
    <w:p w14:paraId="08FA44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2.对外开放不断加快。</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新设立外商投资企业41家，完成合同外资1.89亿美元；完成实际使用外资3.23亿美元。新增境外投资项目38个，完成境外协议投资2.7亿美元；完成境外承包工程营业额7274.73万美元。签发自贸协定项下优惠原产地证书1.46万份，签证金额6.76亿美元，为企业减免进口国关税2.43亿元。组织企业参加广交会、外贸优品中华行等重点展会，对接西麦克海外展会、京东工品汇等平台资源，开展“百团千企出海”专项行动，持续开拓“一带一路”等新兴市场。</w:t>
      </w:r>
    </w:p>
    <w:p w14:paraId="328D7C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3.营商环境持续优化。</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全面落实优化营商环境2025年行动方案，创新实践优化营商环境“54321</w:t>
      </w:r>
      <w:r>
        <w:rPr>
          <w:rFonts w:hint="eastAsia" w:ascii="宋体" w:hAnsi="宋体" w:eastAsia="宋体" w:cs="宋体"/>
          <w:i w:val="0"/>
          <w:caps w:val="0"/>
          <w:color w:val="505050"/>
          <w:spacing w:val="0"/>
          <w:kern w:val="0"/>
          <w:sz w:val="32"/>
          <w:szCs w:val="32"/>
          <w:u w:val="none"/>
          <w:shd w:val="clear" w:color="auto" w:fill="FFFFFF"/>
          <w:vertAlign w:val="baseline"/>
          <w:lang w:val="en-US" w:eastAsia="zh-CN" w:bidi="ar"/>
        </w:rPr>
        <w:t>”</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工作模式，细化推出82项任务举措，全力打造长三角地区营商环境标杆。深入推进 “综合查一次”改革，出台联合检查规范，入企检查频次下降50.3%。优化“跨域通办·云综窗”，实现468个高频事项的跨域通办。推出“免证办”标杆应用场景6个，“证照免提交”事项621个。构建“1+8+X”涉企服务体系，组建“首席服务专员”队伍，累计为企服务5.3万余次。</w:t>
      </w:r>
    </w:p>
    <w:p w14:paraId="3C465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4.改革举措成效明显。</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全力推进23项年度重点改革工作，用好示范区一体化制度创新试验田的优势，把改革成效转化为高质量发展的强大效能。扎实推进低效工业企业整优提升，上半年，完成低效工业用地转型更新1756亩，新开工优质“工业上楼”项目22个。推进“拿地即开工”常态化，完成项目22个，总投资148.20亿元。加快可再生能源开发利用，上半年，新增光伏并网装机容量340.43兆瓦。扎实推进全域土地综合整治试点工作，推动土地资源合理布局、高效配置、集约连片，为高质量发展提供坚实保障。</w:t>
      </w:r>
    </w:p>
    <w:p w14:paraId="037A1F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（四）厚植为民情怀，民生福祉持续增强</w:t>
      </w:r>
    </w:p>
    <w:p w14:paraId="70112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1.综合保障坚实有力。</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完成一般公共预算支出145.96亿元，其中民生领域支出占比82.4%。新增住房公积金缴存企业1799家，新增缴存职工4.35万人，新增灵活就业缴存人员1.38万人。城乡居民基本养老保险基础养老金标准提升至705元/月。发放生活救助（补贴）金7110.98万元。长期护理保险待遇享受人数达9897人，待遇支出5208.81万元。发放尊老金7285.23万元、覆盖20.74万人。大病保险“一站式”实时结算13.60万人次，大病保险补偿6430.97万元。全市率先建成“高标版”数智派出所，实现上半年命案、两抢案件全破，有力维护社会大局稳定。</w:t>
      </w:r>
    </w:p>
    <w:p w14:paraId="7459A4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2.公共服务提质增效。</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十大民生实事项目稳步推进，完成投资17.43亿元，完成年度计划57.3%。统筹推进14个老旧小区改造提升，新增及改造绿地47万平方米。推进“国家课程高质量实施工程”项目和义务教育教学改革实验区建设。杨嘉墀实验学校入选全国中小学科学教育工作优秀案例。推动示范区职教一体化建设。完成居家养老上门服务514人，建设家庭养老床位572张，新改建助餐点4个。改造扩建区四院、横扇卫生院、黎里中心卫生院。</w:t>
      </w:r>
    </w:p>
    <w:p w14:paraId="1743A7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3.城市品质不断提高。</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全区完成营造林面积720亩、抚育面积900亩。苏同黎快速路正式通车，通苏嘉甬高铁全面推进，水乡旅游线城际铁路、苏南运河航道疏浚工程、长三角（盛泽）现代供应链码头二期开工建设。新增公共泊位366个。“崇军康养”工程稳步推进，优待机构提质扩面。上半年，持续深化安全生产“六化”建设，深入开展安全生产治本攻坚三年行动，发现并整改重大问题隐患72个。聚焦“人人讲安全、个个会应急”开展社会公益宣传，覆盖28.49万人次。</w:t>
      </w:r>
    </w:p>
    <w:p w14:paraId="1D58BA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（五）锚固绿色基底，生态环境持续改善</w:t>
      </w:r>
    </w:p>
    <w:p w14:paraId="2DAC42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1.专项行动成效较好。</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w:t>
      </w: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“污染防治攻坚战”专项行动方面</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，新增市政污水管网4.6公里。完成</w:t>
      </w:r>
      <w:r>
        <w:rPr>
          <w:rFonts w:ascii="方正仿宋_GBK" w:hAnsi="方正仿宋_GBK" w:eastAsia="方正仿宋_GBK" w:cs="方正仿宋_GBK"/>
          <w:i w:val="0"/>
          <w:caps w:val="0"/>
          <w:color w:val="505050"/>
          <w:spacing w:val="0"/>
          <w:kern w:val="0"/>
          <w:sz w:val="32"/>
          <w:szCs w:val="32"/>
          <w:u w:val="none"/>
          <w:shd w:val="clear" w:color="auto" w:fill="FFFFFF"/>
          <w:vertAlign w:val="baseline"/>
          <w:lang w:val="en-US" w:eastAsia="zh-CN" w:bidi="ar"/>
        </w:rPr>
        <w:t> </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VOCs综合治理21项。开展铸造企业大气综合治理提升20家。</w:t>
      </w: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“消防安全专项治理”方面，</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排查消防安全专项火灾隐患5.31万余处，完成整改5.27万余处，整改率达99.2%。完成“三合一”、出租房（群租房）、小餐饮三类场所合规化改造4.93万余处。建成1382个电动自行车充电位。</w:t>
      </w:r>
    </w:p>
    <w:p w14:paraId="690B89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b/>
          <w:i w:val="0"/>
          <w:caps w:val="0"/>
          <w:color w:val="505050"/>
          <w:spacing w:val="0"/>
          <w:kern w:val="0"/>
          <w:sz w:val="32"/>
          <w:szCs w:val="32"/>
          <w:u w:val="none"/>
          <w:shd w:val="clear" w:color="auto" w:fill="FFFFFF"/>
          <w:vertAlign w:val="baseline"/>
          <w:lang w:val="en-US" w:eastAsia="zh-CN" w:bidi="ar"/>
        </w:rPr>
        <w:t>2.生态环境不断优化。</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上半年，持续推进“气、水、土”三大攻坚战。空气质量PM</w:t>
      </w:r>
      <w:r>
        <w:rPr>
          <w:rFonts w:hint="eastAsia" w:ascii="仿宋_GB2312" w:hAnsi="宋体" w:eastAsia="仿宋_GB2312" w:cs="仿宋_GB2312"/>
          <w:i w:val="0"/>
          <w:caps w:val="0"/>
          <w:color w:val="505050"/>
          <w:spacing w:val="0"/>
          <w:kern w:val="0"/>
          <w:sz w:val="32"/>
          <w:szCs w:val="32"/>
          <w:u w:val="none"/>
          <w:shd w:val="clear" w:color="auto" w:fill="FFFFFF"/>
          <w:vertAlign w:val="subscript"/>
          <w:lang w:val="en-US" w:eastAsia="zh-CN" w:bidi="ar"/>
        </w:rPr>
        <w:t>2.5</w:t>
      </w: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平均浓度33.3微克/立方米，空气优良天数比例75.6%。2个集中式饮用水水源地水质达标率为100%，11个国省考断面水质优Ⅲ比例为90.9%，水质达标率为100%。吴江区太湖水环境综合治理提升入选长江大保护优秀实践案例。积极推进土壤隐患排查工作，上半年重点建设用地安全利用率达100%。作出行政处罚79件，处罚金额超1174.47万元。</w:t>
      </w:r>
    </w:p>
    <w:p w14:paraId="110151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上半年，面对外部冲击影响加大、内部困难挑战叠加的复杂局面，吴江区经济社会发展取得上述成绩，极为不易。同时，我们也关注到，发展中还面临若干困难挑战，主要是：外部环境更趋复杂严峻，经济回升向好基础还不稳固，一体化示范区建设任重道远，科技创新引领步伐还要加快，新旧动能接续转换仍需提速，民生领域存在短板弱项，安全生产、生态治理、社会安全等领域还有不少风险点，我们要直面问题、盯住不放，采取有力有效举措加以解决。</w:t>
      </w:r>
    </w:p>
    <w:p w14:paraId="4644E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黑体" w:hAnsi="宋体" w:eastAsia="黑体" w:cs="黑体"/>
          <w:i w:val="0"/>
          <w:caps w:val="0"/>
          <w:color w:val="505050"/>
          <w:spacing w:val="0"/>
          <w:kern w:val="0"/>
          <w:sz w:val="32"/>
          <w:szCs w:val="32"/>
          <w:u w:val="none"/>
          <w:shd w:val="clear" w:color="auto" w:fill="FFFFFF"/>
          <w:vertAlign w:val="baseline"/>
          <w:lang w:val="en-US" w:eastAsia="zh-CN" w:bidi="ar"/>
        </w:rPr>
        <w:t>二、下半年国民经济和社会发展工作安排</w:t>
      </w:r>
    </w:p>
    <w:p w14:paraId="75FD2A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我们要坚持以习近平新时代中国特色社会主义思想为指导，坚持稳中求进工作总基调，贯彻落实“四个着力点”与“四个走在前”“四个新”“4+1”等重大任务，牢牢把握“一体化”和“高质量”两个关键词，以实干实绩交出“走在前、做示范”的厚实答卷，努力实现“十四五”圆满收官，奋力推进中国式现代化吴江新实践，为全国全省全市发展大局作出更大贡献。</w:t>
      </w:r>
    </w:p>
    <w:p w14:paraId="3CDB2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（一）全力落实国家战略，缔结示范窗口建设新成果</w:t>
      </w:r>
    </w:p>
    <w:p w14:paraId="5A4D99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锚定“一田三新”总定位，践行长三角一体化发展战略先手棋和突破口的使命任务，全力推进106项示范区和48项先行启动区年度重点工作，协助办好2025年示范区工作推进会、开发者大会暨全链接大会等重大活动，深化一体化制度创新和跨区域协同发展，加快推动示范区从形态开发向功能开发跃升,坚定走在示范区建设最前列，推动示范区加快成为长三角一体化高质量发展的重大标志性成果。用好示范区金字招牌，强化中央预算内资金、地方政府专项债、超长期特别国债等争取力度，力争更多项目纳入国家、省、市“大盘子”。高标准实现“十四五”规划目标任务，高质量完成“十五五”规划编制工作，把规划蓝图转化为破解发展难题、增进民生福祉的实际行动。坚定保持“第一等次”的信心和决心，积极应对省、市高质量发展成效考核，出台落实区级高质量发展综合考核实施办法，凝心聚力推动吴江“走在前、做示范”。</w:t>
      </w:r>
    </w:p>
    <w:p w14:paraId="772A40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（二）全力推动科技创新，迈上产业转型升级新平台</w:t>
      </w:r>
    </w:p>
    <w:p w14:paraId="08B38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sz w:val="32"/>
          <w:szCs w:val="32"/>
          <w:u w:val="none"/>
          <w:shd w:val="clear" w:color="auto" w:fill="FFFFFF"/>
          <w:vertAlign w:val="baseline"/>
        </w:rPr>
        <w:t>切实抓好“两产两进两强”，积极投身“两重”“两新”项目实施，稳步推进323个省、市、区三级重点项目，以新的投资、新的增长点有力支撑高质量发展大局。锚定新型工业化“356”目标，做大做强“4+2+1”产业体系，持续放大民营经济全省领头羊优势，大力推进人工智能、工业互联网、大数据等前沿技术研发应用，全面推动吴江制造向高端化、智能化、绿色化迈进。深入实施服务业三年倍增行动计划，推动现代服务业与先进制造业、现代农业深度融合，大幅提升吴江服务业数智化、专业化、品牌化、高端化发展水平。以碳达峰碳中和工作为引领，协同推进降碳、减污、扩绿、增长，形成节约资源和保护环境的空间格局、产业结构、生产方式、生活方式。全力推进商旅文体农全域消费，持续打响“乐购吴江”“点亮苏州湾”等消费节庆品牌，加强“两智一全”高品质住宅供给，挖掘释放扩大内需的结构性潜力。</w:t>
      </w:r>
    </w:p>
    <w:p w14:paraId="73A701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（三）全力破除发展桎梏，打开改革开放发展新局面</w:t>
      </w:r>
    </w:p>
    <w:p w14:paraId="523D5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大力推进23项重点改革项目建设，推动示范区154项制度创新成果落地落实、复制推广，打造一批具有突破性、领先性、首创性的改革创新成果，破解影响高质量发展的痛点堵点难点。围绕资源要素、政务服务、法治环境、市场发展、区域协同等方面，细化落实82项任务举措，加快推进营商环境优化升级，营造更具吸引力的市场化、法治化、国际化营商环境。扎实推进全域土地综合整治国家级试点，狠抓数据得地、零地技改、工业上楼等工作，深入推进“高效办成一件事”“综合查一次”等改革，全面深化改革扩大开放。深入实施人才“55352”工程，吸引更多高水平人才、青年人才来吴创新创业，打造支撑新质生产力发展的高水平人才队伍。推动跨境电商、内外贸一体化发展，持续开拓“一带一路”等新兴市场，引导外资企业实施利润再投资，拓展QFLP等外资招引新模式，培育转化一批外资总部和功能性机构，拓展对外开放发展空间。</w:t>
      </w:r>
    </w:p>
    <w:p w14:paraId="4D84C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（四）全力优化公共服务，实现人民生活品质新提升</w:t>
      </w:r>
    </w:p>
    <w:p w14:paraId="115A5C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加大保障民生力度，统筹做好大学生等重点群体就业服务工作，大力推进富民增收，全力推进年度十大民生实事项目，健全分层分类社会救助体系，推进紧密型县域医共体建设，持续开展“换位跑一次”活动，让“乐居吴江”更加可观可感、深入人心。统筹新型城镇化和乡村全面振兴，加快推进盛家厍、垂虹景区等城市更新，深化环长漾、环鼋荡、环澄湖、沿太湖农文旅融合发展，让群众获得感更强、幸福感更足。加快苏州南站科创新城、通苏嘉甬铁路、水乡旅游线和如通苏湖城际铁路建设，积极拓展“低空经济+综合服务”应用场景，着力构建长三角多层次交通网络。坚持和发展新时代“枫桥经验”，充分发挥综治中心作用，深化运用“一站式”分级解纷工作法，抓好矛盾源头化解和实质性化解，推动平安吴江建设迈上新台阶。牢固树立安全发展理念，深化安全生产“六化”建设，加强各类灾害和安全生产隐患排查，坚决防范重特大灾害事故发生，切实保障人民群众生命财产安全。</w:t>
      </w:r>
    </w:p>
    <w:p w14:paraId="6B62C6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3" w:firstLineChars="200"/>
        <w:jc w:val="left"/>
        <w:textAlignment w:val="baseline"/>
        <w:rPr>
          <w:rFonts w:hint="eastAsia" w:ascii="宋体" w:hAnsi="宋体" w:eastAsia="宋体" w:cs="宋体"/>
          <w:i w:val="0"/>
          <w:caps w:val="0"/>
          <w:color w:val="505050"/>
          <w:spacing w:val="0"/>
          <w:sz w:val="18"/>
          <w:szCs w:val="18"/>
          <w:u w:val="none"/>
        </w:rPr>
      </w:pPr>
      <w:r>
        <w:rPr>
          <w:rFonts w:hint="eastAsia" w:ascii="楷体_GB2312" w:hAnsi="宋体" w:eastAsia="楷体_GB2312" w:cs="楷体_GB2312"/>
          <w:b/>
          <w:i w:val="0"/>
          <w:caps w:val="0"/>
          <w:color w:val="505050"/>
          <w:spacing w:val="0"/>
          <w:kern w:val="0"/>
          <w:sz w:val="32"/>
          <w:szCs w:val="32"/>
          <w:u w:val="none"/>
          <w:shd w:val="clear" w:color="auto" w:fill="FFFFFF"/>
          <w:vertAlign w:val="baseline"/>
          <w:lang w:val="en-US" w:eastAsia="zh-CN" w:bidi="ar"/>
        </w:rPr>
        <w:t>（五）全力提升生态品质，激活绿色低碳发展新动能</w:t>
      </w:r>
    </w:p>
    <w:p w14:paraId="5FE9BB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80" w:lineRule="exact"/>
        <w:ind w:left="0" w:right="0" w:firstLine="640" w:firstLineChars="200"/>
        <w:jc w:val="left"/>
        <w:textAlignment w:val="baseline"/>
        <w:rPr>
          <w:rFonts w:hint="eastAsia" w:ascii="宋体" w:hAnsi="宋体" w:eastAsia="宋体" w:cs="宋体"/>
          <w:i w:val="0"/>
          <w:caps w:val="0"/>
          <w:color w:val="505050"/>
          <w:spacing w:val="0"/>
          <w:sz w:val="18"/>
          <w:szCs w:val="18"/>
          <w:u w:val="none"/>
        </w:rPr>
      </w:pPr>
      <w:r>
        <w:rPr>
          <w:rFonts w:hint="eastAsia" w:ascii="仿宋_GB2312" w:hAnsi="宋体" w:eastAsia="仿宋_GB2312" w:cs="仿宋_GB2312"/>
          <w:i w:val="0"/>
          <w:caps w:val="0"/>
          <w:color w:val="505050"/>
          <w:spacing w:val="0"/>
          <w:kern w:val="0"/>
          <w:sz w:val="32"/>
          <w:szCs w:val="32"/>
          <w:u w:val="none"/>
          <w:shd w:val="clear" w:color="auto" w:fill="FFFFFF"/>
          <w:vertAlign w:val="baseline"/>
          <w:lang w:val="en-US" w:eastAsia="zh-CN" w:bidi="ar"/>
        </w:rPr>
        <w:t>    坚持走生态优先、绿色发展道路，统筹推进“污染防治攻坚战”等专项行动，持续抓好中央生态环保督察反馈问题整改，让天更蓝、水更清、岸更绿，不断提升经济发展的含绿量、含新量，全面推进美丽吴江建设。打好蓝天保卫战，推进VOCs低端低效废气治理设施淘汰，推动清洁原料替代，加强生物质锅炉全过程监管。打好碧水保卫战，深化“联合河湖长制”，推进新一轮太湖综合治理、太浦河治理和吴淞江整治等工程。打好净土保卫战，推进高风险遗留地块综合整治，强化耕地土壤污染源头管控，持续推进“无废城市”建设。挖掘和保护各类历史文化资源、城乡历史文化聚落和江南水乡本底环境，构筑生态、创新、人文有机融合的东太湖百里风光带和大运河文化带。高标准建设纺织循环经济产业园，培育清洁能源、新型储能、虚拟电厂等新模式，前瞻开展碳足迹认证、绿电溯源等工作，打造一批（近）零碳产业园、零碳工厂，以“绿色低碳+”赋能产业转型升级。</w:t>
      </w:r>
    </w:p>
    <w:p w14:paraId="3E6FAE97">
      <w:pPr>
        <w:keepNext w:val="0"/>
        <w:keepLines w:val="0"/>
        <w:pageBreakBefore w:val="0"/>
        <w:widowControl/>
        <w:suppressLineNumbers w:val="0"/>
        <w:kinsoku/>
        <w:wordWrap/>
        <w:overflowPunct/>
        <w:topLinePunct w:val="0"/>
        <w:autoSpaceDE/>
        <w:autoSpaceDN/>
        <w:bidi w:val="0"/>
        <w:adjustRightInd/>
        <w:snapToGrid/>
        <w:spacing w:line="580" w:lineRule="exact"/>
        <w:ind w:firstLine="420" w:firstLineChars="200"/>
        <w:jc w:val="left"/>
      </w:pPr>
    </w:p>
    <w:p w14:paraId="31726F2C">
      <w:pPr>
        <w:keepNext w:val="0"/>
        <w:keepLines w:val="0"/>
        <w:pageBreakBefore w:val="0"/>
        <w:kinsoku/>
        <w:wordWrap/>
        <w:overflowPunct/>
        <w:topLinePunct w:val="0"/>
        <w:autoSpaceDE/>
        <w:autoSpaceDN/>
        <w:bidi w:val="0"/>
        <w:adjustRightInd/>
        <w:snapToGrid/>
        <w:spacing w:line="580" w:lineRule="exact"/>
        <w:ind w:firstLine="420" w:firstLineChars="200"/>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E56D1"/>
    <w:rsid w:val="3EAB0813"/>
    <w:rsid w:val="7EFF87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6754</Words>
  <Characters>7415</Characters>
  <Lines>0</Lines>
  <Paragraphs>0</Paragraphs>
  <TotalTime>3.33333333333333</TotalTime>
  <ScaleCrop>false</ScaleCrop>
  <LinksUpToDate>false</LinksUpToDate>
  <CharactersWithSpaces>7419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cty</cp:lastModifiedBy>
  <dcterms:modified xsi:type="dcterms:W3CDTF">2025-08-14T01:04:54Z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2BE8757CA3CB4FBF99A45CBB920C9997_13</vt:lpwstr>
  </property>
</Properties>
</file>