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jc w:val="center"/>
        <w:textAlignment w:val="auto"/>
        <w:rPr>
          <w:rFonts w:hint="eastAsia" w:ascii="方正小标宋_GBK" w:hAnsi="方正小标宋_GBK" w:eastAsia="方正小标宋_GBK" w:cs="方正小标宋_GBK"/>
          <w:i w:val="0"/>
          <w:iCs w:val="0"/>
          <w:caps w:val="0"/>
          <w:color w:val="000000"/>
          <w:spacing w:val="-6"/>
          <w:sz w:val="44"/>
          <w:szCs w:val="44"/>
          <w:shd w:val="clear" w:fill="FFFFFF"/>
        </w:rPr>
      </w:pPr>
      <w:r>
        <w:rPr>
          <w:rFonts w:hint="eastAsia" w:ascii="方正小标宋_GBK" w:hAnsi="方正小标宋_GBK" w:eastAsia="方正小标宋_GBK" w:cs="方正小标宋_GBK"/>
          <w:i w:val="0"/>
          <w:iCs w:val="0"/>
          <w:caps w:val="0"/>
          <w:color w:val="000000"/>
          <w:spacing w:val="-6"/>
          <w:sz w:val="44"/>
          <w:szCs w:val="44"/>
          <w:shd w:val="clear" w:fill="FFFFFF"/>
        </w:rPr>
        <w:t>关于苏州市吴江区2025年国民经济和社会发展计划执行情况及2026年国民经济和社会发展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jc w:val="center"/>
        <w:textAlignment w:val="auto"/>
        <w:rPr>
          <w:rFonts w:hint="eastAsia" w:ascii="方正小标宋_GBK" w:hAnsi="方正小标宋_GBK" w:eastAsia="方正小标宋_GBK" w:cs="方正小标宋_GBK"/>
          <w:i w:val="0"/>
          <w:iCs w:val="0"/>
          <w:caps w:val="0"/>
          <w:color w:val="000000"/>
          <w:spacing w:val="-6"/>
          <w:sz w:val="44"/>
          <w:szCs w:val="44"/>
          <w:shd w:val="clear" w:fill="FFFFFF"/>
        </w:rPr>
      </w:pPr>
      <w:r>
        <w:rPr>
          <w:rFonts w:hint="eastAsia" w:ascii="方正小标宋_GBK" w:hAnsi="方正小标宋_GBK" w:eastAsia="方正小标宋_GBK" w:cs="方正小标宋_GBK"/>
          <w:i w:val="0"/>
          <w:iCs w:val="0"/>
          <w:caps w:val="0"/>
          <w:color w:val="000000"/>
          <w:spacing w:val="-6"/>
          <w:sz w:val="44"/>
          <w:szCs w:val="44"/>
          <w:shd w:val="clear" w:fill="FFFFFF"/>
        </w:rPr>
        <w:t>计划草案的报告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880" w:firstLineChars="200"/>
        <w:textAlignment w:val="auto"/>
        <w:rPr>
          <w:rFonts w:hint="eastAsia" w:ascii="方正小标宋_GBK" w:hAnsi="方正小标宋_GBK" w:eastAsia="方正小标宋_GBK" w:cs="方正小标宋_GBK"/>
          <w:i w:val="0"/>
          <w:iCs w:val="0"/>
          <w:caps w:val="0"/>
          <w:color w:val="000000"/>
          <w:spacing w:val="0"/>
          <w:sz w:val="44"/>
          <w:szCs w:val="44"/>
          <w:shd w:val="clear" w:fill="FFFFFF"/>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ascii="黑体" w:hAnsi="宋体" w:eastAsia="黑体" w:cs="黑体"/>
          <w:i w:val="0"/>
          <w:caps w:val="0"/>
          <w:color w:val="000000"/>
          <w:spacing w:val="0"/>
          <w:kern w:val="0"/>
          <w:sz w:val="32"/>
          <w:szCs w:val="32"/>
          <w:lang w:val="en-US" w:eastAsia="zh-CN" w:bidi="ar"/>
        </w:rPr>
        <w:t>一、</w:t>
      </w:r>
      <w:r>
        <w:rPr>
          <w:rFonts w:hint="eastAsia" w:ascii="黑体" w:hAnsi="宋体" w:eastAsia="黑体" w:cs="黑体"/>
          <w:i w:val="0"/>
          <w:caps w:val="0"/>
          <w:color w:val="000000"/>
          <w:spacing w:val="0"/>
          <w:kern w:val="0"/>
          <w:sz w:val="32"/>
          <w:szCs w:val="32"/>
          <w:lang w:val="en-US" w:eastAsia="zh-CN" w:bidi="ar"/>
        </w:rPr>
        <w:t>2025年国民经济和社会发展计划执行情况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ascii="仿宋_GB2312" w:hAnsi="宋体" w:eastAsia="仿宋_GB2312" w:cs="仿宋_GB2312"/>
          <w:i w:val="0"/>
          <w:caps w:val="0"/>
          <w:color w:val="000000"/>
          <w:spacing w:val="0"/>
          <w:kern w:val="0"/>
          <w:sz w:val="32"/>
          <w:szCs w:val="32"/>
          <w:lang w:val="en-US" w:eastAsia="zh-CN" w:bidi="ar"/>
        </w:rPr>
        <w:t>一年来，全区上下以习近平新时代中国特色社会主义思想为指导，全面贯彻党的二十大和二十届历次全会精神，认真落实上级党委和政府的决策部署，在区委、区政府的正确领导下，在区人大、区政协的监督指导下，坚持稳中求进工作总基调，</w:t>
      </w:r>
      <w:r>
        <w:rPr>
          <w:rFonts w:hint="eastAsia" w:ascii="仿宋_GB2312" w:hAnsi="宋体" w:eastAsia="仿宋_GB2312" w:cs="仿宋_GB2312"/>
          <w:i w:val="0"/>
          <w:caps w:val="0"/>
          <w:color w:val="000000"/>
          <w:spacing w:val="0"/>
          <w:kern w:val="0"/>
          <w:sz w:val="32"/>
          <w:szCs w:val="32"/>
          <w:lang w:val="en-US" w:eastAsia="zh-CN" w:bidi="ar"/>
        </w:rPr>
        <w:t>积极应对内外部复杂严峻形势，坚决扛起“当表率、走在前、做示范”的责任担当，全面落实落细挑大梁“四个着力点”，全力推进长三角生态绿色一体化发展示范区建设，全区经济社会发展呈现总体平稳、稳中有进的良好态势。</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i w:val="0"/>
          <w:caps w:val="0"/>
          <w:color w:val="000000"/>
          <w:spacing w:val="0"/>
          <w:kern w:val="0"/>
          <w:sz w:val="32"/>
          <w:szCs w:val="32"/>
          <w:lang w:val="en-US" w:eastAsia="zh-CN" w:bidi="ar"/>
        </w:rPr>
        <w:t>2025年各项主要指标预计完成情况如下：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地区生产总值增长5.7%左右（可比价）；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规上工业总产值5777亿元，增长4.8%；</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制造业增加值占GDP比重45%；</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全社会固定资产投资697.1亿元；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工业投资309.3亿元，增长4.7%；</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社会消费品零售总额791.8亿元，增长3.5%；</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进出口总额1877亿元，增长7%；</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实际使用外资3.79亿美元，增长15.6%；</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一般公共预算收入243.6亿元，增长1%；</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高新技术产业产值占规模以上工业产值比重62%；</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工业战略性新兴产业产值占工业总产值比重稳步提升；</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工业增加值率保持基本稳定；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新增高新技术企业227家；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数字经济核心产业增加值占GDP比重稳步提升；</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新增智能工厂35家；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新增国家级专精特新“小巨人”企业数22家；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规上生产性服务业营业收入189.39亿元，增长11.6%；</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全社会研究与试验发展经费支出占GDP比重4.1%；</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规上企业研究与试验发展经费投入110亿元；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每万人口高价值发明专利拥有量39.5件；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每万劳动力中高技能人才数1608人；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引留高校毕业生2.7万人；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人才资源总量42.5万人；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城乡基本养老保险参保缴费率91%；</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城乡基本医保参保人数132.94万人；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完成城中村改造搬迁签约390户；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每千人口拥有0-3岁婴幼儿托位数4.6个；</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接受上门服务的居家老年人数占比20%；</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每千人口医疗卫生机构床位数6.33张；</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每千人口执业（助理）医师数3.29人；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居民人均可支配收入增长4.3%左右；</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城乡居民收入倍差稳步降低；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城镇新增就业人数4.7万人；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新增就业参保大学生人数1.4万人；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PM</w:t>
      </w:r>
      <w:r>
        <w:rPr>
          <w:rFonts w:hint="eastAsia" w:ascii="仿宋_GB2312" w:hAnsi="宋体" w:eastAsia="仿宋_GB2312" w:cs="仿宋_GB2312"/>
          <w:i w:val="0"/>
          <w:caps w:val="0"/>
          <w:color w:val="000000"/>
          <w:spacing w:val="0"/>
          <w:kern w:val="0"/>
          <w:sz w:val="32"/>
          <w:szCs w:val="32"/>
          <w:vertAlign w:val="subscript"/>
          <w:lang w:val="en-US" w:eastAsia="zh-CN" w:bidi="ar"/>
        </w:rPr>
        <w:t>2.5</w:t>
      </w:r>
      <w:r>
        <w:rPr>
          <w:rFonts w:hint="eastAsia" w:ascii="仿宋_GB2312" w:hAnsi="宋体" w:eastAsia="仿宋_GB2312" w:cs="仿宋_GB2312"/>
          <w:i w:val="0"/>
          <w:caps w:val="0"/>
          <w:color w:val="000000"/>
          <w:spacing w:val="0"/>
          <w:kern w:val="0"/>
          <w:sz w:val="32"/>
          <w:szCs w:val="32"/>
          <w:lang w:val="en-US" w:eastAsia="zh-CN" w:bidi="ar"/>
        </w:rPr>
        <w:t>浓度29微克/立方米；</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省考地表水达到或优于Ⅲ类水体比例100%；</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主要污染物排放总量削减完成上级下达任务；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批而未供和闲置土地处置率完成上级下达任务；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耕地保有量完成上级下达任务；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粮食综合生产能力产量保持稳定、完成市下达粮食播种面积任务；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安全生产未发生重特大生产安全责任事故。</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i w:val="0"/>
          <w:caps w:val="0"/>
          <w:color w:val="000000"/>
          <w:spacing w:val="0"/>
          <w:kern w:val="0"/>
          <w:sz w:val="32"/>
          <w:szCs w:val="32"/>
          <w:lang w:val="en-US" w:eastAsia="zh-CN" w:bidi="ar"/>
        </w:rPr>
        <w:t>高等教育毛入学率和单位地区生产总值能源消耗降低上级无相关数据反馈，空气质量优良天数比例上级暂未反馈。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i w:val="0"/>
          <w:caps w:val="0"/>
          <w:color w:val="000000"/>
          <w:spacing w:val="0"/>
          <w:kern w:val="0"/>
          <w:sz w:val="32"/>
          <w:szCs w:val="32"/>
          <w:lang w:val="en-US" w:eastAsia="zh-CN" w:bidi="ar"/>
        </w:rPr>
        <w:t>2025年全区国民经济和社会发展计划执行情况主要体现在以下五个方面：</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ascii="楷体_GB2312" w:hAnsi="宋体" w:eastAsia="楷体_GB2312" w:cs="楷体_GB2312"/>
          <w:b/>
          <w:i w:val="0"/>
          <w:caps w:val="0"/>
          <w:color w:val="000000"/>
          <w:spacing w:val="0"/>
          <w:kern w:val="0"/>
          <w:sz w:val="32"/>
          <w:szCs w:val="32"/>
          <w:lang w:val="en-US" w:eastAsia="zh-CN" w:bidi="ar"/>
        </w:rPr>
        <w:t>（一）实体经济基础稳固，经济实力稳步提升</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b/>
          <w:i w:val="0"/>
          <w:caps w:val="0"/>
          <w:color w:val="000000"/>
          <w:spacing w:val="0"/>
          <w:kern w:val="0"/>
          <w:sz w:val="32"/>
          <w:szCs w:val="32"/>
          <w:lang w:val="en-US" w:eastAsia="zh-CN" w:bidi="ar"/>
        </w:rPr>
        <w:t>1.现代农业稳中向好。</w:t>
      </w:r>
      <w:r>
        <w:rPr>
          <w:rFonts w:hint="eastAsia" w:ascii="仿宋_GB2312" w:hAnsi="宋体" w:eastAsia="仿宋_GB2312" w:cs="仿宋_GB2312"/>
          <w:i w:val="0"/>
          <w:caps w:val="0"/>
          <w:color w:val="000000"/>
          <w:spacing w:val="0"/>
          <w:kern w:val="0"/>
          <w:sz w:val="32"/>
          <w:szCs w:val="32"/>
          <w:lang w:val="en-US" w:eastAsia="zh-CN" w:bidi="ar"/>
        </w:rPr>
        <w:t>预计全区实现农林牧渔业总产值69.4亿元，增长5.4%。建设高标准农田1.85万亩，粮食总产3.44亿斤，蔬菜产量34.51万吨，渔业产量5.75万吨，生猪出栏10.29万头。稳步实施农业农村重点项目25个，预计完成投资12.1亿元。大力推进“惠村项目”建设，新增完工项目23个，面积12.88万平方米。全区村均经营性收入达702万元。“吴江无人农场”模式获农业农村部肯定和推广，长三角辐射面积超5万亩。平望镇庙头村获评国家级美丽休闲村。我区获评全省乡村振兴争先进位县。我区入选全省首批农业综合服务整体推进区。成功创建全市首家区级农业科技创新中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b/>
          <w:i w:val="0"/>
          <w:caps w:val="0"/>
          <w:color w:val="000000"/>
          <w:spacing w:val="0"/>
          <w:kern w:val="0"/>
          <w:sz w:val="32"/>
          <w:szCs w:val="32"/>
          <w:lang w:val="en-US" w:eastAsia="zh-CN" w:bidi="ar"/>
        </w:rPr>
        <w:t>2.工业经济贡献突出。</w:t>
      </w:r>
      <w:r>
        <w:rPr>
          <w:rFonts w:hint="eastAsia" w:ascii="仿宋_GB2312" w:hAnsi="宋体" w:eastAsia="仿宋_GB2312" w:cs="仿宋_GB2312"/>
          <w:i w:val="0"/>
          <w:caps w:val="0"/>
          <w:color w:val="000000"/>
          <w:spacing w:val="0"/>
          <w:kern w:val="0"/>
          <w:sz w:val="32"/>
          <w:szCs w:val="32"/>
          <w:lang w:val="en-US" w:eastAsia="zh-CN" w:bidi="ar"/>
        </w:rPr>
        <w:t>预计全区规上、规下工业增加值分别增长8.2%、6.0%（不变价）；实现规上新兴产业产值2947.56亿元，增长4.5%，占规上工业总产值比重51%。电子信息、丝绸纺织、装备制造、光电通信四大主导产业分别增长3.1%、0.2%、7.0%、15.8%。新能源、新材料产业分别完成规上产值1028.86亿元、1641.67亿元。恒力化纤获评国家卓越级智能工厂。新增国家制造业单项冠军3家、国家级专精特新“小巨人”22家、国家级5G工厂1家、省先进级智能工厂34家。七都新材料产业园入选省级绿色工业园区。新增首批省级零碳工厂1家和近零碳工厂2家，获评总数列全省各县区市第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b/>
          <w:i w:val="0"/>
          <w:caps w:val="0"/>
          <w:color w:val="000000"/>
          <w:spacing w:val="0"/>
          <w:kern w:val="0"/>
          <w:sz w:val="32"/>
          <w:szCs w:val="32"/>
          <w:lang w:val="en-US" w:eastAsia="zh-CN" w:bidi="ar"/>
        </w:rPr>
        <w:t>3.服务业经济稳健发展。</w:t>
      </w:r>
      <w:r>
        <w:rPr>
          <w:rFonts w:hint="eastAsia" w:ascii="仿宋_GB2312" w:hAnsi="宋体" w:eastAsia="仿宋_GB2312" w:cs="仿宋_GB2312"/>
          <w:i w:val="0"/>
          <w:caps w:val="0"/>
          <w:color w:val="000000"/>
          <w:spacing w:val="0"/>
          <w:kern w:val="0"/>
          <w:sz w:val="32"/>
          <w:szCs w:val="32"/>
          <w:lang w:val="en-US" w:eastAsia="zh-CN" w:bidi="ar"/>
        </w:rPr>
        <w:t>全区完成规上服务业营业收入249.23亿元，增长13.5%；预计完成服务业投资387.57亿元，占全社会固定资产投资比重55.6%。制定出台《吴江区服务业高质量发展三年倍增行动计划》，力争三年实现规上服务业规模倍增。持续打造“乐购吴江”消费品牌，开展各类促消费活动400余场，招引各类首店超50家。盛家厍入选省夜间消费集聚区。老镇源（妆桥路店）入选2025米其林必比登推介餐厅。开展苏品苏货“上平台、上商综、上连锁”，加快推动内外贸一体化发展。盛泽丝绸产业集群入选省内外贸一体化融合发展产业集群，中国绸都网入选省内外贸一体化融合平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b/>
          <w:i w:val="0"/>
          <w:caps w:val="0"/>
          <w:color w:val="000000"/>
          <w:spacing w:val="0"/>
          <w:kern w:val="0"/>
          <w:sz w:val="32"/>
          <w:szCs w:val="32"/>
          <w:lang w:val="en-US" w:eastAsia="zh-CN" w:bidi="ar"/>
        </w:rPr>
        <w:t>4.民营经济实力强劲。</w:t>
      </w:r>
      <w:r>
        <w:rPr>
          <w:rFonts w:hint="eastAsia" w:ascii="仿宋_GB2312" w:hAnsi="宋体" w:eastAsia="仿宋_GB2312" w:cs="仿宋_GB2312"/>
          <w:i w:val="0"/>
          <w:caps w:val="0"/>
          <w:color w:val="000000"/>
          <w:spacing w:val="0"/>
          <w:kern w:val="0"/>
          <w:sz w:val="32"/>
          <w:szCs w:val="32"/>
          <w:lang w:val="en-US" w:eastAsia="zh-CN" w:bidi="ar"/>
        </w:rPr>
        <w:t>全区新增民营企业10770户，新增注册资本797.63亿元；民营企业总量达10.81万户，注册资本总额达6060.54亿元。预计完成民间投资423.99亿元，占全社会固定资产投资比重60.8%。恒力、盛虹再度强势上榜世界500强，恒力稳居第81位，盛虹位列第161位，较去年上升10位。4家企业入围中国企业500强，6家入围中国民营企业500强。亨通光电荣获中国质量奖，为苏州民企首个、行业唯一。仿真纤维材料产业集群入选国家级中小企业特色产业集群。通鼎等4家企业入选世界品牌500强。亨通线缆等2家企业获评</w:t>
      </w:r>
      <w:r>
        <w:rPr>
          <w:rFonts w:hint="eastAsia" w:ascii="仿宋_GB2312" w:hAnsi="Times New Roman" w:eastAsia="仿宋_GB2312" w:cs="仿宋_GB2312"/>
          <w:i w:val="0"/>
          <w:caps w:val="0"/>
          <w:color w:val="000000"/>
          <w:spacing w:val="0"/>
          <w:kern w:val="0"/>
          <w:sz w:val="32"/>
          <w:szCs w:val="32"/>
          <w:lang w:val="en-US" w:eastAsia="zh-CN" w:bidi="ar"/>
        </w:rPr>
        <w:t>中国专利优秀奖</w:t>
      </w:r>
      <w:r>
        <w:rPr>
          <w:rFonts w:hint="eastAsia" w:ascii="仿宋_GB2312" w:hAnsi="宋体" w:eastAsia="仿宋_GB2312" w:cs="仿宋_GB2312"/>
          <w:i w:val="0"/>
          <w:caps w:val="0"/>
          <w:color w:val="000000"/>
          <w:spacing w:val="0"/>
          <w:kern w:val="0"/>
          <w:sz w:val="32"/>
          <w:szCs w:val="32"/>
          <w:lang w:val="en-US" w:eastAsia="zh-CN" w:bidi="ar"/>
        </w:rPr>
        <w:t>。酉立智能、江天科技成功登陆北交所，累计境内外上市企业总数达34家。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楷体_GB2312" w:hAnsi="宋体" w:eastAsia="楷体_GB2312" w:cs="楷体_GB2312"/>
          <w:b/>
          <w:i w:val="0"/>
          <w:caps w:val="0"/>
          <w:color w:val="000000"/>
          <w:spacing w:val="0"/>
          <w:kern w:val="0"/>
          <w:sz w:val="32"/>
          <w:szCs w:val="32"/>
          <w:lang w:val="en-US" w:eastAsia="zh-CN" w:bidi="ar"/>
        </w:rPr>
        <w:t>（二）产业创新深度融合，转型升级不断提速</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b/>
          <w:i w:val="0"/>
          <w:caps w:val="0"/>
          <w:color w:val="000000"/>
          <w:spacing w:val="0"/>
          <w:kern w:val="0"/>
          <w:sz w:val="32"/>
          <w:szCs w:val="32"/>
          <w:lang w:val="en-US" w:eastAsia="zh-CN" w:bidi="ar"/>
        </w:rPr>
        <w:t>1.有效投入稳步增长。</w:t>
      </w:r>
      <w:r>
        <w:rPr>
          <w:rFonts w:hint="eastAsia" w:ascii="仿宋_GB2312" w:hAnsi="宋体" w:eastAsia="仿宋_GB2312" w:cs="仿宋_GB2312"/>
          <w:i w:val="0"/>
          <w:caps w:val="0"/>
          <w:color w:val="000000"/>
          <w:spacing w:val="0"/>
          <w:kern w:val="0"/>
          <w:sz w:val="32"/>
          <w:szCs w:val="32"/>
          <w:lang w:val="en-US" w:eastAsia="zh-CN" w:bidi="ar"/>
        </w:rPr>
        <w:t>4个省重大、57个市重点、323个区重点项目均超额完成年度计划，分别完成年度计划的140.4%、146%、125.5%。全区新签约亿元以上产业项目287个，总投资1695.5亿元，其中，内资项目263个，总投资1626.8亿元，外资项目24个，总投资9.5亿美元。积极开展区土地征收成片开发方案编制工作。坚持资源高效配置，强化要素供给保障，累计出让经营性用地17宗774.1亩、产业用地47宗2105.6亩。中国移动长三角（苏州）汾湖智算中心开工建设，亨通新能特种合金导体项目竣工投产。</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b/>
          <w:i w:val="0"/>
          <w:caps w:val="0"/>
          <w:color w:val="000000"/>
          <w:spacing w:val="0"/>
          <w:kern w:val="0"/>
          <w:sz w:val="32"/>
          <w:szCs w:val="32"/>
          <w:lang w:val="en-US" w:eastAsia="zh-CN" w:bidi="ar"/>
        </w:rPr>
        <w:t>2.创新活力加快释放。</w:t>
      </w:r>
      <w:r>
        <w:rPr>
          <w:rFonts w:hint="eastAsia" w:ascii="仿宋_GB2312" w:hAnsi="宋体" w:eastAsia="仿宋_GB2312" w:cs="仿宋_GB2312"/>
          <w:i w:val="0"/>
          <w:caps w:val="0"/>
          <w:color w:val="000000"/>
          <w:spacing w:val="0"/>
          <w:kern w:val="0"/>
          <w:sz w:val="32"/>
          <w:szCs w:val="32"/>
          <w:lang w:val="en-US" w:eastAsia="zh-CN" w:bidi="ar"/>
        </w:rPr>
        <w:t>吴江高新区获批省级高新区。预计全区规上工业企业研发机构建有率超90%，较去年底提升9.8个百分点。新增国家级博士后科研工作站3家、省级博士后创新实践基地1家，省“双创团队”2个，省“双创人才”12人，苏州重大创新团队1个，苏州创新创业领军人才28人，苏州青年科学家1人。博众仪器“首台国产商用200kV透射电镜”入选国家“十四五”硬核科技成果。1家企业入选省独角兽企业，21家企业入选省潜在独角兽企业，30家企业入选省瞪羚企业，创历史新高。赛伍技术等2家企业入选省前沿技术研发计划项目。澳盛科技获评省科学技术奖一等奖。亨通光电获评长三角创新联合体项目，全省唯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b/>
          <w:i w:val="0"/>
          <w:caps w:val="0"/>
          <w:color w:val="000000"/>
          <w:spacing w:val="0"/>
          <w:kern w:val="0"/>
          <w:sz w:val="32"/>
          <w:szCs w:val="32"/>
          <w:lang w:val="en-US" w:eastAsia="zh-CN" w:bidi="ar"/>
        </w:rPr>
        <w:t>3.对外开放提质增效。</w:t>
      </w:r>
      <w:r>
        <w:rPr>
          <w:rFonts w:hint="eastAsia" w:ascii="仿宋_GB2312" w:hAnsi="宋体" w:eastAsia="仿宋_GB2312" w:cs="仿宋_GB2312"/>
          <w:i w:val="0"/>
          <w:caps w:val="0"/>
          <w:color w:val="000000"/>
          <w:spacing w:val="0"/>
          <w:kern w:val="0"/>
          <w:sz w:val="32"/>
          <w:szCs w:val="32"/>
          <w:lang w:val="en-US" w:eastAsia="zh-CN" w:bidi="ar"/>
        </w:rPr>
        <w:t>全区新设立外商投资企业83家，完成合同外资5.3亿美元。预计新增境外投资项目77个，完成境外协议投资额3.8亿美元，增长137.5%；新签约境外承包工程合同额约2亿美元，完成境外承包工程营业额约2亿美元。签发自贸协定项下优惠原产地证书3.75万份，签证金额18.77亿美元，为企业减免进口国关税4.7亿元。坚持“一稳五新”扎实推进外贸稳量提质，组织企业参加广交会等重点展会，开展“百团千企”出海行动，抢占更多新兴市场份额。菜鸟跨境业务（苏州）中心落地吴江。高创电子获评2025年省重点支持外资研发中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楷体_GB2312" w:hAnsi="宋体" w:eastAsia="楷体_GB2312" w:cs="楷体_GB2312"/>
          <w:b/>
          <w:i w:val="0"/>
          <w:caps w:val="0"/>
          <w:color w:val="000000"/>
          <w:spacing w:val="0"/>
          <w:kern w:val="0"/>
          <w:sz w:val="32"/>
          <w:szCs w:val="32"/>
          <w:lang w:val="en-US" w:eastAsia="zh-CN" w:bidi="ar"/>
        </w:rPr>
        <w:t>（三）深化</w:t>
      </w:r>
      <w:r>
        <w:rPr>
          <w:rFonts w:hint="eastAsia" w:ascii="楷体_GB2312" w:hAnsi="Times New Roman" w:eastAsia="楷体_GB2312" w:cs="楷体_GB2312"/>
          <w:b/>
          <w:i w:val="0"/>
          <w:caps w:val="0"/>
          <w:color w:val="000000"/>
          <w:spacing w:val="0"/>
          <w:kern w:val="0"/>
          <w:sz w:val="32"/>
          <w:szCs w:val="32"/>
          <w:lang w:val="en-US" w:eastAsia="zh-CN" w:bidi="ar"/>
        </w:rPr>
        <w:t>改革</w:t>
      </w:r>
      <w:r>
        <w:rPr>
          <w:rFonts w:hint="eastAsia" w:ascii="楷体_GB2312" w:hAnsi="宋体" w:eastAsia="楷体_GB2312" w:cs="楷体_GB2312"/>
          <w:b/>
          <w:i w:val="0"/>
          <w:caps w:val="0"/>
          <w:color w:val="000000"/>
          <w:spacing w:val="0"/>
          <w:kern w:val="0"/>
          <w:sz w:val="32"/>
          <w:szCs w:val="32"/>
          <w:lang w:val="en-US" w:eastAsia="zh-CN" w:bidi="ar"/>
        </w:rPr>
        <w:t>蹄疾步稳，国家战略纵深推进</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b/>
          <w:i w:val="0"/>
          <w:caps w:val="0"/>
          <w:color w:val="000000"/>
          <w:spacing w:val="0"/>
          <w:kern w:val="0"/>
          <w:sz w:val="32"/>
          <w:szCs w:val="32"/>
          <w:lang w:val="en-US" w:eastAsia="zh-CN" w:bidi="ar"/>
        </w:rPr>
        <w:t>1.国家战略扎实推进。</w:t>
      </w:r>
      <w:r>
        <w:rPr>
          <w:rFonts w:hint="eastAsia" w:ascii="仿宋_GB2312" w:hAnsi="宋体" w:eastAsia="仿宋_GB2312" w:cs="仿宋_GB2312"/>
          <w:i w:val="0"/>
          <w:caps w:val="0"/>
          <w:color w:val="000000"/>
          <w:spacing w:val="0"/>
          <w:kern w:val="0"/>
          <w:sz w:val="32"/>
          <w:szCs w:val="32"/>
          <w:lang w:val="en-US" w:eastAsia="zh-CN" w:bidi="ar"/>
        </w:rPr>
        <w:t>《长三角国土空间规划（2023—2035年）》获国务院批复并正式发布。用好上级授权赋能，全面落实中央26项、省9项改革授权事项，持续推进省支持吴江示范区建设15条政策意见落地见效。有序推进106项示范区建设重点工作和48项先行启动区重点工作。加速一体化制度创新成果转化，携手青浦、嘉善累计推出制度创新成果161项，其中61项面向全国复制推广。示范区环评改革“三个首单”、示范区首张“企业注册计量师注册证”落地吴江。长三角生态绿色一体化发展示范区获批国家碳达峰试点。协调推进对口支援协作合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b/>
          <w:i w:val="0"/>
          <w:caps w:val="0"/>
          <w:color w:val="000000"/>
          <w:spacing w:val="0"/>
          <w:kern w:val="0"/>
          <w:sz w:val="32"/>
          <w:szCs w:val="32"/>
          <w:lang w:val="en-US" w:eastAsia="zh-CN" w:bidi="ar"/>
        </w:rPr>
        <w:t>2.改革探索成效显著。</w:t>
      </w:r>
      <w:r>
        <w:rPr>
          <w:rFonts w:hint="eastAsia" w:ascii="仿宋_GB2312" w:hAnsi="宋体" w:eastAsia="仿宋_GB2312" w:cs="仿宋_GB2312"/>
          <w:i w:val="0"/>
          <w:caps w:val="0"/>
          <w:color w:val="000000"/>
          <w:spacing w:val="0"/>
          <w:kern w:val="0"/>
          <w:sz w:val="32"/>
          <w:szCs w:val="32"/>
          <w:lang w:val="en-US" w:eastAsia="zh-CN" w:bidi="ar"/>
        </w:rPr>
        <w:t>坚持以改革破题、用改革开路，全力推进23项年度重点改革工作。准确把握“五统一、一开放”基本要求，全面落实建设全国统一大市场的各项任务。加快再生能源开发利用，新增光伏并网装机容量463兆瓦。深入实施低效工业用地转型三年行动，完成低效工业用地转型项目69个，涉及面积2652亩，新开工优质“工业上楼”项目29个，建设面积143亩。推进“拿地即开工”常态化，完成项目36个，总投资约184.79亿元。全面推进全域土地综合整治试点工作，总体方案获省厅批复。有序推进建设用地减量化，累计调整盘活土地3047亩，处置批而未供土地2459.6亩。</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b/>
          <w:i w:val="0"/>
          <w:caps w:val="0"/>
          <w:color w:val="000000"/>
          <w:spacing w:val="0"/>
          <w:kern w:val="0"/>
          <w:sz w:val="32"/>
          <w:szCs w:val="32"/>
          <w:lang w:val="en-US" w:eastAsia="zh-CN" w:bidi="ar"/>
        </w:rPr>
        <w:t>3.营商环境持续优化。</w:t>
      </w:r>
      <w:r>
        <w:rPr>
          <w:rFonts w:hint="eastAsia" w:ascii="仿宋_GB2312" w:hAnsi="宋体" w:eastAsia="仿宋_GB2312" w:cs="仿宋_GB2312"/>
          <w:i w:val="0"/>
          <w:caps w:val="0"/>
          <w:color w:val="000000"/>
          <w:spacing w:val="0"/>
          <w:kern w:val="0"/>
          <w:sz w:val="32"/>
          <w:szCs w:val="32"/>
          <w:lang w:val="en-US" w:eastAsia="zh-CN" w:bidi="ar"/>
        </w:rPr>
        <w:t>制定落实《苏州市吴江区2025年优化营商环境行动方案》，持续打造市场化、法治化、国际化一流营商环境。深入推进“综合查一次”改革，创新联合检查“五步工作法”，入企检查频次压降超五成。用足用好“免罚轻罚”清单，为企业减负超5872万元。揭牌设立企业重整和个人债务清理服务中心。加强“乐业吴江”品牌建设，累计为企送工8.31万人次，开展职业技能培训2.03万人次。持续优化“跨域通办·云综窗”，实现504项高频事项跨域通办。成功实施全省首个高效服务船民“一件事”改革。梳理发布621项“免证办”事项清单，“扫码办”“刷脸办”事项累计办理5.9万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楷体_GB2312" w:hAnsi="宋体" w:eastAsia="楷体_GB2312" w:cs="楷体_GB2312"/>
          <w:b/>
          <w:i w:val="0"/>
          <w:caps w:val="0"/>
          <w:color w:val="000000"/>
          <w:spacing w:val="0"/>
          <w:kern w:val="0"/>
          <w:sz w:val="32"/>
          <w:szCs w:val="32"/>
          <w:lang w:val="en-US" w:eastAsia="zh-CN" w:bidi="ar"/>
        </w:rPr>
        <w:t>（四）民生福祉共享可感，共同富裕扎实推进</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b/>
          <w:i w:val="0"/>
          <w:caps w:val="0"/>
          <w:color w:val="000000"/>
          <w:spacing w:val="0"/>
          <w:kern w:val="0"/>
          <w:sz w:val="32"/>
          <w:szCs w:val="32"/>
          <w:lang w:val="en-US" w:eastAsia="zh-CN" w:bidi="ar"/>
        </w:rPr>
        <w:t>1.综合保障坚实有力。</w:t>
      </w:r>
      <w:r>
        <w:rPr>
          <w:rFonts w:hint="eastAsia" w:ascii="仿宋_GB2312" w:hAnsi="宋体" w:eastAsia="仿宋_GB2312" w:cs="仿宋_GB2312"/>
          <w:i w:val="0"/>
          <w:caps w:val="0"/>
          <w:color w:val="000000"/>
          <w:spacing w:val="0"/>
          <w:kern w:val="0"/>
          <w:sz w:val="32"/>
          <w:szCs w:val="32"/>
          <w:lang w:val="en-US" w:eastAsia="zh-CN" w:bidi="ar"/>
        </w:rPr>
        <w:t>完成一般公共预算支出250.34亿元，其中民生领域支出占比80.6%。持续推进多层次社会保障体系建设，预计全区养老、失业、工伤、医疗保险参保人数分别达108万人、56.5万人、66万人、132.94万人。住房公积金缴存职工数达34.7万人。推动救助政策扩围增效，发放生活救助（补贴）金1.31亿元。城乡居民基本养老保险基础养老金标准提升至705元/月。长期护理保险待遇享受人数达1.12万人，待遇支出1.05亿元。发放尊老金1.6亿元、惠及20.79万人。大病保险“一站式”实时结算59万人次，大病保险补偿1.82亿元。深入开展“强基提能惠民”行动，全面推进综治中心规范化建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b/>
          <w:i w:val="0"/>
          <w:caps w:val="0"/>
          <w:color w:val="000000"/>
          <w:spacing w:val="0"/>
          <w:kern w:val="0"/>
          <w:sz w:val="32"/>
          <w:szCs w:val="32"/>
          <w:lang w:val="en-US" w:eastAsia="zh-CN" w:bidi="ar"/>
        </w:rPr>
        <w:t>2.公共服务质效提升。</w:t>
      </w:r>
      <w:r>
        <w:rPr>
          <w:rFonts w:hint="eastAsia" w:ascii="仿宋_GB2312" w:hAnsi="宋体" w:eastAsia="仿宋_GB2312" w:cs="仿宋_GB2312"/>
          <w:i w:val="0"/>
          <w:caps w:val="0"/>
          <w:color w:val="000000"/>
          <w:spacing w:val="0"/>
          <w:kern w:val="0"/>
          <w:sz w:val="32"/>
          <w:szCs w:val="32"/>
          <w:lang w:val="en-US" w:eastAsia="zh-CN" w:bidi="ar"/>
        </w:rPr>
        <w:t>十大民生实事项目完成投资29.4亿元，34个子项全部完成。统筹推进14个老旧小区改造提升。组织开展国家课程高质量实施工程，扎实推进国家义务教育教学改革实验区建设。新开工学校2所、续建2所、建成5所，建成后可新增学位9000个。区儿童医院纳入苏大附儿院一体化管理。稳步推进区四院、黎里中心卫生院、北厍卫生服务中心新改扩建项目，横扇卫生院新院区建成投用。伊利诺护理机器人项目入选国家级智能养老服务机器人结对攻关与场景应用试点。盛泽黄家溪村获评全国“敬老文明号”。精准做好高校毕业生就业服务，累计建成“家门口”就业服务站36个。打造新就业群体友好场景201个。</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rPr>
          <w:rFonts w:hint="eastAsia" w:ascii="宋体" w:hAnsi="宋体" w:eastAsia="宋体" w:cs="宋体"/>
          <w:i w:val="0"/>
          <w:caps w:val="0"/>
          <w:color w:val="000000"/>
          <w:spacing w:val="0"/>
          <w:sz w:val="18"/>
          <w:szCs w:val="18"/>
        </w:rPr>
      </w:pPr>
      <w:r>
        <w:rPr>
          <w:rFonts w:hint="eastAsia" w:ascii="仿宋_GB2312" w:hAnsi="宋体" w:eastAsia="仿宋_GB2312" w:cs="仿宋_GB2312"/>
          <w:b/>
          <w:i w:val="0"/>
          <w:caps w:val="0"/>
          <w:color w:val="000000"/>
          <w:spacing w:val="0"/>
          <w:sz w:val="32"/>
          <w:szCs w:val="32"/>
        </w:rPr>
        <w:t>3.文体旅发展亮点纷呈。</w:t>
      </w:r>
      <w:r>
        <w:rPr>
          <w:rFonts w:hint="eastAsia" w:ascii="仿宋_GB2312" w:hAnsi="宋体" w:eastAsia="仿宋_GB2312" w:cs="仿宋_GB2312"/>
          <w:i w:val="0"/>
          <w:caps w:val="0"/>
          <w:color w:val="000000"/>
          <w:spacing w:val="0"/>
          <w:sz w:val="32"/>
          <w:szCs w:val="32"/>
        </w:rPr>
        <w:t>预计全区接待境内外游客2300万人次，增长10%，实现旅游总收入250亿元，增长9%；完成规上文化产业营收超250亿元，增长8.5%。我区入选全国市辖区旅游综合竞争力百强区。“谷雨乡绘 春满吴江”之旅入选省级乡村旅游与休闲农业精品线路。“东太湖S湾”发布，“太湖揽胜”水上航线开通，苏州江村学院正式揭牌运营。Z·Pilot黑科技体验空间、苏州丝绸纹样数字馆、宋锦文化艺术空间等陆续投用，舞剧《垂虹别意·唐寅》苏州湾大剧院首演，综艺《江南·十二场欢聚》热播。举办国际攀联世界杯攀岩赛、环太湖国际自行车赛、全国“京杭大运河”皮划艇马拉松赛、2025中国家庭帆船赛等品牌赛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楷体_GB2312" w:hAnsi="宋体" w:eastAsia="楷体_GB2312" w:cs="楷体_GB2312"/>
          <w:b/>
          <w:i w:val="0"/>
          <w:caps w:val="0"/>
          <w:color w:val="000000"/>
          <w:spacing w:val="0"/>
          <w:kern w:val="0"/>
          <w:sz w:val="32"/>
          <w:szCs w:val="32"/>
          <w:lang w:val="en-US" w:eastAsia="zh-CN" w:bidi="ar"/>
        </w:rPr>
        <w:t>（五）</w:t>
      </w:r>
      <w:r>
        <w:rPr>
          <w:rFonts w:hint="eastAsia" w:ascii="楷体_GB2312" w:hAnsi="Times New Roman" w:eastAsia="楷体_GB2312" w:cs="楷体_GB2312"/>
          <w:b/>
          <w:i w:val="0"/>
          <w:caps w:val="0"/>
          <w:color w:val="000000"/>
          <w:spacing w:val="0"/>
          <w:kern w:val="0"/>
          <w:sz w:val="32"/>
          <w:szCs w:val="32"/>
          <w:lang w:val="en-US" w:eastAsia="zh-CN" w:bidi="ar"/>
        </w:rPr>
        <w:t>生态绿色协同发展</w:t>
      </w:r>
      <w:r>
        <w:rPr>
          <w:rFonts w:hint="eastAsia" w:ascii="楷体_GB2312" w:hAnsi="宋体" w:eastAsia="楷体_GB2312" w:cs="楷体_GB2312"/>
          <w:b/>
          <w:i w:val="0"/>
          <w:caps w:val="0"/>
          <w:color w:val="000000"/>
          <w:spacing w:val="0"/>
          <w:kern w:val="0"/>
          <w:sz w:val="32"/>
          <w:szCs w:val="32"/>
          <w:lang w:val="en-US" w:eastAsia="zh-CN" w:bidi="ar"/>
        </w:rPr>
        <w:t>，城乡面貌焕然一新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b/>
          <w:i w:val="0"/>
          <w:caps w:val="0"/>
          <w:color w:val="000000"/>
          <w:spacing w:val="0"/>
          <w:kern w:val="0"/>
          <w:sz w:val="32"/>
          <w:szCs w:val="32"/>
          <w:lang w:val="en-US" w:eastAsia="zh-CN" w:bidi="ar"/>
        </w:rPr>
        <w:t>1.专项行动成效明显。</w:t>
      </w:r>
      <w:r>
        <w:rPr>
          <w:rFonts w:hint="eastAsia" w:ascii="仿宋_GB2312" w:hAnsi="宋体" w:eastAsia="仿宋_GB2312" w:cs="仿宋_GB2312"/>
          <w:i w:val="0"/>
          <w:caps w:val="0"/>
          <w:color w:val="000000"/>
          <w:spacing w:val="0"/>
          <w:kern w:val="0"/>
          <w:sz w:val="32"/>
          <w:szCs w:val="32"/>
          <w:shd w:val="clear" w:fill="FFFFFF"/>
          <w:lang w:val="en-US" w:eastAsia="zh-CN" w:bidi="ar"/>
        </w:rPr>
        <w:t>“消防安全专项治理”专项行动方面，排查消防安全专项火灾隐患9.99万处，完成整改</w:t>
      </w:r>
      <w:r>
        <w:rPr>
          <w:rFonts w:hint="eastAsia" w:ascii="仿宋_GB2312" w:hAnsi="宋体" w:eastAsia="仿宋_GB2312" w:cs="仿宋_GB2312"/>
          <w:i w:val="0"/>
          <w:caps w:val="0"/>
          <w:color w:val="000000"/>
          <w:spacing w:val="0"/>
          <w:kern w:val="0"/>
          <w:sz w:val="32"/>
          <w:szCs w:val="32"/>
          <w:lang w:val="en-US" w:eastAsia="zh-CN" w:bidi="ar"/>
        </w:rPr>
        <w:t>9.96万</w:t>
      </w:r>
      <w:r>
        <w:rPr>
          <w:rFonts w:hint="eastAsia" w:ascii="仿宋_GB2312" w:hAnsi="宋体" w:eastAsia="仿宋_GB2312" w:cs="仿宋_GB2312"/>
          <w:i w:val="0"/>
          <w:caps w:val="0"/>
          <w:color w:val="000000"/>
          <w:spacing w:val="0"/>
          <w:kern w:val="0"/>
          <w:sz w:val="32"/>
          <w:szCs w:val="32"/>
          <w:shd w:val="clear" w:fill="FFFFFF"/>
          <w:lang w:val="en-US" w:eastAsia="zh-CN" w:bidi="ar"/>
        </w:rPr>
        <w:t>处，整改率达</w:t>
      </w:r>
      <w:r>
        <w:rPr>
          <w:rFonts w:hint="eastAsia" w:ascii="仿宋_GB2312" w:hAnsi="宋体" w:eastAsia="仿宋_GB2312" w:cs="仿宋_GB2312"/>
          <w:i w:val="0"/>
          <w:caps w:val="0"/>
          <w:color w:val="000000"/>
          <w:spacing w:val="0"/>
          <w:kern w:val="0"/>
          <w:sz w:val="32"/>
          <w:szCs w:val="32"/>
          <w:lang w:val="en-US" w:eastAsia="zh-CN" w:bidi="ar"/>
        </w:rPr>
        <w:t>99.7</w:t>
      </w:r>
      <w:r>
        <w:rPr>
          <w:rFonts w:hint="eastAsia" w:ascii="仿宋_GB2312" w:hAnsi="宋体" w:eastAsia="仿宋_GB2312" w:cs="仿宋_GB2312"/>
          <w:i w:val="0"/>
          <w:caps w:val="0"/>
          <w:color w:val="000000"/>
          <w:spacing w:val="0"/>
          <w:kern w:val="0"/>
          <w:sz w:val="32"/>
          <w:szCs w:val="32"/>
          <w:shd w:val="clear" w:fill="FFFFFF"/>
          <w:lang w:val="en-US" w:eastAsia="zh-CN" w:bidi="ar"/>
        </w:rPr>
        <w:t>%。完成“三合一”、出租房（群租房）、小餐饮三类场所合规化改造</w:t>
      </w:r>
      <w:r>
        <w:rPr>
          <w:rFonts w:hint="eastAsia" w:ascii="仿宋_GB2312" w:hAnsi="宋体" w:eastAsia="仿宋_GB2312" w:cs="仿宋_GB2312"/>
          <w:i w:val="0"/>
          <w:caps w:val="0"/>
          <w:color w:val="000000"/>
          <w:spacing w:val="0"/>
          <w:kern w:val="0"/>
          <w:sz w:val="32"/>
          <w:szCs w:val="32"/>
          <w:lang w:val="en-US" w:eastAsia="zh-CN" w:bidi="ar"/>
        </w:rPr>
        <w:t>8.8万</w:t>
      </w:r>
      <w:r>
        <w:rPr>
          <w:rFonts w:hint="eastAsia" w:ascii="仿宋_GB2312" w:hAnsi="宋体" w:eastAsia="仿宋_GB2312" w:cs="仿宋_GB2312"/>
          <w:i w:val="0"/>
          <w:caps w:val="0"/>
          <w:color w:val="000000"/>
          <w:spacing w:val="0"/>
          <w:kern w:val="0"/>
          <w:sz w:val="32"/>
          <w:szCs w:val="32"/>
          <w:shd w:val="clear" w:fill="FFFFFF"/>
          <w:lang w:val="en-US" w:eastAsia="zh-CN" w:bidi="ar"/>
        </w:rPr>
        <w:t>处。建成</w:t>
      </w:r>
      <w:r>
        <w:rPr>
          <w:rFonts w:hint="eastAsia" w:ascii="仿宋_GB2312" w:hAnsi="宋体" w:eastAsia="仿宋_GB2312" w:cs="仿宋_GB2312"/>
          <w:i w:val="0"/>
          <w:caps w:val="0"/>
          <w:color w:val="000000"/>
          <w:spacing w:val="0"/>
          <w:kern w:val="0"/>
          <w:sz w:val="32"/>
          <w:szCs w:val="32"/>
          <w:lang w:val="en-US" w:eastAsia="zh-CN" w:bidi="ar"/>
        </w:rPr>
        <w:t>1.3万</w:t>
      </w:r>
      <w:r>
        <w:rPr>
          <w:rFonts w:hint="eastAsia" w:ascii="仿宋_GB2312" w:hAnsi="宋体" w:eastAsia="仿宋_GB2312" w:cs="仿宋_GB2312"/>
          <w:i w:val="0"/>
          <w:caps w:val="0"/>
          <w:color w:val="000000"/>
          <w:spacing w:val="0"/>
          <w:kern w:val="0"/>
          <w:sz w:val="32"/>
          <w:szCs w:val="32"/>
          <w:shd w:val="clear" w:fill="FFFFFF"/>
          <w:lang w:val="en-US" w:eastAsia="zh-CN" w:bidi="ar"/>
        </w:rPr>
        <w:t>个电动自行车充电位。“安全生产百日攻坚”行动方面，推动21个重点行业领域开展安全隐患排查整治，累计发现并整改问题隐患1.58万个。</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b/>
          <w:i w:val="0"/>
          <w:caps w:val="0"/>
          <w:color w:val="000000"/>
          <w:spacing w:val="0"/>
          <w:kern w:val="0"/>
          <w:sz w:val="32"/>
          <w:szCs w:val="32"/>
          <w:lang w:val="en-US" w:eastAsia="zh-CN" w:bidi="ar"/>
        </w:rPr>
        <w:t>2.生态环境不断改善。</w:t>
      </w:r>
      <w:r>
        <w:rPr>
          <w:rFonts w:hint="eastAsia" w:ascii="仿宋_GB2312" w:hAnsi="宋体" w:eastAsia="仿宋_GB2312" w:cs="仿宋_GB2312"/>
          <w:i w:val="0"/>
          <w:caps w:val="0"/>
          <w:color w:val="000000"/>
          <w:spacing w:val="0"/>
          <w:kern w:val="0"/>
          <w:sz w:val="32"/>
          <w:szCs w:val="32"/>
          <w:lang w:val="en-US" w:eastAsia="zh-CN" w:bidi="ar"/>
        </w:rPr>
        <w:t>持续打好蓝天、碧水、净土三大攻坚战，强化水土保持治理。推进铸造行业大气综合治理18家，</w:t>
      </w:r>
      <w:r>
        <w:rPr>
          <w:rFonts w:hint="eastAsia" w:ascii="仿宋_GB2312" w:hAnsi="宋体" w:eastAsia="仿宋_GB2312" w:cs="仿宋_GB2312"/>
          <w:i w:val="0"/>
          <w:caps w:val="0"/>
          <w:color w:val="000000"/>
          <w:spacing w:val="0"/>
          <w:kern w:val="0"/>
          <w:sz w:val="32"/>
          <w:szCs w:val="32"/>
          <w:shd w:val="clear" w:fill="FFFFFF"/>
          <w:lang w:val="en-US" w:eastAsia="zh-CN" w:bidi="ar"/>
        </w:rPr>
        <w:t>VOCs治理项目27项，</w:t>
      </w:r>
      <w:r>
        <w:rPr>
          <w:rFonts w:hint="eastAsia" w:ascii="仿宋_GB2312" w:hAnsi="宋体" w:eastAsia="仿宋_GB2312" w:cs="仿宋_GB2312"/>
          <w:i w:val="0"/>
          <w:caps w:val="0"/>
          <w:color w:val="000000"/>
          <w:spacing w:val="0"/>
          <w:kern w:val="0"/>
          <w:sz w:val="32"/>
          <w:szCs w:val="32"/>
          <w:lang w:val="en-US" w:eastAsia="zh-CN" w:bidi="ar"/>
        </w:rPr>
        <w:t>PM</w:t>
      </w:r>
      <w:r>
        <w:rPr>
          <w:rFonts w:hint="eastAsia" w:ascii="仿宋_GB2312" w:hAnsi="宋体" w:eastAsia="仿宋_GB2312" w:cs="仿宋_GB2312"/>
          <w:i w:val="0"/>
          <w:caps w:val="0"/>
          <w:color w:val="000000"/>
          <w:spacing w:val="0"/>
          <w:kern w:val="0"/>
          <w:sz w:val="32"/>
          <w:szCs w:val="32"/>
          <w:vertAlign w:val="subscript"/>
          <w:lang w:val="en-US" w:eastAsia="zh-CN" w:bidi="ar"/>
        </w:rPr>
        <w:t>2.5</w:t>
      </w:r>
      <w:r>
        <w:rPr>
          <w:rFonts w:hint="eastAsia" w:ascii="仿宋_GB2312" w:hAnsi="宋体" w:eastAsia="仿宋_GB2312" w:cs="仿宋_GB2312"/>
          <w:i w:val="0"/>
          <w:caps w:val="0"/>
          <w:color w:val="000000"/>
          <w:spacing w:val="0"/>
          <w:kern w:val="0"/>
          <w:sz w:val="32"/>
          <w:szCs w:val="32"/>
          <w:lang w:val="en-US" w:eastAsia="zh-CN" w:bidi="ar"/>
        </w:rPr>
        <w:t>平均浓度29微克/立方米。加快推动新一轮太湖综合治理，2个集中式饮用水水源地水质达标率为100%，11个地表水国省考断面优Ⅲ比例为100%，元荡湖口国考断面水质实现历史性突破，首次提升至Ⅲ类，太湖吴江水域连续十八年实现安全度夏。强化“无废城市”建设，提升区域固废处置能力，受污染耕地安全利用率达98%，重点建设用地安全率保持100%。我区获评国家“绿水青山就是金山银山”实践创新基地，实现生态环境领域国家级荣誉“大满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b/>
          <w:i w:val="0"/>
          <w:caps w:val="0"/>
          <w:color w:val="000000"/>
          <w:spacing w:val="0"/>
          <w:kern w:val="0"/>
          <w:sz w:val="32"/>
          <w:szCs w:val="32"/>
          <w:lang w:val="en-US" w:eastAsia="zh-CN" w:bidi="ar"/>
        </w:rPr>
        <w:t>3.城市品质持续提升。</w:t>
      </w:r>
      <w:r>
        <w:rPr>
          <w:rFonts w:hint="eastAsia" w:ascii="仿宋_GB2312" w:hAnsi="宋体" w:eastAsia="仿宋_GB2312" w:cs="仿宋_GB2312"/>
          <w:i w:val="0"/>
          <w:caps w:val="0"/>
          <w:color w:val="000000"/>
          <w:spacing w:val="0"/>
          <w:kern w:val="0"/>
          <w:sz w:val="32"/>
          <w:szCs w:val="32"/>
          <w:lang w:val="en-US" w:eastAsia="zh-CN" w:bidi="ar"/>
        </w:rPr>
        <w:t>扎实推动新型城镇化高质量发展，盛泽、黎里、平望、七都、震泽镇入选2025“中国百强镇”。震泽镇纳入全省经济发达镇名单。全区完成营造林面积722亩、抚育面积3085亩。新建口袋公园3个，新改建滨水绿地13万平方米，建设步道7.7公里。城南污水厂二期主体建成，横扇污水厂正式投运。新增公共泊位514个。苏同黎快速路建成通车。通苏嘉甬高铁加快建设，汾湖隧道顺利贯通。水乡旅游线城际铁路、长三角（盛泽）供应链码头二期、长湖申线按序推进，如通苏湖城际铁路加快推进前期工作。吴江至浦东机场联程接驳航线首飞成功，联程接驳服务网络触达嘉兴、无锡、南通等地。“崇军康养”工程有序推进，累计挂牌优待定点医院6家、康养中心7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i w:val="0"/>
          <w:caps w:val="0"/>
          <w:color w:val="000000"/>
          <w:spacing w:val="0"/>
          <w:kern w:val="0"/>
          <w:sz w:val="32"/>
          <w:szCs w:val="32"/>
          <w:lang w:val="en-US" w:eastAsia="zh-CN" w:bidi="ar"/>
        </w:rPr>
        <w:t>2025年，吴江经济社会发展取得了一定成绩，但我们也要清醒地认识到发展中面临的一些挑战和问题：国际形势错综复杂，国内有效需求不足，内卷式竞争激烈，部分经济社会发展指标不及预期，经济持续回升向好的基础还不稳固；</w:t>
      </w:r>
      <w:r>
        <w:rPr>
          <w:rFonts w:hint="eastAsia" w:ascii="仿宋_GB2312" w:hAnsi="Times New Roman" w:eastAsia="仿宋_GB2312" w:cs="仿宋_GB2312"/>
          <w:i w:val="0"/>
          <w:caps w:val="0"/>
          <w:color w:val="000000"/>
          <w:spacing w:val="0"/>
          <w:kern w:val="0"/>
          <w:sz w:val="32"/>
          <w:szCs w:val="32"/>
          <w:lang w:val="en-US" w:eastAsia="zh-CN" w:bidi="ar"/>
        </w:rPr>
        <w:t>科技创新和产业创新还需深度融合，</w:t>
      </w:r>
      <w:r>
        <w:rPr>
          <w:rFonts w:hint="eastAsia" w:ascii="仿宋_GB2312" w:hAnsi="宋体" w:eastAsia="仿宋_GB2312" w:cs="仿宋_GB2312"/>
          <w:i w:val="0"/>
          <w:caps w:val="0"/>
          <w:color w:val="000000"/>
          <w:spacing w:val="0"/>
          <w:kern w:val="0"/>
          <w:sz w:val="32"/>
          <w:szCs w:val="32"/>
          <w:lang w:val="en-US" w:eastAsia="zh-CN" w:bidi="ar"/>
        </w:rPr>
        <w:t>新质生产力发展有待提速。优质公共服务供给有待加强，</w:t>
      </w:r>
      <w:r>
        <w:rPr>
          <w:rFonts w:hint="eastAsia" w:ascii="仿宋_GB2312" w:hAnsi="Times New Roman" w:eastAsia="仿宋_GB2312" w:cs="仿宋_GB2312"/>
          <w:i w:val="0"/>
          <w:caps w:val="0"/>
          <w:color w:val="000000"/>
          <w:spacing w:val="0"/>
          <w:kern w:val="0"/>
          <w:sz w:val="32"/>
          <w:szCs w:val="32"/>
          <w:lang w:val="en-US" w:eastAsia="zh-CN" w:bidi="ar"/>
        </w:rPr>
        <w:t>实现</w:t>
      </w:r>
      <w:r>
        <w:rPr>
          <w:rFonts w:hint="eastAsia" w:ascii="仿宋_GB2312" w:hAnsi="宋体" w:eastAsia="仿宋_GB2312" w:cs="仿宋_GB2312"/>
          <w:i w:val="0"/>
          <w:caps w:val="0"/>
          <w:color w:val="000000"/>
          <w:spacing w:val="0"/>
          <w:kern w:val="0"/>
          <w:sz w:val="32"/>
          <w:szCs w:val="32"/>
          <w:lang w:val="en-US" w:eastAsia="zh-CN" w:bidi="ar"/>
        </w:rPr>
        <w:t>“</w:t>
      </w:r>
      <w:r>
        <w:rPr>
          <w:rFonts w:hint="eastAsia" w:ascii="仿宋_GB2312" w:hAnsi="Times New Roman" w:eastAsia="仿宋_GB2312" w:cs="仿宋_GB2312"/>
          <w:i w:val="0"/>
          <w:caps w:val="0"/>
          <w:color w:val="000000"/>
          <w:spacing w:val="0"/>
          <w:kern w:val="0"/>
          <w:sz w:val="32"/>
          <w:szCs w:val="32"/>
          <w:lang w:val="en-US" w:eastAsia="zh-CN" w:bidi="ar"/>
        </w:rPr>
        <w:t>民生七</w:t>
      </w:r>
      <w:r>
        <w:rPr>
          <w:rFonts w:hint="eastAsia" w:ascii="仿宋_GB2312" w:hAnsi="宋体" w:eastAsia="仿宋_GB2312" w:cs="仿宋_GB2312"/>
          <w:i w:val="0"/>
          <w:caps w:val="0"/>
          <w:color w:val="000000"/>
          <w:spacing w:val="0"/>
          <w:kern w:val="0"/>
          <w:sz w:val="32"/>
          <w:szCs w:val="32"/>
          <w:lang w:val="en-US" w:eastAsia="zh-CN" w:bidi="ar"/>
        </w:rPr>
        <w:t>优”仍需</w:t>
      </w:r>
      <w:r>
        <w:rPr>
          <w:rFonts w:hint="eastAsia" w:ascii="仿宋_GB2312" w:hAnsi="Times New Roman" w:eastAsia="仿宋_GB2312" w:cs="仿宋_GB2312"/>
          <w:i w:val="0"/>
          <w:caps w:val="0"/>
          <w:color w:val="000000"/>
          <w:spacing w:val="0"/>
          <w:kern w:val="0"/>
          <w:sz w:val="32"/>
          <w:szCs w:val="32"/>
          <w:lang w:val="en-US" w:eastAsia="zh-CN" w:bidi="ar"/>
        </w:rPr>
        <w:t>持续发力</w:t>
      </w:r>
      <w:r>
        <w:rPr>
          <w:rFonts w:hint="eastAsia" w:ascii="仿宋_GB2312" w:hAnsi="宋体" w:eastAsia="仿宋_GB2312" w:cs="仿宋_GB2312"/>
          <w:i w:val="0"/>
          <w:caps w:val="0"/>
          <w:color w:val="000000"/>
          <w:spacing w:val="0"/>
          <w:kern w:val="0"/>
          <w:sz w:val="32"/>
          <w:szCs w:val="32"/>
          <w:lang w:val="en-US" w:eastAsia="zh-CN" w:bidi="ar"/>
        </w:rPr>
        <w:t>，基层社会治理精细化水平还需提升；生态环境改善成效有待持续巩固，本质安全基础仍需夯实。对此，我们必须直面问题、攻坚克难，采取有力措施切实加以解决，不辜负全区人民的期待！</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eastAsia" w:ascii="黑体" w:hAnsi="宋体" w:eastAsia="黑体" w:cs="黑体"/>
          <w:i w:val="0"/>
          <w:caps w:val="0"/>
          <w:color w:val="000000"/>
          <w:spacing w:val="0"/>
          <w:kern w:val="0"/>
          <w:sz w:val="32"/>
          <w:szCs w:val="32"/>
          <w:lang w:val="en-US" w:eastAsia="zh-CN" w:bidi="ar"/>
        </w:rPr>
        <w:t>二、2026年国民经济和社会发展主要预期目标安排</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i w:val="0"/>
          <w:caps w:val="0"/>
          <w:color w:val="000000"/>
          <w:spacing w:val="0"/>
          <w:kern w:val="0"/>
          <w:sz w:val="32"/>
          <w:szCs w:val="32"/>
          <w:lang w:val="en-US" w:eastAsia="zh-CN" w:bidi="ar"/>
        </w:rPr>
        <w:t>2026年，我们要坚持以习近平新时代中国特色社会主义思想为指导，深入贯彻党的二十大和二十届历次全会精神，坚决落实习近平总书记对江苏、苏州工作和对长三角一体化发展重要讲话重要指示精神，完整准确全面贯彻新发展理念，加快构建新发展格局，坚持稳中求进工作总基调，持续扩大内需、优化供给，做优增量、盘活存量，因地制宜发展新质生产力，积极服务全国统一大市场建设，着力稳就业、稳企业、稳市场、稳预期，推动经济实现质的有效提升和量的合理增长，保持社会和谐稳定，确保“十五五”开好局、起好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i w:val="0"/>
          <w:caps w:val="0"/>
          <w:color w:val="000000"/>
          <w:spacing w:val="0"/>
          <w:kern w:val="0"/>
          <w:sz w:val="32"/>
          <w:szCs w:val="32"/>
          <w:lang w:val="en-US" w:eastAsia="zh-CN" w:bidi="ar"/>
        </w:rPr>
        <w:t>建议对2026年全区经济社会发展主要预期目标安排如下：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地区生产总值增长5.3%；</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制造业增加值占GDP比重保持基本稳定；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全社会固定资产投资保持稳定；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社会消费品零售总额稳定增长；</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进出口总额稳量提质；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实际使用外资提质增效；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一般公共预算收入规模增长1%；</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高新技术产业产值占规模以上工业产值比重62%以上；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工业战略性新兴产业产值占工业总产值比重47%；</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人工智能核心产业营业收入增长16%；</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新增人工智能典型应用场景数20个（市级以上）；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备案生成式人工智能及算法数1款、3个；</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力争有效高新技术企业数超1800家；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规上数字经济核心产业企业营业收入占规上企业营业收入比重28.8%左右；</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建成基础级及以上水平智能工厂数完成市下达任务；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力争创建卓越级和领航级智能工厂1家；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新增国家级专精特新“小巨人”企业数20家左右；</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规上生产性服务业营业收入增长10%左右；</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全社会研究与试验发展经费支出占地区生产总值比重4.2%左右；</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规上工业企业研究与试验发展经费投入增长8%左右；</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技术合同成交额120亿元左右；</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每万人口高价值发明专利拥有量50件；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每万劳动力中高技能人才数1649人；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新增大专以上学历人才3.5万人；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基本养老保险参保人数102万人；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基本医疗保险参保人数130万人；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城市更新项目投资完成额5.5亿元；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每千名3岁以下婴幼儿拥有托位数260个；</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普惠支持型养老机构床位数占比12%；</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居民人均可支配收入与经济增长同步；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城乡居民收入倍差稳步降低；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城镇新增就业人数4.2万人；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新增就业参保大学生人数1.1万人；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PM</w:t>
      </w:r>
      <w:r>
        <w:rPr>
          <w:rFonts w:hint="eastAsia" w:ascii="仿宋_GB2312" w:hAnsi="宋体" w:eastAsia="仿宋_GB2312" w:cs="仿宋_GB2312"/>
          <w:i w:val="0"/>
          <w:caps w:val="0"/>
          <w:color w:val="000000"/>
          <w:spacing w:val="0"/>
          <w:kern w:val="0"/>
          <w:sz w:val="32"/>
          <w:szCs w:val="32"/>
          <w:vertAlign w:val="subscript"/>
          <w:lang w:val="en-US" w:eastAsia="zh-CN" w:bidi="ar"/>
        </w:rPr>
        <w:t>2.5</w:t>
      </w:r>
      <w:r>
        <w:rPr>
          <w:rFonts w:hint="eastAsia" w:ascii="仿宋_GB2312" w:hAnsi="宋体" w:eastAsia="仿宋_GB2312" w:cs="仿宋_GB2312"/>
          <w:i w:val="0"/>
          <w:caps w:val="0"/>
          <w:color w:val="000000"/>
          <w:spacing w:val="0"/>
          <w:kern w:val="0"/>
          <w:sz w:val="32"/>
          <w:szCs w:val="32"/>
          <w:lang w:val="en-US" w:eastAsia="zh-CN" w:bidi="ar"/>
        </w:rPr>
        <w:t>浓度完成上级下达任务；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空气质量优良天数比例完成上级下达任务；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优良水体比例完成上级下达任务；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主要污染物排放总量削减完成上级下达任务；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耕地保有量完成上级下达任务；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粮食综合生产能力产量保持稳定、完成市下达粮食播种面积任务；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default" w:ascii="Times New Roman" w:hAnsi="Times New Roman" w:eastAsia="宋体" w:cs="Times New Roman"/>
          <w:i w:val="0"/>
          <w:caps w:val="0"/>
          <w:color w:val="000000"/>
          <w:spacing w:val="0"/>
          <w:kern w:val="0"/>
          <w:sz w:val="32"/>
          <w:szCs w:val="32"/>
          <w:lang w:val="en-US" w:eastAsia="zh-CN" w:bidi="ar"/>
        </w:rPr>
        <w:t>——</w:t>
      </w:r>
      <w:r>
        <w:rPr>
          <w:rFonts w:hint="eastAsia" w:ascii="仿宋_GB2312" w:hAnsi="宋体" w:eastAsia="仿宋_GB2312" w:cs="仿宋_GB2312"/>
          <w:i w:val="0"/>
          <w:caps w:val="0"/>
          <w:color w:val="000000"/>
          <w:spacing w:val="0"/>
          <w:kern w:val="0"/>
          <w:sz w:val="32"/>
          <w:szCs w:val="32"/>
          <w:lang w:val="en-US" w:eastAsia="zh-CN" w:bidi="ar"/>
        </w:rPr>
        <w:t>安全生产不发生重特大生产安全事故。</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楷体_GB2312" w:hAnsi="宋体" w:eastAsia="楷体_GB2312" w:cs="楷体_GB2312"/>
          <w:b/>
          <w:i w:val="0"/>
          <w:caps w:val="0"/>
          <w:color w:val="000000"/>
          <w:spacing w:val="0"/>
          <w:kern w:val="0"/>
          <w:sz w:val="32"/>
          <w:szCs w:val="32"/>
          <w:lang w:val="en-US" w:eastAsia="zh-CN" w:bidi="ar"/>
        </w:rPr>
        <w:t>（一）关于经济发展实力预期目标</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b/>
          <w:i w:val="0"/>
          <w:caps w:val="0"/>
          <w:color w:val="000000"/>
          <w:spacing w:val="0"/>
          <w:kern w:val="0"/>
          <w:sz w:val="32"/>
          <w:szCs w:val="32"/>
          <w:lang w:val="en-US" w:eastAsia="zh-CN" w:bidi="ar"/>
        </w:rPr>
        <w:t>1.地区生产总值目标为增长5.3%。从国际看，</w:t>
      </w:r>
      <w:r>
        <w:rPr>
          <w:rFonts w:hint="eastAsia" w:ascii="仿宋_GB2312" w:hAnsi="宋体" w:eastAsia="仿宋_GB2312" w:cs="仿宋_GB2312"/>
          <w:i w:val="0"/>
          <w:caps w:val="0"/>
          <w:color w:val="000000"/>
          <w:spacing w:val="0"/>
          <w:kern w:val="0"/>
          <w:sz w:val="32"/>
          <w:szCs w:val="32"/>
          <w:lang w:val="en-US" w:eastAsia="zh-CN" w:bidi="ar"/>
        </w:rPr>
        <w:t>世界百年未有之大变局加速演进，大国博弈更趋激烈，贸易摩擦持续升温，地缘政治冲突频发，全球贸易秩序与产业链供应链加速重构，世界经济增长动能不足。</w:t>
      </w:r>
      <w:r>
        <w:rPr>
          <w:rFonts w:hint="eastAsia" w:ascii="仿宋_GB2312" w:hAnsi="宋体" w:eastAsia="仿宋_GB2312" w:cs="仿宋_GB2312"/>
          <w:b/>
          <w:i w:val="0"/>
          <w:caps w:val="0"/>
          <w:color w:val="000000"/>
          <w:spacing w:val="0"/>
          <w:kern w:val="0"/>
          <w:sz w:val="32"/>
          <w:szCs w:val="32"/>
          <w:lang w:val="en-US" w:eastAsia="zh-CN" w:bidi="ar"/>
        </w:rPr>
        <w:t>从国内看，</w:t>
      </w:r>
      <w:r>
        <w:rPr>
          <w:rFonts w:hint="eastAsia" w:ascii="仿宋_GB2312" w:hAnsi="宋体" w:eastAsia="仿宋_GB2312" w:cs="仿宋_GB2312"/>
          <w:i w:val="0"/>
          <w:caps w:val="0"/>
          <w:color w:val="000000"/>
          <w:spacing w:val="0"/>
          <w:kern w:val="0"/>
          <w:sz w:val="32"/>
          <w:szCs w:val="32"/>
          <w:lang w:val="en-US" w:eastAsia="zh-CN" w:bidi="ar"/>
        </w:rPr>
        <w:t>我国发展面临的环境仍是战略机遇和风险挑战交织并存，但在宏观政策持续加力增效、新动能加速培育壮大、全国统一大市场加快建设等作用下，供需关系有望进一步改善和恢复，经济运行更加坚韧稳健。</w:t>
      </w:r>
      <w:r>
        <w:rPr>
          <w:rFonts w:hint="eastAsia" w:ascii="仿宋_GB2312" w:hAnsi="宋体" w:eastAsia="仿宋_GB2312" w:cs="仿宋_GB2312"/>
          <w:b/>
          <w:i w:val="0"/>
          <w:caps w:val="0"/>
          <w:color w:val="000000"/>
          <w:spacing w:val="0"/>
          <w:kern w:val="0"/>
          <w:sz w:val="32"/>
          <w:szCs w:val="32"/>
          <w:lang w:val="en-US" w:eastAsia="zh-CN" w:bidi="ar"/>
        </w:rPr>
        <w:t>从我区看，</w:t>
      </w:r>
      <w:r>
        <w:rPr>
          <w:rFonts w:hint="eastAsia" w:ascii="仿宋_GB2312" w:hAnsi="宋体" w:eastAsia="仿宋_GB2312" w:cs="仿宋_GB2312"/>
          <w:i w:val="0"/>
          <w:caps w:val="0"/>
          <w:color w:val="000000"/>
          <w:spacing w:val="0"/>
          <w:kern w:val="0"/>
          <w:sz w:val="32"/>
          <w:szCs w:val="32"/>
          <w:lang w:val="en-US" w:eastAsia="zh-CN" w:bidi="ar"/>
        </w:rPr>
        <w:t>预计2026年宏观形势依旧复杂严峻，工业经济增长承压较大，房地产市场深度调整，同时2025年我区地区生产总值持续领跑全市，同比增长较快、基数较大。但我区工业基础稳固，规上工业产值稳步增长，民营经济韧性强劲，服务业增长动能充足，同时，重大项目投产持续释放产能，固定资产投资结构优化、消费潜力持续激发，为经济增长提供坚实支撑，预期2026年经济将保持平稳增长。</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b/>
          <w:i w:val="0"/>
          <w:caps w:val="0"/>
          <w:color w:val="000000"/>
          <w:spacing w:val="0"/>
          <w:kern w:val="0"/>
          <w:sz w:val="32"/>
          <w:szCs w:val="32"/>
          <w:lang w:val="en-US" w:eastAsia="zh-CN" w:bidi="ar"/>
        </w:rPr>
        <w:t>2.制造业增加值占GDP比重目标为保持基本稳定。</w:t>
      </w:r>
      <w:r>
        <w:rPr>
          <w:rFonts w:hint="eastAsia" w:ascii="仿宋_GB2312" w:hAnsi="宋体" w:eastAsia="仿宋_GB2312" w:cs="仿宋_GB2312"/>
          <w:i w:val="0"/>
          <w:caps w:val="0"/>
          <w:color w:val="000000"/>
          <w:spacing w:val="0"/>
          <w:kern w:val="0"/>
          <w:sz w:val="32"/>
          <w:szCs w:val="32"/>
          <w:lang w:val="en-US" w:eastAsia="zh-CN" w:bidi="ar"/>
        </w:rPr>
        <w:t>要着力发展新质生产力，积极培育第三代半导体、人工智能、低空经济、算力产业等新兴产业和未来产业，全力打造现代化制造业“4+2+1”产业体系，聚力抓转型、调结构、提质效，推动传统产业向高端跃升、新兴产业向规模集聚、未来产业向前沿突破。持续擦亮“智汇万企 链在吴江”产业沙龙品牌，进一步强化产业链协作配套。持续攻坚低效工业用地转型，积极引导重点企业采用新技术新工艺改造项目推进大规模设备更新，切实推动工业提质增效。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b/>
          <w:i w:val="0"/>
          <w:caps w:val="0"/>
          <w:color w:val="000000"/>
          <w:spacing w:val="0"/>
          <w:kern w:val="0"/>
          <w:sz w:val="32"/>
          <w:szCs w:val="32"/>
          <w:lang w:val="en-US" w:eastAsia="zh-CN" w:bidi="ar"/>
        </w:rPr>
        <w:t>3.全社会固定资产投资目标为保持稳定。</w:t>
      </w:r>
      <w:r>
        <w:rPr>
          <w:rFonts w:hint="eastAsia" w:ascii="仿宋_GB2312" w:hAnsi="宋体" w:eastAsia="仿宋_GB2312" w:cs="仿宋_GB2312"/>
          <w:i w:val="0"/>
          <w:caps w:val="0"/>
          <w:color w:val="000000"/>
          <w:spacing w:val="0"/>
          <w:kern w:val="0"/>
          <w:sz w:val="32"/>
          <w:szCs w:val="32"/>
          <w:lang w:val="en-US" w:eastAsia="zh-CN" w:bidi="ar"/>
        </w:rPr>
        <w:t>要坚持大抓项目、抓大项目，完善区级投资促进协调机制，落实“一号招商员”等工作机制，扎实推进2026年度省、市、区三级重点项目，用足用好特别国债、专项债券、中央预算内投资等政策工具，重点推进英诺赛科扩建、吴变特高压GIS数字化智能工厂、博众新能源智能装备制造等产业项目开工建设，积极推进水乡旅游线、太浦河后续（一期）工程等重大基础设施，以重大项目落地达效支撑经济持续回升向好。持续扩大“两智一全”供给，统筹实施全区土地征收工作，编制土地征收成片开发方案，推进片区内产业升级、旧城改造、产城融合发展，为工业投资增长和全社会固定资产投资稳定筑牢支撑基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b/>
          <w:i w:val="0"/>
          <w:caps w:val="0"/>
          <w:color w:val="000000"/>
          <w:spacing w:val="0"/>
          <w:kern w:val="0"/>
          <w:sz w:val="32"/>
          <w:szCs w:val="32"/>
          <w:lang w:val="en-US" w:eastAsia="zh-CN" w:bidi="ar"/>
        </w:rPr>
        <w:t>4.社会消费品零售总额目标为稳定增长。</w:t>
      </w:r>
      <w:r>
        <w:rPr>
          <w:rFonts w:hint="eastAsia" w:ascii="仿宋_GB2312" w:hAnsi="宋体" w:eastAsia="仿宋_GB2312" w:cs="仿宋_GB2312"/>
          <w:i w:val="0"/>
          <w:caps w:val="0"/>
          <w:color w:val="000000"/>
          <w:spacing w:val="0"/>
          <w:kern w:val="0"/>
          <w:sz w:val="32"/>
          <w:szCs w:val="32"/>
          <w:lang w:val="en-US" w:eastAsia="zh-CN" w:bidi="ar"/>
        </w:rPr>
        <w:t>要全力扩大有效需求，围绕重点节庆节点打造消费热点，持续打响“乐购吴江”等消费品牌，办好五五购物节、双12购物节等系列促消费活动，拓展文旅产业带动作用，促进文商体旅农融合消费，激发消费增长点，推动流量变留量。要培育壮大首店经济、首发经济、展会经济，培育消费新场景、新业态、新产品，高品质打造提升盛家厍城市更新等新消费场景，持续拓展实物消费和服务消费等领域新的消费增量，融合线上线下，持续推动汽车、家电等大宗消费复苏向好，拉动零售餐饮、文旅体育、观影演出等消费增长，释放消费潜力。</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b/>
          <w:i w:val="0"/>
          <w:caps w:val="0"/>
          <w:color w:val="000000"/>
          <w:spacing w:val="0"/>
          <w:kern w:val="0"/>
          <w:sz w:val="32"/>
          <w:szCs w:val="32"/>
          <w:lang w:val="en-US" w:eastAsia="zh-CN" w:bidi="ar"/>
        </w:rPr>
        <w:t>5.进出口总额目标为稳量提质。</w:t>
      </w:r>
      <w:r>
        <w:rPr>
          <w:rFonts w:hint="eastAsia" w:ascii="仿宋_GB2312" w:hAnsi="宋体" w:eastAsia="仿宋_GB2312" w:cs="仿宋_GB2312"/>
          <w:i w:val="0"/>
          <w:caps w:val="0"/>
          <w:color w:val="000000"/>
          <w:spacing w:val="0"/>
          <w:kern w:val="0"/>
          <w:sz w:val="32"/>
          <w:szCs w:val="32"/>
          <w:lang w:val="en-US" w:eastAsia="zh-CN" w:bidi="ar"/>
        </w:rPr>
        <w:t>要坚持“一稳五新”，密切关注中美关税动态，扎实推动传统外贸企业“触网”升级和跨境出海，全力以赴稳产能、争份额、抢订单。组织企业赴新兴市场参加重点展会，巩固传统市场，拓展“一带一路”等新兴市场，培育外贸新增量。积极拓展中间品贸易、跨境电商等新业态，壮大服务贸易、数字贸易，加快推进内外贸一体化，拓展外贸企业市场空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b/>
          <w:i w:val="0"/>
          <w:caps w:val="0"/>
          <w:color w:val="000000"/>
          <w:spacing w:val="0"/>
          <w:kern w:val="0"/>
          <w:sz w:val="32"/>
          <w:szCs w:val="32"/>
          <w:lang w:val="en-US" w:eastAsia="zh-CN" w:bidi="ar"/>
        </w:rPr>
        <w:t>6.实际使用外资目标为提质增效。</w:t>
      </w:r>
      <w:r>
        <w:rPr>
          <w:rFonts w:hint="eastAsia" w:ascii="仿宋_GB2312" w:hAnsi="宋体" w:eastAsia="仿宋_GB2312" w:cs="仿宋_GB2312"/>
          <w:i w:val="0"/>
          <w:caps w:val="0"/>
          <w:color w:val="000000"/>
          <w:spacing w:val="0"/>
          <w:kern w:val="0"/>
          <w:sz w:val="32"/>
          <w:szCs w:val="32"/>
          <w:lang w:val="en-US" w:eastAsia="zh-CN" w:bidi="ar"/>
        </w:rPr>
        <w:t>要鼓励外资企业利润再投资，做优全流程服务保障，推动重点外资企业早日增资扩股。借助服务业扩大开放试点契机，拓宽外资招引渠道，复制推进QFLP余额管理制度创新试点，抓紧引进增量项目。深化外资总部机构与研发中心“引育并举”工作，强化外资企业研发创新全链条支持，全面释放外资政策集成赋能效应，推动外资研发中心与总部机构深度协同、融合发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b/>
          <w:i w:val="0"/>
          <w:caps w:val="0"/>
          <w:color w:val="000000"/>
          <w:spacing w:val="0"/>
          <w:kern w:val="0"/>
          <w:sz w:val="32"/>
          <w:szCs w:val="32"/>
          <w:lang w:val="en-US" w:eastAsia="zh-CN" w:bidi="ar"/>
        </w:rPr>
        <w:t>7.一般公共预算收入目标为增长1%。</w:t>
      </w:r>
      <w:r>
        <w:rPr>
          <w:rFonts w:hint="eastAsia" w:ascii="仿宋_GB2312" w:hAnsi="宋体" w:eastAsia="仿宋_GB2312" w:cs="仿宋_GB2312"/>
          <w:i w:val="0"/>
          <w:caps w:val="0"/>
          <w:color w:val="000000"/>
          <w:spacing w:val="0"/>
          <w:kern w:val="0"/>
          <w:sz w:val="32"/>
          <w:szCs w:val="32"/>
          <w:lang w:val="en-US" w:eastAsia="zh-CN" w:bidi="ar"/>
        </w:rPr>
        <w:t>要对照全区高质量发展要求，落实积极财税政策，健全财税协同与板块联动机制，强化收入预期管理，加速推进土地出让，加强重点税源监测，持续抓好免抵调库向上争取工作，充分挖掘非税收入增长空间，构建完善高效的非税收入征管体系，坚持量质并举导向，努力达成既定目标。</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楷体_GB2312" w:hAnsi="宋体" w:eastAsia="楷体_GB2312" w:cs="楷体_GB2312"/>
          <w:b/>
          <w:i w:val="0"/>
          <w:caps w:val="0"/>
          <w:color w:val="000000"/>
          <w:spacing w:val="0"/>
          <w:kern w:val="0"/>
          <w:sz w:val="32"/>
          <w:szCs w:val="32"/>
          <w:lang w:val="en-US" w:eastAsia="zh-CN" w:bidi="ar"/>
        </w:rPr>
        <w:t>（二）关于现代产业体系预期目标</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b/>
          <w:i w:val="0"/>
          <w:caps w:val="0"/>
          <w:color w:val="000000"/>
          <w:spacing w:val="0"/>
          <w:kern w:val="0"/>
          <w:sz w:val="32"/>
          <w:szCs w:val="32"/>
          <w:lang w:val="en-US" w:eastAsia="zh-CN" w:bidi="ar"/>
        </w:rPr>
        <w:t>1.高新技术产业产值占规模以上工业产值比重目标为62%以上；工业战略性新兴产业产值占工业总产值比重目标为47%；有效高新技术企业数目标为力争超1800家。</w:t>
      </w:r>
      <w:r>
        <w:rPr>
          <w:rFonts w:hint="eastAsia" w:ascii="仿宋_GB2312" w:hAnsi="宋体" w:eastAsia="仿宋_GB2312" w:cs="仿宋_GB2312"/>
          <w:i w:val="0"/>
          <w:caps w:val="0"/>
          <w:color w:val="000000"/>
          <w:spacing w:val="0"/>
          <w:kern w:val="0"/>
          <w:sz w:val="32"/>
          <w:szCs w:val="32"/>
          <w:lang w:val="en-US" w:eastAsia="zh-CN" w:bidi="ar"/>
        </w:rPr>
        <w:t>要以创新主体梯度培育和创新载体能级提升为双引擎，围绕企业成长全生命周期，加快落实各项精准扶持举措，深入实施高新技术企业培育“小升高”行动，通过免申即享、直达快享提升政策落地效率，多措并举鼓励企业加大创新投入、持续提高创新能力，为有效高新技术企业数净增长筑牢源头活水。大力支持创新型企业集群崛起，带动高新技术产业、战略性新兴产业产值稳步攀升。支持龙头企业携手科研院所，以联合共建、参与建设等方式争创省级重点实验室，同步组建创新联合体开展关键核心技术攻关，以高能级研发载体赋能企业创新能力提升，为产业向高端化、智能化、绿色化转型注入强劲动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b/>
          <w:i w:val="0"/>
          <w:caps w:val="0"/>
          <w:color w:val="000000"/>
          <w:spacing w:val="0"/>
          <w:kern w:val="0"/>
          <w:sz w:val="32"/>
          <w:szCs w:val="32"/>
          <w:lang w:val="en-US" w:eastAsia="zh-CN" w:bidi="ar"/>
        </w:rPr>
        <w:t>2.人工智能核心产业营业收入目标为增长16%；新增人工智能典型应用场景数目标为20个（市级以上）；备案生成式人工智能服务机算法数目标为1款、3个。</w:t>
      </w:r>
      <w:r>
        <w:rPr>
          <w:rFonts w:hint="eastAsia" w:ascii="仿宋_GB2312" w:hAnsi="宋体" w:eastAsia="仿宋_GB2312" w:cs="仿宋_GB2312"/>
          <w:i w:val="0"/>
          <w:caps w:val="0"/>
          <w:color w:val="000000"/>
          <w:spacing w:val="0"/>
          <w:kern w:val="0"/>
          <w:sz w:val="32"/>
          <w:szCs w:val="32"/>
          <w:lang w:val="en-US" w:eastAsia="zh-CN" w:bidi="ar"/>
        </w:rPr>
        <w:t>要全力培育人工智能新质生产力，在具身智能、大模型算法、机器视觉等重点领域加速突破，持续优化调整人工智能产业链图谱，依托英诺赛科、三大运营商算力中心等链主资源，靶向引进配套企业、上下游企业和生态合作伙伴。高质量建设人工智能特色集聚区，支持苏大未来校区与博众、亨通等龙头企业共建人工智能技术研究中心，积极承担重大科研项目和联合技术攻关。深化“AI+吴江”行动，建立健全“场景挖掘—试点示范—规模推广”全周期机制，在低空、教育、医疗等重点领域推动场景培育开放，全面赋能产业转型、社会治理和民生服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b/>
          <w:i w:val="0"/>
          <w:caps w:val="0"/>
          <w:color w:val="000000"/>
          <w:spacing w:val="0"/>
          <w:kern w:val="0"/>
          <w:sz w:val="32"/>
          <w:szCs w:val="32"/>
          <w:lang w:val="en-US" w:eastAsia="zh-CN" w:bidi="ar"/>
        </w:rPr>
        <w:t>3.规上数字经济核心产业企业营业收入占规上企业营业收入比重目标为28.8%左右。</w:t>
      </w:r>
      <w:r>
        <w:rPr>
          <w:rFonts w:hint="eastAsia" w:ascii="仿宋_GB2312" w:hAnsi="宋体" w:eastAsia="仿宋_GB2312" w:cs="仿宋_GB2312"/>
          <w:i w:val="0"/>
          <w:caps w:val="0"/>
          <w:color w:val="000000"/>
          <w:spacing w:val="0"/>
          <w:kern w:val="0"/>
          <w:sz w:val="32"/>
          <w:szCs w:val="32"/>
          <w:lang w:val="en-US" w:eastAsia="zh-CN" w:bidi="ar"/>
        </w:rPr>
        <w:t>要锚定“数字经济核心承载区”发展目标，抢抓数字经济关键增量，聚焦“算力供给、场景应用、数据共享、产业集聚”四大高地建设，推动数字经济高质量发展、助力打造长三角一体化发展示范窗口。提升智算要素供给，加快建设“东数西算”长三角算力调度中心、中国移动长三角（苏州）汾湖智算中心等项目。打造行业数字化标杆，加快建设重点产业大脑、强化政产学研用协同创新形成闭环机制，激活数据要素潜能，全面夯实数字经济发展基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b/>
          <w:i w:val="0"/>
          <w:caps w:val="0"/>
          <w:color w:val="000000"/>
          <w:spacing w:val="0"/>
          <w:kern w:val="0"/>
          <w:sz w:val="32"/>
          <w:szCs w:val="32"/>
          <w:lang w:val="en-US" w:eastAsia="zh-CN" w:bidi="ar"/>
        </w:rPr>
        <w:t>4.建成基础级及以上水平智能工厂数目标为完成市下达任务，其中：建成卓越级和领航级智能工厂数目标为力争创建1家；国家级专精特新“小巨人”企业数目标为新增20家左右。</w:t>
      </w:r>
      <w:r>
        <w:rPr>
          <w:rFonts w:hint="eastAsia" w:ascii="仿宋_GB2312" w:hAnsi="宋体" w:eastAsia="仿宋_GB2312" w:cs="仿宋_GB2312"/>
          <w:i w:val="0"/>
          <w:caps w:val="0"/>
          <w:color w:val="000000"/>
          <w:spacing w:val="0"/>
          <w:kern w:val="0"/>
          <w:sz w:val="32"/>
          <w:szCs w:val="32"/>
          <w:lang w:val="en-US" w:eastAsia="zh-CN" w:bidi="ar"/>
        </w:rPr>
        <w:t>要深入推进人工智能赋能新型工业化行动，培育更多人工智能大模型、应用场景、终端产品和典型案例。实施智能工厂梯度培育计划，争取创建更多先进级、卓越级、领航级智能工厂。支持骨干企业做精做专，实施新一轮专精特新培育三年行动计划，优化和创新培育方式，推动专精特新中小企业培育工作取得新突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b/>
          <w:i w:val="0"/>
          <w:caps w:val="0"/>
          <w:color w:val="000000"/>
          <w:spacing w:val="0"/>
          <w:kern w:val="0"/>
          <w:sz w:val="32"/>
          <w:szCs w:val="32"/>
          <w:lang w:val="en-US" w:eastAsia="zh-CN" w:bidi="ar"/>
        </w:rPr>
        <w:t>4.规上生产性服务业营业收入目标为增长10%左右。</w:t>
      </w:r>
      <w:r>
        <w:rPr>
          <w:rFonts w:hint="eastAsia" w:ascii="仿宋_GB2312" w:hAnsi="宋体" w:eastAsia="仿宋_GB2312" w:cs="仿宋_GB2312"/>
          <w:i w:val="0"/>
          <w:caps w:val="0"/>
          <w:color w:val="000000"/>
          <w:spacing w:val="0"/>
          <w:kern w:val="0"/>
          <w:sz w:val="32"/>
          <w:szCs w:val="32"/>
          <w:lang w:val="en-US" w:eastAsia="zh-CN" w:bidi="ar"/>
        </w:rPr>
        <w:t>要锚定服务业三年倍增行动计划，以精准举措推动产业提质增效。一方面聚焦重点领域靶向发力，强化优质项目招引储备，为产业发展注入强劲动能；另一方面深化先进制造业与现代服务业“两业”深度融合，构建完善服务业企业梯度培育体系，分类施策培育一批具有核心竞争力的领军企业，持续推动规上企业数量扩容、规模壮大、质量跃升，为区域经济高质量发展筑牢生产性服务业支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楷体_GB2312" w:hAnsi="宋体" w:eastAsia="楷体_GB2312" w:cs="楷体_GB2312"/>
          <w:b/>
          <w:i w:val="0"/>
          <w:caps w:val="0"/>
          <w:color w:val="000000"/>
          <w:spacing w:val="0"/>
          <w:kern w:val="0"/>
          <w:sz w:val="32"/>
          <w:szCs w:val="32"/>
          <w:lang w:val="en-US" w:eastAsia="zh-CN" w:bidi="ar"/>
        </w:rPr>
        <w:t>（三）关于科教人才支撑预期目标</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b/>
          <w:i w:val="0"/>
          <w:caps w:val="0"/>
          <w:color w:val="000000"/>
          <w:spacing w:val="0"/>
          <w:kern w:val="0"/>
          <w:sz w:val="32"/>
          <w:szCs w:val="32"/>
          <w:lang w:val="en-US" w:eastAsia="zh-CN" w:bidi="ar"/>
        </w:rPr>
        <w:t>1.全社会研究与试验发展经费支出占地区生产总值的比重目标为4.2%左右；规上工业企业研究与试验发展经费投入目标为增长8%左右；技术合同成交额目标为120亿元左右。</w:t>
      </w:r>
      <w:r>
        <w:rPr>
          <w:rFonts w:hint="eastAsia" w:ascii="仿宋_GB2312" w:hAnsi="宋体" w:eastAsia="仿宋_GB2312" w:cs="仿宋_GB2312"/>
          <w:i w:val="0"/>
          <w:caps w:val="0"/>
          <w:color w:val="000000"/>
          <w:spacing w:val="0"/>
          <w:kern w:val="0"/>
          <w:sz w:val="32"/>
          <w:szCs w:val="32"/>
          <w:lang w:val="en-US" w:eastAsia="zh-CN" w:bidi="ar"/>
        </w:rPr>
        <w:t>要深度联动创新链、产业链、供应链协同发力，强化高新区、示范区和长三角区域的链上贯通、融合赋能，着力打造共创、共融、共赢、共生的优质产业生态。抓实各类研发机构建设，坚持分层分类引导、梯次培育推进、提质增效赋能，持续推动规上工业企业研发机构建设提质扩面，全力争创更多市级以上研发机构；重点支持领军企业牵头争创省重点实验室等高能级创新平台，以平台能级跃升夯实创新发展根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b/>
          <w:i w:val="0"/>
          <w:caps w:val="0"/>
          <w:color w:val="000000"/>
          <w:spacing w:val="0"/>
          <w:kern w:val="0"/>
          <w:sz w:val="32"/>
          <w:szCs w:val="32"/>
          <w:lang w:val="en-US" w:eastAsia="zh-CN" w:bidi="ar"/>
        </w:rPr>
        <w:t>2.每万人口高价值发明专利拥有量目标为50件。</w:t>
      </w:r>
      <w:r>
        <w:rPr>
          <w:rFonts w:hint="eastAsia" w:ascii="仿宋_GB2312" w:hAnsi="宋体" w:eastAsia="仿宋_GB2312" w:cs="仿宋_GB2312"/>
          <w:i w:val="0"/>
          <w:caps w:val="0"/>
          <w:color w:val="000000"/>
          <w:spacing w:val="0"/>
          <w:kern w:val="0"/>
          <w:sz w:val="32"/>
          <w:szCs w:val="32"/>
          <w:lang w:val="en-US" w:eastAsia="zh-CN" w:bidi="ar"/>
        </w:rPr>
        <w:t>要持续推进苏州大学未来校区、清华汽研院、工联院江苏分院、国家先进功能纤维创新中心等科创平台建设进度，促进科技成果在本地转移转化。进一步推动由领军企业牵头、高校院所支撑、各创新主体相互协同的高质量创新联合体建设，协同攻关产业关键核心技术和“卡脖子”难题，加速科技成果向生产力转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b/>
          <w:i w:val="0"/>
          <w:caps w:val="0"/>
          <w:color w:val="000000"/>
          <w:spacing w:val="0"/>
          <w:kern w:val="0"/>
          <w:sz w:val="32"/>
          <w:szCs w:val="32"/>
          <w:lang w:val="en-US" w:eastAsia="zh-CN" w:bidi="ar"/>
        </w:rPr>
        <w:t>3.每万劳动力中高技能人才数目标为1649人。</w:t>
      </w:r>
      <w:r>
        <w:rPr>
          <w:rFonts w:hint="eastAsia" w:ascii="仿宋_GB2312" w:hAnsi="宋体" w:eastAsia="仿宋_GB2312" w:cs="仿宋_GB2312"/>
          <w:i w:val="0"/>
          <w:caps w:val="0"/>
          <w:color w:val="000000"/>
          <w:spacing w:val="0"/>
          <w:kern w:val="0"/>
          <w:sz w:val="32"/>
          <w:szCs w:val="32"/>
          <w:lang w:val="en-US" w:eastAsia="zh-CN" w:bidi="ar"/>
        </w:rPr>
        <w:t>要坚持以“技能照亮前程”“技能吴江”两大行动为抓手，聚焦先进制造、数字经济等重点领域大规模开展职业技能培训，深入推动企业职称自主评审扩容提质，健全专业技术人才与高技能人才贯通体系。完善高技能领军人才“选育管用”全链条培育机制，加速培育一批“高精尖缺”技能大师，打造技能人才标杆力量。</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b/>
          <w:i w:val="0"/>
          <w:caps w:val="0"/>
          <w:color w:val="000000"/>
          <w:spacing w:val="0"/>
          <w:kern w:val="0"/>
          <w:sz w:val="32"/>
          <w:szCs w:val="32"/>
          <w:lang w:val="en-US" w:eastAsia="zh-CN" w:bidi="ar"/>
        </w:rPr>
        <w:t>4.新增大专以上学历人才目标为3.5万人。</w:t>
      </w:r>
      <w:r>
        <w:rPr>
          <w:rFonts w:hint="eastAsia" w:ascii="仿宋_GB2312" w:hAnsi="宋体" w:eastAsia="仿宋_GB2312" w:cs="仿宋_GB2312"/>
          <w:i w:val="0"/>
          <w:caps w:val="0"/>
          <w:color w:val="000000"/>
          <w:spacing w:val="0"/>
          <w:kern w:val="0"/>
          <w:sz w:val="32"/>
          <w:szCs w:val="32"/>
          <w:lang w:val="en-US" w:eastAsia="zh-CN" w:bidi="ar"/>
        </w:rPr>
        <w:t>要着力构建精准高效的人才招引体系，持续做精“校园苏州日”“吴江国际精英周”等品牌活动，吸引集聚高校毕业生和高层次人才。聚焦人才引进、培养、激励、服务等方面，推进政策从“普惠式”向“精准化”转变，提升人才感受度与获得感。优化人才协同创新合作机制，构建国际人才创新港，推动支持各类科创园、产业园孵化器加速器提质增效，促进人才项目落地孵化和成长壮大。全方位优化高层次人才服务，在安居保障、子女教育等方面提供高效便捷服务，营造近悦远来的人才生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楷体_GB2312" w:hAnsi="宋体" w:eastAsia="楷体_GB2312" w:cs="楷体_GB2312"/>
          <w:b/>
          <w:i w:val="0"/>
          <w:caps w:val="0"/>
          <w:color w:val="000000"/>
          <w:spacing w:val="0"/>
          <w:kern w:val="0"/>
          <w:sz w:val="32"/>
          <w:szCs w:val="32"/>
          <w:lang w:val="en-US" w:eastAsia="zh-CN" w:bidi="ar"/>
        </w:rPr>
        <w:t>（四）关于公共服务能力预期目标</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b/>
          <w:i w:val="0"/>
          <w:caps w:val="0"/>
          <w:color w:val="000000"/>
          <w:spacing w:val="0"/>
          <w:kern w:val="0"/>
          <w:sz w:val="32"/>
          <w:szCs w:val="32"/>
          <w:lang w:val="en-US" w:eastAsia="zh-CN" w:bidi="ar"/>
        </w:rPr>
        <w:t>1.基本养老保险参保人数目标为102万人；基本医疗保险参保人数目标为130万人。</w:t>
      </w:r>
      <w:r>
        <w:rPr>
          <w:rFonts w:hint="eastAsia" w:ascii="仿宋_GB2312" w:hAnsi="宋体" w:eastAsia="仿宋_GB2312" w:cs="仿宋_GB2312"/>
          <w:i w:val="0"/>
          <w:caps w:val="0"/>
          <w:color w:val="000000"/>
          <w:spacing w:val="0"/>
          <w:kern w:val="0"/>
          <w:sz w:val="32"/>
          <w:szCs w:val="32"/>
          <w:lang w:val="en-US" w:eastAsia="zh-CN" w:bidi="ar"/>
        </w:rPr>
        <w:t>要网格化摸排灵活就业、新业态、城乡未参保群体，落实社保补贴政策，优化经办服务质效，全力稳固医保参保规模。要全方位织密社会保障安全网，多措并举推动社保医保参保扩面提质，切实兜牢民生底线、守护群众福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b/>
          <w:i w:val="0"/>
          <w:caps w:val="0"/>
          <w:color w:val="000000"/>
          <w:spacing w:val="0"/>
          <w:kern w:val="0"/>
          <w:sz w:val="32"/>
          <w:szCs w:val="32"/>
          <w:lang w:val="en-US" w:eastAsia="zh-CN" w:bidi="ar"/>
        </w:rPr>
        <w:t>2.城市更新项目投资完成额目标为5.5亿元。</w:t>
      </w:r>
      <w:r>
        <w:rPr>
          <w:rFonts w:hint="eastAsia" w:ascii="仿宋_GB2312" w:hAnsi="宋体" w:eastAsia="仿宋_GB2312" w:cs="仿宋_GB2312"/>
          <w:i w:val="0"/>
          <w:caps w:val="0"/>
          <w:color w:val="000000"/>
          <w:spacing w:val="0"/>
          <w:kern w:val="0"/>
          <w:sz w:val="32"/>
          <w:szCs w:val="32"/>
          <w:lang w:val="en-US" w:eastAsia="zh-CN" w:bidi="ar"/>
        </w:rPr>
        <w:t>要全面深入推进城市更新工作，统筹推进规划引领、要素保障、民生兜底，以改促提升、以造惠民生，切实改善人居环境、完善城市功能、拓展发展空间，持续增进民生福祉、提升城市品质。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b/>
          <w:i w:val="0"/>
          <w:caps w:val="0"/>
          <w:color w:val="000000"/>
          <w:spacing w:val="0"/>
          <w:kern w:val="0"/>
          <w:sz w:val="32"/>
          <w:szCs w:val="32"/>
          <w:lang w:val="en-US" w:eastAsia="zh-CN" w:bidi="ar"/>
        </w:rPr>
        <w:t>3.每千名3岁以下婴幼儿拥有托位数目标为260个。</w:t>
      </w:r>
      <w:r>
        <w:rPr>
          <w:rFonts w:hint="eastAsia" w:ascii="仿宋_GB2312" w:hAnsi="宋体" w:eastAsia="仿宋_GB2312" w:cs="仿宋_GB2312"/>
          <w:i w:val="0"/>
          <w:caps w:val="0"/>
          <w:color w:val="000000"/>
          <w:spacing w:val="0"/>
          <w:kern w:val="0"/>
          <w:sz w:val="32"/>
          <w:szCs w:val="32"/>
          <w:lang w:val="en-US" w:eastAsia="zh-CN" w:bidi="ar"/>
        </w:rPr>
        <w:t>要大力发展普惠托育服务，建立“公建为主、民办补充”的托育服务体系，健全托育服务规范和保障机制，强化从业人员培训，提升服务质量，持续完善人口与需求相匹配的社区托育服务，切实提升群众获得感幸福感。</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楷体_GB2312" w:hAnsi="宋体" w:eastAsia="楷体_GB2312" w:cs="楷体_GB2312"/>
          <w:b/>
          <w:i w:val="0"/>
          <w:caps w:val="0"/>
          <w:color w:val="000000"/>
          <w:spacing w:val="0"/>
          <w:kern w:val="0"/>
          <w:sz w:val="32"/>
          <w:szCs w:val="32"/>
          <w:lang w:val="en-US" w:eastAsia="zh-CN" w:bidi="ar"/>
        </w:rPr>
        <w:t>4.普惠支持型养老机构床位数占比目标为12%。</w:t>
      </w:r>
      <w:r>
        <w:rPr>
          <w:rFonts w:hint="eastAsia" w:ascii="仿宋_GB2312" w:hAnsi="宋体" w:eastAsia="仿宋_GB2312" w:cs="仿宋_GB2312"/>
          <w:i w:val="0"/>
          <w:caps w:val="0"/>
          <w:color w:val="000000"/>
          <w:spacing w:val="0"/>
          <w:kern w:val="0"/>
          <w:sz w:val="32"/>
          <w:szCs w:val="32"/>
          <w:lang w:val="en-US" w:eastAsia="zh-CN" w:bidi="ar"/>
        </w:rPr>
        <w:t>要夯实“吴优颐养”服务基础，加快护理型床位建设，重点增强失能老人照护能力。要实施养老机构等级评定与标准化管理，推动医疗资源与养老服务深度融合，构建覆盖全面、医养协同的整合型服务体系。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楷体_GB2312" w:hAnsi="宋体" w:eastAsia="楷体_GB2312" w:cs="楷体_GB2312"/>
          <w:b/>
          <w:i w:val="0"/>
          <w:caps w:val="0"/>
          <w:color w:val="000000"/>
          <w:spacing w:val="0"/>
          <w:kern w:val="0"/>
          <w:sz w:val="32"/>
          <w:szCs w:val="32"/>
          <w:lang w:val="en-US" w:eastAsia="zh-CN" w:bidi="ar"/>
        </w:rPr>
        <w:t>（五）关于人民共同富裕预期目标</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b/>
          <w:i w:val="0"/>
          <w:caps w:val="0"/>
          <w:color w:val="000000"/>
          <w:spacing w:val="0"/>
          <w:kern w:val="0"/>
          <w:sz w:val="32"/>
          <w:szCs w:val="32"/>
          <w:lang w:val="en-US" w:eastAsia="zh-CN" w:bidi="ar"/>
        </w:rPr>
        <w:t>1.居民人均可支配收入目标为与经济增长同步；城乡居民收入倍差目标为稳步降低。</w:t>
      </w:r>
      <w:r>
        <w:rPr>
          <w:rFonts w:hint="eastAsia" w:ascii="仿宋_GB2312" w:hAnsi="宋体" w:eastAsia="仿宋_GB2312" w:cs="仿宋_GB2312"/>
          <w:i w:val="0"/>
          <w:caps w:val="0"/>
          <w:color w:val="000000"/>
          <w:spacing w:val="0"/>
          <w:kern w:val="0"/>
          <w:sz w:val="32"/>
          <w:szCs w:val="32"/>
          <w:lang w:val="en-US" w:eastAsia="zh-CN" w:bidi="ar"/>
        </w:rPr>
        <w:t>要统筹推动乡村全面振兴和城乡融合发展，深入落实示范区共同富裕实施方案，全力推动富民增收，不断夯实共同富裕物质基础。要大力发展集体经济，深化农村集体经营性建设用地入市改革，稳健运作乡村振兴母基金，建立健全联农带农机制，拓展农民就业创业渠道，持续缩小城乡居民收入差距，不断增强公共服务均衡普惠，积极探索促进全体人民共同富裕经验、争作示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b/>
          <w:i w:val="0"/>
          <w:caps w:val="0"/>
          <w:color w:val="000000"/>
          <w:spacing w:val="0"/>
          <w:kern w:val="0"/>
          <w:sz w:val="32"/>
          <w:szCs w:val="32"/>
          <w:lang w:val="en-US" w:eastAsia="zh-CN" w:bidi="ar"/>
        </w:rPr>
        <w:t>2.城镇新增就业人数目标为4.2万人；新增就业参保大学生人数目标为1.1万人。</w:t>
      </w:r>
      <w:r>
        <w:rPr>
          <w:rFonts w:hint="eastAsia" w:ascii="仿宋_GB2312" w:hAnsi="宋体" w:eastAsia="仿宋_GB2312" w:cs="仿宋_GB2312"/>
          <w:i w:val="0"/>
          <w:caps w:val="0"/>
          <w:color w:val="000000"/>
          <w:spacing w:val="0"/>
          <w:kern w:val="0"/>
          <w:sz w:val="32"/>
          <w:szCs w:val="32"/>
          <w:lang w:val="en-US" w:eastAsia="zh-CN" w:bidi="ar"/>
        </w:rPr>
        <w:t>要持续深耕“乐业吴江”工程，推进零工市场、人力资源市场等就业服务载体建设，加大稳岗扩岗力度。要健全重点群体的兜底安置机制，加大基层服务岗位和公益性岗位的托底安置力度。要抓好高校毕业生等重点群体就业服务，建立“家门口”就业服务站，提升在吴高校毕业生本地就业率。</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楷体_GB2312" w:hAnsi="宋体" w:eastAsia="楷体_GB2312" w:cs="楷体_GB2312"/>
          <w:b/>
          <w:i w:val="0"/>
          <w:caps w:val="0"/>
          <w:color w:val="000000"/>
          <w:spacing w:val="0"/>
          <w:kern w:val="0"/>
          <w:sz w:val="32"/>
          <w:szCs w:val="32"/>
          <w:lang w:val="en-US" w:eastAsia="zh-CN" w:bidi="ar"/>
        </w:rPr>
        <w:t>（六）关于绿色转型发展预期目标</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b/>
          <w:i w:val="0"/>
          <w:caps w:val="0"/>
          <w:color w:val="000000"/>
          <w:spacing w:val="0"/>
          <w:kern w:val="0"/>
          <w:sz w:val="32"/>
          <w:szCs w:val="32"/>
          <w:lang w:val="en-US" w:eastAsia="zh-CN" w:bidi="ar"/>
        </w:rPr>
        <w:t>PM</w:t>
      </w:r>
      <w:r>
        <w:rPr>
          <w:rFonts w:hint="eastAsia" w:ascii="仿宋_GB2312" w:hAnsi="宋体" w:eastAsia="仿宋_GB2312" w:cs="仿宋_GB2312"/>
          <w:b/>
          <w:i w:val="0"/>
          <w:caps w:val="0"/>
          <w:color w:val="000000"/>
          <w:spacing w:val="0"/>
          <w:kern w:val="0"/>
          <w:sz w:val="32"/>
          <w:szCs w:val="32"/>
          <w:vertAlign w:val="subscript"/>
          <w:lang w:val="en-US" w:eastAsia="zh-CN" w:bidi="ar"/>
        </w:rPr>
        <w:t>2.5</w:t>
      </w:r>
      <w:r>
        <w:rPr>
          <w:rFonts w:hint="eastAsia" w:ascii="仿宋_GB2312" w:hAnsi="宋体" w:eastAsia="仿宋_GB2312" w:cs="仿宋_GB2312"/>
          <w:b/>
          <w:i w:val="0"/>
          <w:caps w:val="0"/>
          <w:color w:val="000000"/>
          <w:spacing w:val="0"/>
          <w:kern w:val="0"/>
          <w:sz w:val="32"/>
          <w:szCs w:val="32"/>
          <w:lang w:val="en-US" w:eastAsia="zh-CN" w:bidi="ar"/>
        </w:rPr>
        <w:t>浓度、空气质量优良天数比例、优良水体比例、主要污染物排放总量削减目标为完成上级下达任务。</w:t>
      </w:r>
      <w:r>
        <w:rPr>
          <w:rFonts w:hint="eastAsia" w:ascii="仿宋_GB2312" w:hAnsi="宋体" w:eastAsia="仿宋_GB2312" w:cs="仿宋_GB2312"/>
          <w:i w:val="0"/>
          <w:caps w:val="0"/>
          <w:color w:val="000000"/>
          <w:spacing w:val="0"/>
          <w:kern w:val="0"/>
          <w:sz w:val="32"/>
          <w:szCs w:val="32"/>
          <w:lang w:val="en-US" w:eastAsia="zh-CN" w:bidi="ar"/>
        </w:rPr>
        <w:t>要健全绿色低碳发展机制，全面落实推进制造业绿色发展三年行动计划，培育一批零碳（近零碳）产业园、零碳（近零碳）工厂，促进降碳减污扩绿协同增效，不断提升经济发展的含绿量、含新量。加强生态资源保护利用，抓好重点河湖保护工作，推动“治污染”向“护生态”转变。不断加大“三水同治”力度，坚持大气“四源共治”，持续推进“无废城市”建设，坚定扛牢生态环境保护责任，全力推进美丽吴江建设，扎实推进人与自然和谐共生现代化吴江新实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楷体_GB2312" w:hAnsi="宋体" w:eastAsia="楷体_GB2312" w:cs="楷体_GB2312"/>
          <w:b/>
          <w:i w:val="0"/>
          <w:caps w:val="0"/>
          <w:color w:val="000000"/>
          <w:spacing w:val="0"/>
          <w:kern w:val="0"/>
          <w:sz w:val="32"/>
          <w:szCs w:val="32"/>
          <w:lang w:val="en-US" w:eastAsia="zh-CN" w:bidi="ar"/>
        </w:rPr>
        <w:t>（七）关于安全保障水平预期目标</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b/>
          <w:i w:val="0"/>
          <w:caps w:val="0"/>
          <w:color w:val="000000"/>
          <w:spacing w:val="0"/>
          <w:kern w:val="0"/>
          <w:sz w:val="32"/>
          <w:szCs w:val="32"/>
          <w:lang w:val="en-US" w:eastAsia="zh-CN" w:bidi="ar"/>
        </w:rPr>
        <w:t>1.耕地保有量目标为完成上级下达任务。</w:t>
      </w:r>
      <w:r>
        <w:rPr>
          <w:rFonts w:hint="eastAsia" w:ascii="仿宋_GB2312" w:hAnsi="宋体" w:eastAsia="仿宋_GB2312" w:cs="仿宋_GB2312"/>
          <w:i w:val="0"/>
          <w:caps w:val="0"/>
          <w:color w:val="000000"/>
          <w:spacing w:val="0"/>
          <w:kern w:val="0"/>
          <w:sz w:val="32"/>
          <w:szCs w:val="32"/>
          <w:lang w:val="en-US" w:eastAsia="zh-CN" w:bidi="ar"/>
        </w:rPr>
        <w:t>要严格耕地和永久基本农田用途管控，确保良田粮用。推进占补平衡改革落地，坚决做到各类占用耕地补足补优，确保耕地逐年稳步净流入。持续推进耕地布局优化质量提升，严守耕地保护红线，统筹耕地、林地协同保护。提升耕地保护执法监管效能，对新增违法“零容忍”，聚焦违法用地“三张清单”，推动存量违法整改销号，坚决守牢耕地保护红线，筑牢粮食安全底线。</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b/>
          <w:i w:val="0"/>
          <w:caps w:val="0"/>
          <w:color w:val="000000"/>
          <w:spacing w:val="0"/>
          <w:kern w:val="0"/>
          <w:sz w:val="32"/>
          <w:szCs w:val="32"/>
          <w:lang w:val="en-US" w:eastAsia="zh-CN" w:bidi="ar"/>
        </w:rPr>
        <w:t>2.粮食综合生产能力目标为产量保持稳定，完成市下达粮食播种面积任务。</w:t>
      </w:r>
      <w:r>
        <w:rPr>
          <w:rFonts w:hint="eastAsia" w:ascii="仿宋_GB2312" w:hAnsi="宋体" w:eastAsia="仿宋_GB2312" w:cs="仿宋_GB2312"/>
          <w:i w:val="0"/>
          <w:caps w:val="0"/>
          <w:color w:val="000000"/>
          <w:spacing w:val="0"/>
          <w:kern w:val="0"/>
          <w:sz w:val="32"/>
          <w:szCs w:val="32"/>
          <w:lang w:val="en-US" w:eastAsia="zh-CN" w:bidi="ar"/>
        </w:rPr>
        <w:t>大力发展农业新质生产力，打造“1+3+25”区域性农业综合服务中心布局，进一步夯实“藏粮于技”基础，围绕“逐步把永久基本农田建成高标准农田”目标，加快推进全区高标准农田连片化建设，确保粮食和重要农产品稳产保供。</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b/>
          <w:i w:val="0"/>
          <w:caps w:val="0"/>
          <w:color w:val="000000"/>
          <w:spacing w:val="0"/>
          <w:kern w:val="0"/>
          <w:sz w:val="32"/>
          <w:szCs w:val="32"/>
          <w:lang w:val="en-US" w:eastAsia="zh-CN" w:bidi="ar"/>
        </w:rPr>
        <w:t>3.安全生产目标为不发生重特大生产安全事故。</w:t>
      </w:r>
      <w:r>
        <w:rPr>
          <w:rFonts w:hint="eastAsia" w:ascii="仿宋_GB2312" w:hAnsi="宋体" w:eastAsia="仿宋_GB2312" w:cs="仿宋_GB2312"/>
          <w:i w:val="0"/>
          <w:caps w:val="0"/>
          <w:color w:val="000000"/>
          <w:spacing w:val="0"/>
          <w:kern w:val="0"/>
          <w:sz w:val="32"/>
          <w:szCs w:val="32"/>
          <w:lang w:val="en-US" w:eastAsia="zh-CN" w:bidi="ar"/>
        </w:rPr>
        <w:t>深入推进安全生产“六化”建设，建立健全安全生产底数、风险、措施、责任和动态“五张清单”，深化“一件事”全链条治理，加快构建基层安全生产和消防“五位一体”工作体系，扎实开展安全隐患排查整治，着力防范化解各类风险，坚决守牢“六个不发生”安全底线，确保社会大局平安稳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caps w:val="0"/>
          <w:color w:val="000000"/>
          <w:spacing w:val="0"/>
          <w:sz w:val="18"/>
          <w:szCs w:val="18"/>
        </w:rPr>
      </w:pPr>
      <w:r>
        <w:rPr>
          <w:rFonts w:hint="eastAsia" w:ascii="仿宋_GB2312" w:hAnsi="宋体" w:eastAsia="仿宋_GB2312" w:cs="仿宋_GB2312"/>
          <w:i w:val="0"/>
          <w:caps w:val="0"/>
          <w:color w:val="000000"/>
          <w:spacing w:val="0"/>
          <w:kern w:val="0"/>
          <w:sz w:val="32"/>
          <w:szCs w:val="32"/>
          <w:lang w:val="en-US" w:eastAsia="zh-CN" w:bidi="ar"/>
        </w:rPr>
        <w:t>各位代表，以上报告，请予审议。</w:t>
      </w:r>
    </w:p>
    <w:p>
      <w:pPr>
        <w:keepNext w:val="0"/>
        <w:keepLines w:val="0"/>
        <w:widowControl/>
        <w:suppressLineNumbers w:val="0"/>
        <w:jc w:val="left"/>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1598" w:right="0" w:hanging="960"/>
        <w:jc w:val="left"/>
        <w:rPr>
          <w:rFonts w:ascii="仿宋_GB2312" w:hAnsi="宋体" w:eastAsia="仿宋_GB2312" w:cs="仿宋_GB2312"/>
          <w:i w:val="0"/>
          <w:caps w:val="0"/>
          <w:color w:val="000000"/>
          <w:spacing w:val="0"/>
          <w:kern w:val="0"/>
          <w:sz w:val="32"/>
          <w:szCs w:val="32"/>
          <w:bdr w:val="none" w:color="auto" w:sz="0" w:space="0"/>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1598" w:right="0" w:hanging="960"/>
        <w:jc w:val="left"/>
        <w:rPr>
          <w:rFonts w:hint="eastAsia" w:ascii="宋体" w:hAnsi="宋体" w:eastAsia="宋体" w:cs="宋体"/>
          <w:i w:val="0"/>
          <w:caps w:val="0"/>
          <w:color w:val="000000"/>
          <w:spacing w:val="0"/>
          <w:sz w:val="18"/>
          <w:szCs w:val="18"/>
        </w:rPr>
      </w:pPr>
      <w:r>
        <w:rPr>
          <w:rFonts w:ascii="仿宋_GB2312" w:hAnsi="宋体" w:eastAsia="仿宋_GB2312" w:cs="仿宋_GB2312"/>
          <w:i w:val="0"/>
          <w:caps w:val="0"/>
          <w:color w:val="000000"/>
          <w:spacing w:val="0"/>
          <w:kern w:val="0"/>
          <w:sz w:val="32"/>
          <w:szCs w:val="32"/>
          <w:bdr w:val="none" w:color="auto" w:sz="0" w:space="0"/>
          <w:lang w:val="en-US" w:eastAsia="zh-CN" w:bidi="ar"/>
        </w:rPr>
        <w:t>附件：</w:t>
      </w:r>
      <w:r>
        <w:rPr>
          <w:rFonts w:hint="eastAsia" w:ascii="仿宋_GB2312" w:hAnsi="宋体" w:eastAsia="仿宋_GB2312" w:cs="仿宋_GB2312"/>
          <w:i w:val="0"/>
          <w:caps w:val="0"/>
          <w:color w:val="000000"/>
          <w:spacing w:val="0"/>
          <w:kern w:val="0"/>
          <w:sz w:val="32"/>
          <w:szCs w:val="32"/>
          <w:bdr w:val="none" w:color="auto" w:sz="0" w:space="0"/>
          <w:lang w:val="en-US" w:eastAsia="zh-CN" w:bidi="ar"/>
        </w:rPr>
        <w:t>1.2025年度苏州市吴江区国有土地房屋征收旧城区改建项目执行情况</w:t>
      </w:r>
      <w:r>
        <w:rPr>
          <w:rFonts w:hint="eastAsia" w:ascii="仿宋_GB2312" w:hAnsi="宋体" w:eastAsia="仿宋_GB2312" w:cs="仿宋_GB2312"/>
          <w:i w:val="0"/>
          <w:caps w:val="0"/>
          <w:color w:val="000000"/>
          <w:spacing w:val="0"/>
          <w:kern w:val="0"/>
          <w:sz w:val="32"/>
          <w:szCs w:val="32"/>
          <w:bdr w:val="none" w:color="auto" w:sz="0" w:space="0"/>
          <w:lang w:val="en-US" w:eastAsia="zh-CN" w:bidi="ar"/>
        </w:rPr>
        <w:br w:type="textWrapping"/>
      </w:r>
      <w:r>
        <w:rPr>
          <w:rFonts w:hint="eastAsia" w:ascii="仿宋_GB2312" w:hAnsi="宋体" w:eastAsia="仿宋_GB2312" w:cs="仿宋_GB2312"/>
          <w:i w:val="0"/>
          <w:caps w:val="0"/>
          <w:color w:val="000000"/>
          <w:spacing w:val="0"/>
          <w:kern w:val="0"/>
          <w:sz w:val="32"/>
          <w:szCs w:val="32"/>
          <w:bdr w:val="none" w:color="auto" w:sz="0" w:space="0"/>
          <w:lang w:val="en-US" w:eastAsia="zh-CN" w:bidi="ar"/>
        </w:rPr>
        <w:t>2.2026年度苏州市吴江区国有土地上房屋征收计划（旧城区改建部分）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rFonts w:hint="eastAsia" w:ascii="黑体" w:hAnsi="宋体" w:eastAsia="黑体" w:cs="黑体"/>
          <w:i w:val="0"/>
          <w:caps w:val="0"/>
          <w:color w:val="000000"/>
          <w:spacing w:val="0"/>
          <w:sz w:val="32"/>
          <w:szCs w:val="32"/>
          <w:bdr w:val="none" w:color="auto" w:sz="0" w:space="0"/>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rFonts w:hint="eastAsia" w:ascii="黑体" w:hAnsi="宋体" w:eastAsia="黑体" w:cs="黑体"/>
          <w:i w:val="0"/>
          <w:caps w:val="0"/>
          <w:color w:val="000000"/>
          <w:spacing w:val="0"/>
          <w:sz w:val="32"/>
          <w:szCs w:val="32"/>
          <w:bdr w:val="none" w:color="auto" w:sz="0" w:space="0"/>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rFonts w:hint="eastAsia" w:ascii="黑体" w:hAnsi="宋体" w:eastAsia="黑体" w:cs="黑体"/>
          <w:i w:val="0"/>
          <w:caps w:val="0"/>
          <w:color w:val="000000"/>
          <w:spacing w:val="0"/>
          <w:sz w:val="32"/>
          <w:szCs w:val="32"/>
          <w:bdr w:val="none" w:color="auto" w:sz="0" w:space="0"/>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rFonts w:hint="eastAsia" w:ascii="黑体" w:hAnsi="宋体" w:eastAsia="黑体" w:cs="黑体"/>
          <w:i w:val="0"/>
          <w:caps w:val="0"/>
          <w:color w:val="000000"/>
          <w:spacing w:val="0"/>
          <w:sz w:val="32"/>
          <w:szCs w:val="32"/>
          <w:bdr w:val="none" w:color="auto" w:sz="0" w:space="0"/>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rFonts w:hint="eastAsia" w:ascii="黑体" w:hAnsi="宋体" w:eastAsia="黑体" w:cs="黑体"/>
          <w:i w:val="0"/>
          <w:caps w:val="0"/>
          <w:color w:val="000000"/>
          <w:spacing w:val="0"/>
          <w:sz w:val="32"/>
          <w:szCs w:val="32"/>
          <w:bdr w:val="none" w:color="auto" w:sz="0" w:space="0"/>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rFonts w:hint="eastAsia" w:ascii="黑体" w:hAnsi="宋体" w:eastAsia="黑体" w:cs="黑体"/>
          <w:i w:val="0"/>
          <w:caps w:val="0"/>
          <w:color w:val="000000"/>
          <w:spacing w:val="0"/>
          <w:sz w:val="32"/>
          <w:szCs w:val="32"/>
          <w:bdr w:val="none" w:color="auto" w:sz="0" w:space="0"/>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rFonts w:hint="eastAsia" w:ascii="黑体" w:hAnsi="宋体" w:eastAsia="黑体" w:cs="黑体"/>
          <w:i w:val="0"/>
          <w:caps w:val="0"/>
          <w:color w:val="000000"/>
          <w:spacing w:val="0"/>
          <w:sz w:val="32"/>
          <w:szCs w:val="32"/>
          <w:bdr w:val="none" w:color="auto" w:sz="0" w:space="0"/>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rFonts w:hint="eastAsia" w:ascii="黑体" w:hAnsi="宋体" w:eastAsia="黑体" w:cs="黑体"/>
          <w:i w:val="0"/>
          <w:caps w:val="0"/>
          <w:color w:val="000000"/>
          <w:spacing w:val="0"/>
          <w:sz w:val="32"/>
          <w:szCs w:val="32"/>
          <w:bdr w:val="none" w:color="auto" w:sz="0" w:space="0"/>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rFonts w:hint="eastAsia" w:ascii="黑体" w:hAnsi="宋体" w:eastAsia="黑体" w:cs="黑体"/>
          <w:i w:val="0"/>
          <w:caps w:val="0"/>
          <w:color w:val="000000"/>
          <w:spacing w:val="0"/>
          <w:sz w:val="32"/>
          <w:szCs w:val="32"/>
          <w:bdr w:val="none" w:color="auto" w:sz="0" w:space="0"/>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rFonts w:hint="eastAsia" w:ascii="黑体" w:hAnsi="宋体" w:eastAsia="黑体" w:cs="黑体"/>
          <w:i w:val="0"/>
          <w:caps w:val="0"/>
          <w:color w:val="000000"/>
          <w:spacing w:val="0"/>
          <w:sz w:val="32"/>
          <w:szCs w:val="32"/>
          <w:bdr w:val="none" w:color="auto" w:sz="0" w:space="0"/>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rFonts w:hint="eastAsia" w:ascii="黑体" w:hAnsi="宋体" w:eastAsia="黑体" w:cs="黑体"/>
          <w:i w:val="0"/>
          <w:caps w:val="0"/>
          <w:color w:val="000000"/>
          <w:spacing w:val="0"/>
          <w:sz w:val="32"/>
          <w:szCs w:val="32"/>
          <w:bdr w:val="none" w:color="auto" w:sz="0" w:space="0"/>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pPr>
      <w:r>
        <w:rPr>
          <w:rFonts w:hint="eastAsia" w:ascii="黑体" w:hAnsi="宋体" w:eastAsia="黑体" w:cs="黑体"/>
          <w:i w:val="0"/>
          <w:caps w:val="0"/>
          <w:color w:val="000000"/>
          <w:spacing w:val="0"/>
          <w:sz w:val="32"/>
          <w:szCs w:val="32"/>
          <w:bdr w:val="none" w:color="auto" w:sz="0" w:space="0"/>
        </w:rPr>
        <w:t>附件1</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pPr>
      <w:r>
        <w:rPr>
          <w:rFonts w:hint="eastAsia" w:ascii="宋体" w:hAnsi="宋体" w:eastAsia="宋体" w:cs="宋体"/>
          <w:i w:val="0"/>
          <w:caps w:val="0"/>
          <w:color w:val="000000"/>
          <w:spacing w:val="0"/>
          <w:kern w:val="0"/>
          <w:sz w:val="21"/>
          <w:szCs w:val="21"/>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ascii="方正小标宋_GBK" w:hAnsi="方正小标宋_GBK" w:eastAsia="方正小标宋_GBK" w:cs="方正小标宋_GBK"/>
          <w:i w:val="0"/>
          <w:caps w:val="0"/>
          <w:color w:val="000000"/>
          <w:spacing w:val="0"/>
          <w:kern w:val="0"/>
          <w:sz w:val="40"/>
          <w:szCs w:val="40"/>
          <w:bdr w:val="none" w:color="auto" w:sz="0" w:space="0"/>
          <w:lang w:val="en-US" w:eastAsia="zh-CN" w:bidi="ar"/>
        </w:rPr>
        <w:t>202</w:t>
      </w:r>
      <w:r>
        <w:rPr>
          <w:rFonts w:hint="eastAsia" w:ascii="方正小标宋_GBK" w:hAnsi="方正小标宋_GBK" w:eastAsia="方正小标宋_GBK" w:cs="方正小标宋_GBK"/>
          <w:i w:val="0"/>
          <w:caps w:val="0"/>
          <w:color w:val="000000"/>
          <w:spacing w:val="0"/>
          <w:kern w:val="0"/>
          <w:sz w:val="40"/>
          <w:szCs w:val="40"/>
          <w:bdr w:val="none" w:color="auto" w:sz="0" w:space="0"/>
          <w:lang w:val="en-US" w:eastAsia="zh-CN" w:bidi="ar"/>
        </w:rPr>
        <w:t>5年度苏州市吴江区国有土地房屋征收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方正小标宋_GBK" w:hAnsi="方正小标宋_GBK" w:eastAsia="方正小标宋_GBK" w:cs="方正小标宋_GBK"/>
          <w:i w:val="0"/>
          <w:caps w:val="0"/>
          <w:color w:val="000000"/>
          <w:spacing w:val="0"/>
          <w:kern w:val="0"/>
          <w:sz w:val="40"/>
          <w:szCs w:val="40"/>
          <w:bdr w:val="none" w:color="auto" w:sz="0" w:space="0"/>
          <w:lang w:val="en-US" w:eastAsia="zh-CN" w:bidi="ar"/>
        </w:rPr>
        <w:t>旧城区改建项目执行情况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pPr>
      <w:r>
        <w:rPr>
          <w:rFonts w:ascii="文鼎CS仿宋体" w:hAnsi="文鼎CS仿宋体" w:eastAsia="文鼎CS仿宋体" w:cs="文鼎CS仿宋体"/>
          <w:i w:val="0"/>
          <w:caps w:val="0"/>
          <w:color w:val="000000"/>
          <w:spacing w:val="0"/>
          <w:sz w:val="32"/>
          <w:szCs w:val="32"/>
          <w:bdr w:val="none" w:color="auto" w:sz="0" w:space="0"/>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_GB2312" w:hAnsi="宋体" w:eastAsia="仿宋_GB2312" w:cs="仿宋_GB2312"/>
          <w:i w:val="0"/>
          <w:caps w:val="0"/>
          <w:color w:val="000000"/>
          <w:spacing w:val="0"/>
          <w:kern w:val="0"/>
          <w:sz w:val="32"/>
          <w:szCs w:val="32"/>
          <w:bdr w:val="none" w:color="auto" w:sz="0" w:space="0"/>
          <w:lang w:val="en-US" w:eastAsia="zh-CN" w:bidi="ar"/>
        </w:rPr>
        <w:t>列入2025年全区旧城区改建项目共2个，分别为花港湾城中村改造项目和三里桥城中村改造项目，均暂未启动征收程序。</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pPr>
      <w:r>
        <w:rPr>
          <w:rFonts w:hint="default" w:ascii="Times New Roman" w:hAnsi="Times New Roman" w:eastAsia="仿宋_GB2312" w:cs="Times New Roman"/>
          <w:i w:val="0"/>
          <w:caps w:val="0"/>
          <w:color w:val="000000"/>
          <w:spacing w:val="0"/>
          <w:kern w:val="0"/>
          <w:sz w:val="21"/>
          <w:szCs w:val="21"/>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1598" w:right="0" w:hanging="960"/>
        <w:jc w:val="left"/>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1598" w:right="0" w:hanging="960"/>
        <w:jc w:val="left"/>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1598" w:right="0" w:hanging="960"/>
        <w:jc w:val="left"/>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1598" w:right="0" w:hanging="960"/>
        <w:jc w:val="left"/>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1598" w:right="0" w:hanging="960"/>
        <w:jc w:val="left"/>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1598" w:right="0" w:hanging="960"/>
        <w:jc w:val="left"/>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1598" w:right="0" w:hanging="960"/>
        <w:jc w:val="left"/>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1598" w:right="0" w:hanging="960"/>
        <w:jc w:val="left"/>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1598" w:right="0" w:hanging="960"/>
        <w:jc w:val="left"/>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1598" w:right="0" w:hanging="960"/>
        <w:jc w:val="left"/>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1598" w:right="0" w:hanging="960"/>
        <w:jc w:val="left"/>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1598" w:right="0" w:hanging="960"/>
        <w:jc w:val="left"/>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1598" w:right="0" w:hanging="960"/>
        <w:jc w:val="left"/>
      </w:pPr>
    </w:p>
    <w:p>
      <w:pPr>
        <w:keepNext w:val="0"/>
        <w:keepLines w:val="0"/>
        <w:widowControl/>
        <w:suppressLineNumbers w:val="0"/>
        <w:jc w:val="left"/>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pPr>
      <w:r>
        <w:rPr>
          <w:rFonts w:hint="eastAsia" w:ascii="黑体" w:hAnsi="宋体" w:eastAsia="黑体" w:cs="黑体"/>
          <w:i w:val="0"/>
          <w:caps w:val="0"/>
          <w:color w:val="000000"/>
          <w:spacing w:val="0"/>
          <w:kern w:val="0"/>
          <w:sz w:val="32"/>
          <w:szCs w:val="32"/>
          <w:bdr w:val="none" w:color="auto" w:sz="0" w:space="0"/>
          <w:lang w:val="en-US" w:eastAsia="zh-CN" w:bidi="ar"/>
        </w:rPr>
        <w:t>附件2</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pPr>
      <w:r>
        <w:rPr>
          <w:rFonts w:hint="eastAsia" w:ascii="宋体" w:hAnsi="宋体" w:eastAsia="宋体" w:cs="宋体"/>
          <w:i w:val="0"/>
          <w:caps w:val="0"/>
          <w:color w:val="000000"/>
          <w:spacing w:val="0"/>
          <w:kern w:val="0"/>
          <w:sz w:val="21"/>
          <w:szCs w:val="21"/>
          <w:bdr w:val="none" w:color="auto" w:sz="0" w:space="0"/>
          <w:lang w:val="en-US" w:eastAsia="zh-CN" w:bidi="ar"/>
        </w:rPr>
        <w:t> </w:t>
      </w:r>
      <w:bookmarkStart w:id="0" w:name="_GoBack"/>
      <w:bookmarkEnd w:id="0"/>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方正小标宋_GBK" w:hAnsi="方正小标宋_GBK" w:eastAsia="方正小标宋_GBK" w:cs="方正小标宋_GBK"/>
          <w:i w:val="0"/>
          <w:caps w:val="0"/>
          <w:color w:val="000000"/>
          <w:spacing w:val="0"/>
          <w:kern w:val="0"/>
          <w:sz w:val="40"/>
          <w:szCs w:val="40"/>
          <w:bdr w:val="none" w:color="auto" w:sz="0" w:space="0"/>
          <w:lang w:val="en-US" w:eastAsia="zh-CN" w:bidi="ar"/>
        </w:rPr>
        <w:t>2026年度苏州市吴江区国有土地上房屋征收计划</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方正小标宋_GBK" w:hAnsi="方正小标宋_GBK" w:eastAsia="方正小标宋_GBK" w:cs="方正小标宋_GBK"/>
          <w:i w:val="0"/>
          <w:caps w:val="0"/>
          <w:color w:val="000000"/>
          <w:spacing w:val="0"/>
          <w:kern w:val="0"/>
          <w:sz w:val="40"/>
          <w:szCs w:val="40"/>
          <w:bdr w:val="none" w:color="auto" w:sz="0" w:space="0"/>
          <w:lang w:val="en-US" w:eastAsia="zh-CN" w:bidi="ar"/>
        </w:rPr>
        <w:t>旧城区改建部分</w:t>
      </w:r>
    </w:p>
    <w:tbl>
      <w:tblPr>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15" w:type="dxa"/>
          <w:left w:w="15" w:type="dxa"/>
          <w:bottom w:w="15" w:type="dxa"/>
          <w:right w:w="15" w:type="dxa"/>
        </w:tblCellMar>
      </w:tblPr>
      <w:tblGrid>
        <w:gridCol w:w="456"/>
        <w:gridCol w:w="598"/>
        <w:gridCol w:w="793"/>
        <w:gridCol w:w="456"/>
        <w:gridCol w:w="456"/>
        <w:gridCol w:w="696"/>
        <w:gridCol w:w="1021"/>
        <w:gridCol w:w="534"/>
        <w:gridCol w:w="456"/>
        <w:gridCol w:w="746"/>
        <w:gridCol w:w="788"/>
        <w:gridCol w:w="788"/>
        <w:gridCol w:w="1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29" w:hRule="atLeast"/>
          <w:jc w:val="center"/>
        </w:trPr>
        <w:tc>
          <w:tcPr>
            <w:tcW w:w="184" w:type="pct"/>
            <w:vMerge w:val="restart"/>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黑体" w:hAnsi="宋体" w:eastAsia="黑体" w:cs="黑体"/>
                <w:kern w:val="0"/>
                <w:sz w:val="24"/>
                <w:szCs w:val="24"/>
                <w:bdr w:val="none" w:color="auto" w:sz="0" w:space="0"/>
                <w:lang w:val="en-US" w:eastAsia="zh-CN" w:bidi="ar"/>
              </w:rPr>
              <w:t>序号</w:t>
            </w:r>
          </w:p>
        </w:tc>
        <w:tc>
          <w:tcPr>
            <w:tcW w:w="405" w:type="pct"/>
            <w:vMerge w:val="restart"/>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黑体" w:hAnsi="宋体" w:eastAsia="黑体" w:cs="黑体"/>
                <w:kern w:val="0"/>
                <w:sz w:val="24"/>
                <w:szCs w:val="24"/>
                <w:bdr w:val="none" w:color="auto" w:sz="0" w:space="0"/>
                <w:lang w:val="en-US" w:eastAsia="zh-CN" w:bidi="ar"/>
              </w:rPr>
              <w:t>项目责任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黑体" w:hAnsi="宋体" w:eastAsia="黑体" w:cs="黑体"/>
                <w:kern w:val="0"/>
                <w:sz w:val="24"/>
                <w:szCs w:val="24"/>
                <w:bdr w:val="none" w:color="auto" w:sz="0" w:space="0"/>
                <w:lang w:val="en-US" w:eastAsia="zh-CN" w:bidi="ar"/>
              </w:rPr>
              <w:t>主体</w:t>
            </w:r>
          </w:p>
        </w:tc>
        <w:tc>
          <w:tcPr>
            <w:tcW w:w="512" w:type="pct"/>
            <w:vMerge w:val="restart"/>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黑体" w:hAnsi="宋体" w:eastAsia="黑体" w:cs="黑体"/>
                <w:kern w:val="0"/>
                <w:sz w:val="24"/>
                <w:szCs w:val="24"/>
                <w:bdr w:val="none" w:color="auto" w:sz="0" w:space="0"/>
                <w:lang w:val="en-US" w:eastAsia="zh-CN" w:bidi="ar"/>
              </w:rPr>
              <w:t>建设项目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黑体" w:hAnsi="宋体" w:eastAsia="黑体" w:cs="黑体"/>
                <w:kern w:val="0"/>
                <w:sz w:val="24"/>
                <w:szCs w:val="24"/>
                <w:bdr w:val="none" w:color="auto" w:sz="0" w:space="0"/>
                <w:lang w:val="en-US" w:eastAsia="zh-CN" w:bidi="ar"/>
              </w:rPr>
              <w:t>名称</w:t>
            </w:r>
          </w:p>
        </w:tc>
        <w:tc>
          <w:tcPr>
            <w:tcW w:w="280" w:type="pct"/>
            <w:vMerge w:val="restart"/>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黑体" w:hAnsi="宋体" w:eastAsia="黑体" w:cs="黑体"/>
                <w:kern w:val="0"/>
                <w:sz w:val="24"/>
                <w:szCs w:val="24"/>
                <w:bdr w:val="none" w:color="auto" w:sz="0" w:space="0"/>
                <w:lang w:val="en-US" w:eastAsia="zh-CN" w:bidi="ar"/>
              </w:rPr>
              <w:t>土地性质</w:t>
            </w:r>
          </w:p>
        </w:tc>
        <w:tc>
          <w:tcPr>
            <w:tcW w:w="256" w:type="pct"/>
            <w:vMerge w:val="restart"/>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黑体" w:hAnsi="宋体" w:eastAsia="黑体" w:cs="黑体"/>
                <w:kern w:val="0"/>
                <w:sz w:val="24"/>
                <w:szCs w:val="24"/>
                <w:bdr w:val="none" w:color="auto" w:sz="0" w:space="0"/>
                <w:lang w:val="en-US" w:eastAsia="zh-CN" w:bidi="ar"/>
              </w:rPr>
              <w:t>建设性质</w:t>
            </w:r>
          </w:p>
        </w:tc>
        <w:tc>
          <w:tcPr>
            <w:tcW w:w="386" w:type="pct"/>
            <w:vMerge w:val="restart"/>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黑体" w:hAnsi="宋体" w:eastAsia="黑体" w:cs="黑体"/>
                <w:kern w:val="0"/>
                <w:sz w:val="24"/>
                <w:szCs w:val="24"/>
                <w:bdr w:val="none" w:color="auto" w:sz="0" w:space="0"/>
                <w:lang w:val="en-US" w:eastAsia="zh-CN" w:bidi="ar"/>
              </w:rPr>
              <w:t>所属区镇（街道）</w:t>
            </w:r>
          </w:p>
        </w:tc>
        <w:tc>
          <w:tcPr>
            <w:tcW w:w="823" w:type="pct"/>
            <w:vMerge w:val="restart"/>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黑体" w:hAnsi="宋体" w:eastAsia="黑体" w:cs="黑体"/>
                <w:kern w:val="0"/>
                <w:sz w:val="24"/>
                <w:szCs w:val="24"/>
                <w:bdr w:val="none" w:color="auto" w:sz="0" w:space="0"/>
                <w:lang w:val="en-US" w:eastAsia="zh-CN" w:bidi="ar"/>
              </w:rPr>
              <w:t>预计征收总户数</w:t>
            </w:r>
          </w:p>
        </w:tc>
        <w:tc>
          <w:tcPr>
            <w:tcW w:w="470" w:type="pct"/>
            <w:gridSpan w:val="2"/>
            <w:shd w:val="clear"/>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黑体" w:hAnsi="宋体" w:eastAsia="黑体" w:cs="黑体"/>
                <w:kern w:val="0"/>
                <w:sz w:val="24"/>
                <w:szCs w:val="24"/>
                <w:bdr w:val="none" w:color="auto" w:sz="0" w:space="0"/>
                <w:lang w:val="en-US" w:eastAsia="zh-CN" w:bidi="ar"/>
              </w:rPr>
              <w:t>其中</w:t>
            </w:r>
          </w:p>
        </w:tc>
        <w:tc>
          <w:tcPr>
            <w:tcW w:w="243" w:type="pct"/>
            <w:vMerge w:val="restart"/>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黑体" w:hAnsi="宋体" w:eastAsia="黑体" w:cs="黑体"/>
                <w:kern w:val="0"/>
                <w:sz w:val="24"/>
                <w:szCs w:val="24"/>
                <w:bdr w:val="none" w:color="auto" w:sz="0" w:space="0"/>
                <w:lang w:val="en-US" w:eastAsia="zh-CN" w:bidi="ar"/>
              </w:rPr>
              <w:t>预计征收总面积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黑体" w:hAnsi="宋体" w:eastAsia="黑体" w:cs="黑体"/>
                <w:spacing w:val="0"/>
                <w:kern w:val="0"/>
                <w:sz w:val="24"/>
                <w:szCs w:val="24"/>
                <w:bdr w:val="none" w:color="auto" w:sz="0" w:space="0"/>
                <w:lang w:val="en-US" w:eastAsia="zh-CN" w:bidi="ar"/>
              </w:rPr>
              <w:t>（万平方米）</w:t>
            </w:r>
          </w:p>
        </w:tc>
        <w:tc>
          <w:tcPr>
            <w:tcW w:w="1018" w:type="pct"/>
            <w:gridSpan w:val="2"/>
            <w:shd w:val="clear"/>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黑体" w:hAnsi="宋体" w:eastAsia="黑体" w:cs="黑体"/>
                <w:kern w:val="0"/>
                <w:sz w:val="24"/>
                <w:szCs w:val="24"/>
                <w:bdr w:val="none" w:color="auto" w:sz="0" w:space="0"/>
                <w:lang w:val="en-US" w:eastAsia="zh-CN" w:bidi="ar"/>
              </w:rPr>
              <w:t>其中</w:t>
            </w:r>
          </w:p>
        </w:tc>
        <w:tc>
          <w:tcPr>
            <w:tcW w:w="416" w:type="pct"/>
            <w:vMerge w:val="restart"/>
            <w:shd w:val="clear"/>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黑体" w:hAnsi="宋体" w:eastAsia="黑体" w:cs="黑体"/>
                <w:kern w:val="0"/>
                <w:sz w:val="24"/>
                <w:szCs w:val="24"/>
                <w:bdr w:val="none" w:color="auto" w:sz="0" w:space="0"/>
                <w:lang w:val="en-US" w:eastAsia="zh-CN" w:bidi="ar"/>
              </w:rPr>
              <w:t>项目性质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15" w:type="dxa"/>
            <w:left w:w="15" w:type="dxa"/>
            <w:bottom w:w="15" w:type="dxa"/>
            <w:right w:w="15" w:type="dxa"/>
          </w:tblCellMar>
        </w:tblPrEx>
        <w:trPr>
          <w:trHeight w:val="992" w:hRule="atLeast"/>
          <w:jc w:val="center"/>
        </w:trPr>
        <w:tc>
          <w:tcPr>
            <w:tcW w:w="184" w:type="pct"/>
            <w:vMerge w:val="continue"/>
            <w:shd w:val="clear"/>
            <w:tcMar>
              <w:top w:w="0" w:type="dxa"/>
              <w:left w:w="108" w:type="dxa"/>
              <w:bottom w:w="0" w:type="dxa"/>
              <w:right w:w="108" w:type="dxa"/>
            </w:tcMar>
            <w:vAlign w:val="center"/>
          </w:tcPr>
          <w:p>
            <w:pPr>
              <w:rPr>
                <w:rFonts w:hint="eastAsia" w:ascii="宋体" w:hAnsi="宋体" w:eastAsia="宋体" w:cs="宋体"/>
                <w:sz w:val="18"/>
                <w:szCs w:val="18"/>
              </w:rPr>
            </w:pPr>
          </w:p>
        </w:tc>
        <w:tc>
          <w:tcPr>
            <w:tcW w:w="405" w:type="pct"/>
            <w:vMerge w:val="continue"/>
            <w:shd w:val="clear"/>
            <w:tcMar>
              <w:top w:w="0" w:type="dxa"/>
              <w:left w:w="108" w:type="dxa"/>
              <w:bottom w:w="0" w:type="dxa"/>
              <w:right w:w="108" w:type="dxa"/>
            </w:tcMar>
            <w:vAlign w:val="center"/>
          </w:tcPr>
          <w:p>
            <w:pPr>
              <w:rPr>
                <w:rFonts w:hint="eastAsia" w:ascii="宋体" w:hAnsi="宋体" w:eastAsia="宋体" w:cs="宋体"/>
                <w:sz w:val="18"/>
                <w:szCs w:val="18"/>
              </w:rPr>
            </w:pPr>
          </w:p>
        </w:tc>
        <w:tc>
          <w:tcPr>
            <w:tcW w:w="512" w:type="pct"/>
            <w:vMerge w:val="continue"/>
            <w:shd w:val="clear"/>
            <w:tcMar>
              <w:top w:w="0" w:type="dxa"/>
              <w:left w:w="108" w:type="dxa"/>
              <w:bottom w:w="0" w:type="dxa"/>
              <w:right w:w="108" w:type="dxa"/>
            </w:tcMar>
            <w:vAlign w:val="center"/>
          </w:tcPr>
          <w:p>
            <w:pPr>
              <w:rPr>
                <w:rFonts w:hint="eastAsia" w:ascii="宋体" w:hAnsi="宋体" w:eastAsia="宋体" w:cs="宋体"/>
                <w:sz w:val="18"/>
                <w:szCs w:val="18"/>
              </w:rPr>
            </w:pPr>
          </w:p>
        </w:tc>
        <w:tc>
          <w:tcPr>
            <w:tcW w:w="280" w:type="pct"/>
            <w:vMerge w:val="continue"/>
            <w:shd w:val="clear"/>
            <w:tcMar>
              <w:top w:w="0" w:type="dxa"/>
              <w:left w:w="108" w:type="dxa"/>
              <w:bottom w:w="0" w:type="dxa"/>
              <w:right w:w="108" w:type="dxa"/>
            </w:tcMar>
            <w:vAlign w:val="center"/>
          </w:tcPr>
          <w:p>
            <w:pPr>
              <w:rPr>
                <w:rFonts w:hint="eastAsia" w:ascii="宋体" w:hAnsi="宋体" w:eastAsia="宋体" w:cs="宋体"/>
                <w:sz w:val="18"/>
                <w:szCs w:val="18"/>
              </w:rPr>
            </w:pPr>
          </w:p>
        </w:tc>
        <w:tc>
          <w:tcPr>
            <w:tcW w:w="256" w:type="pct"/>
            <w:vMerge w:val="continue"/>
            <w:shd w:val="clear"/>
            <w:tcMar>
              <w:top w:w="0" w:type="dxa"/>
              <w:left w:w="108" w:type="dxa"/>
              <w:bottom w:w="0" w:type="dxa"/>
              <w:right w:w="108" w:type="dxa"/>
            </w:tcMar>
            <w:vAlign w:val="center"/>
          </w:tcPr>
          <w:p>
            <w:pPr>
              <w:rPr>
                <w:rFonts w:hint="eastAsia" w:ascii="宋体" w:hAnsi="宋体" w:eastAsia="宋体" w:cs="宋体"/>
                <w:sz w:val="18"/>
                <w:szCs w:val="18"/>
              </w:rPr>
            </w:pPr>
          </w:p>
        </w:tc>
        <w:tc>
          <w:tcPr>
            <w:tcW w:w="386" w:type="pct"/>
            <w:vMerge w:val="continue"/>
            <w:shd w:val="clear"/>
            <w:tcMar>
              <w:top w:w="0" w:type="dxa"/>
              <w:left w:w="108" w:type="dxa"/>
              <w:bottom w:w="0" w:type="dxa"/>
              <w:right w:w="108" w:type="dxa"/>
            </w:tcMar>
            <w:vAlign w:val="center"/>
          </w:tcPr>
          <w:p>
            <w:pPr>
              <w:rPr>
                <w:rFonts w:hint="eastAsia" w:ascii="宋体" w:hAnsi="宋体" w:eastAsia="宋体" w:cs="宋体"/>
                <w:sz w:val="18"/>
                <w:szCs w:val="18"/>
              </w:rPr>
            </w:pPr>
          </w:p>
        </w:tc>
        <w:tc>
          <w:tcPr>
            <w:tcW w:w="823" w:type="pct"/>
            <w:vMerge w:val="continue"/>
            <w:shd w:val="clear"/>
            <w:tcMar>
              <w:top w:w="0" w:type="dxa"/>
              <w:left w:w="108" w:type="dxa"/>
              <w:bottom w:w="0" w:type="dxa"/>
              <w:right w:w="108" w:type="dxa"/>
            </w:tcMar>
            <w:vAlign w:val="center"/>
          </w:tcPr>
          <w:p>
            <w:pPr>
              <w:rPr>
                <w:rFonts w:hint="eastAsia" w:ascii="宋体" w:hAnsi="宋体" w:eastAsia="宋体" w:cs="宋体"/>
                <w:sz w:val="18"/>
                <w:szCs w:val="18"/>
              </w:rPr>
            </w:pPr>
          </w:p>
        </w:tc>
        <w:tc>
          <w:tcPr>
            <w:tcW w:w="238" w:type="pct"/>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黑体" w:hAnsi="宋体" w:eastAsia="黑体" w:cs="黑体"/>
                <w:kern w:val="0"/>
                <w:sz w:val="24"/>
                <w:szCs w:val="24"/>
                <w:bdr w:val="none" w:color="auto" w:sz="0" w:space="0"/>
                <w:lang w:val="en-US" w:eastAsia="zh-CN" w:bidi="ar"/>
              </w:rPr>
              <w:t>住宅户数</w:t>
            </w:r>
          </w:p>
        </w:tc>
        <w:tc>
          <w:tcPr>
            <w:tcW w:w="231" w:type="pct"/>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黑体" w:hAnsi="宋体" w:eastAsia="黑体" w:cs="黑体"/>
                <w:kern w:val="0"/>
                <w:sz w:val="24"/>
                <w:szCs w:val="24"/>
                <w:bdr w:val="none" w:color="auto" w:sz="0" w:space="0"/>
                <w:lang w:val="en-US" w:eastAsia="zh-CN" w:bidi="ar"/>
              </w:rPr>
              <w:t>非住宅户数</w:t>
            </w:r>
          </w:p>
        </w:tc>
        <w:tc>
          <w:tcPr>
            <w:tcW w:w="243" w:type="pct"/>
            <w:vMerge w:val="continue"/>
            <w:shd w:val="clear"/>
            <w:tcMar>
              <w:top w:w="0" w:type="dxa"/>
              <w:left w:w="108" w:type="dxa"/>
              <w:bottom w:w="0" w:type="dxa"/>
              <w:right w:w="108" w:type="dxa"/>
            </w:tcMar>
            <w:vAlign w:val="center"/>
          </w:tcPr>
          <w:p>
            <w:pPr>
              <w:rPr>
                <w:rFonts w:hint="eastAsia" w:ascii="宋体" w:hAnsi="宋体" w:eastAsia="宋体" w:cs="宋体"/>
                <w:sz w:val="18"/>
                <w:szCs w:val="18"/>
              </w:rPr>
            </w:pPr>
          </w:p>
        </w:tc>
        <w:tc>
          <w:tcPr>
            <w:tcW w:w="509" w:type="pct"/>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黑体" w:hAnsi="宋体" w:eastAsia="黑体" w:cs="黑体"/>
                <w:kern w:val="0"/>
                <w:sz w:val="24"/>
                <w:szCs w:val="24"/>
                <w:bdr w:val="none" w:color="auto" w:sz="0" w:space="0"/>
                <w:lang w:val="en-US" w:eastAsia="zh-CN" w:bidi="ar"/>
              </w:rPr>
              <w:t>住宅面积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黑体" w:hAnsi="宋体" w:eastAsia="黑体" w:cs="黑体"/>
                <w:spacing w:val="0"/>
                <w:kern w:val="0"/>
                <w:sz w:val="24"/>
                <w:szCs w:val="24"/>
                <w:bdr w:val="none" w:color="auto" w:sz="0" w:space="0"/>
                <w:lang w:val="en-US" w:eastAsia="zh-CN" w:bidi="ar"/>
              </w:rPr>
              <w:t>（万平方米）</w:t>
            </w:r>
          </w:p>
        </w:tc>
        <w:tc>
          <w:tcPr>
            <w:tcW w:w="509" w:type="pct"/>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黑体" w:hAnsi="宋体" w:eastAsia="黑体" w:cs="黑体"/>
                <w:kern w:val="0"/>
                <w:sz w:val="24"/>
                <w:szCs w:val="24"/>
                <w:bdr w:val="none" w:color="auto" w:sz="0" w:space="0"/>
                <w:lang w:val="en-US" w:eastAsia="zh-CN" w:bidi="ar"/>
              </w:rPr>
              <w:t>非住宅面积</w:t>
            </w:r>
            <w:r>
              <w:rPr>
                <w:rFonts w:hint="eastAsia" w:ascii="黑体" w:hAnsi="宋体" w:eastAsia="黑体" w:cs="黑体"/>
                <w:spacing w:val="0"/>
                <w:kern w:val="0"/>
                <w:sz w:val="24"/>
                <w:szCs w:val="24"/>
                <w:bdr w:val="none" w:color="auto" w:sz="0" w:space="0"/>
                <w:lang w:val="en-US" w:eastAsia="zh-CN" w:bidi="ar"/>
              </w:rPr>
              <w:t>（万平方米）</w:t>
            </w:r>
          </w:p>
        </w:tc>
        <w:tc>
          <w:tcPr>
            <w:tcW w:w="416" w:type="pct"/>
            <w:vMerge w:val="continue"/>
            <w:shd w:val="clear"/>
            <w:noWrap/>
            <w:tcMar>
              <w:top w:w="0" w:type="dxa"/>
              <w:left w:w="108" w:type="dxa"/>
              <w:bottom w:w="0" w:type="dxa"/>
              <w:right w:w="108" w:type="dxa"/>
            </w:tcMar>
            <w:vAlign w:val="center"/>
          </w:tcPr>
          <w:p>
            <w:pP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1" w:hRule="atLeast"/>
          <w:jc w:val="center"/>
        </w:trPr>
        <w:tc>
          <w:tcPr>
            <w:tcW w:w="184" w:type="pct"/>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仿宋_GB2312" w:hAnsi="宋体" w:eastAsia="仿宋_GB2312" w:cs="仿宋_GB2312"/>
                <w:kern w:val="0"/>
                <w:sz w:val="21"/>
                <w:szCs w:val="21"/>
                <w:bdr w:val="none" w:color="auto" w:sz="0" w:space="0"/>
                <w:lang w:val="en-US" w:eastAsia="zh-CN" w:bidi="ar"/>
              </w:rPr>
              <w:t>1</w:t>
            </w:r>
          </w:p>
        </w:tc>
        <w:tc>
          <w:tcPr>
            <w:tcW w:w="405" w:type="pct"/>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仿宋_GB2312" w:hAnsi="宋体" w:eastAsia="仿宋_GB2312" w:cs="仿宋_GB2312"/>
                <w:kern w:val="0"/>
                <w:sz w:val="21"/>
                <w:szCs w:val="21"/>
                <w:bdr w:val="none" w:color="auto" w:sz="0" w:space="0"/>
                <w:lang w:val="en-US" w:eastAsia="zh-CN" w:bidi="ar"/>
              </w:rPr>
              <w:t>江陵街道</w:t>
            </w:r>
          </w:p>
        </w:tc>
        <w:tc>
          <w:tcPr>
            <w:tcW w:w="512" w:type="pct"/>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仿宋_GB2312" w:hAnsi="宋体" w:eastAsia="仿宋_GB2312" w:cs="仿宋_GB2312"/>
                <w:kern w:val="0"/>
                <w:sz w:val="21"/>
                <w:szCs w:val="21"/>
                <w:bdr w:val="none" w:color="auto" w:sz="0" w:space="0"/>
                <w:lang w:val="en-US" w:eastAsia="zh-CN" w:bidi="ar"/>
              </w:rPr>
              <w:t>花港湾城中村改造</w:t>
            </w:r>
          </w:p>
        </w:tc>
        <w:tc>
          <w:tcPr>
            <w:tcW w:w="280" w:type="pct"/>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仿宋_GB2312" w:hAnsi="宋体" w:eastAsia="仿宋_GB2312" w:cs="仿宋_GB2312"/>
                <w:kern w:val="0"/>
                <w:sz w:val="21"/>
                <w:szCs w:val="21"/>
                <w:bdr w:val="none" w:color="auto" w:sz="0" w:space="0"/>
                <w:lang w:val="en-US" w:eastAsia="zh-CN" w:bidi="ar"/>
              </w:rPr>
              <w:t>国有</w:t>
            </w:r>
          </w:p>
        </w:tc>
        <w:tc>
          <w:tcPr>
            <w:tcW w:w="256" w:type="pct"/>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仿宋_GB2312" w:hAnsi="宋体" w:eastAsia="仿宋_GB2312" w:cs="仿宋_GB2312"/>
                <w:kern w:val="0"/>
                <w:sz w:val="21"/>
                <w:szCs w:val="21"/>
                <w:bdr w:val="none" w:color="auto" w:sz="0" w:space="0"/>
                <w:lang w:val="en-US" w:eastAsia="zh-CN" w:bidi="ar"/>
              </w:rPr>
              <w:t>新列</w:t>
            </w:r>
          </w:p>
        </w:tc>
        <w:tc>
          <w:tcPr>
            <w:tcW w:w="386" w:type="pct"/>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仿宋_GB2312" w:hAnsi="宋体" w:eastAsia="仿宋_GB2312" w:cs="仿宋_GB2312"/>
                <w:kern w:val="0"/>
                <w:sz w:val="21"/>
                <w:szCs w:val="21"/>
                <w:bdr w:val="none" w:color="auto" w:sz="0" w:space="0"/>
                <w:lang w:val="en-US" w:eastAsia="zh-CN" w:bidi="ar"/>
              </w:rPr>
              <w:t>江陵街道</w:t>
            </w:r>
          </w:p>
        </w:tc>
        <w:tc>
          <w:tcPr>
            <w:tcW w:w="823" w:type="pct"/>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宋体" w:eastAsia="仿宋_GB2312" w:cs="仿宋_GB2312"/>
                <w:kern w:val="0"/>
                <w:sz w:val="21"/>
                <w:szCs w:val="21"/>
                <w:bdr w:val="none" w:color="auto" w:sz="0" w:space="0"/>
                <w:lang w:val="en-US" w:eastAsia="zh-CN" w:bidi="ar"/>
              </w:rPr>
              <w:t>383</w:t>
            </w:r>
          </w:p>
        </w:tc>
        <w:tc>
          <w:tcPr>
            <w:tcW w:w="238" w:type="pct"/>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宋体" w:eastAsia="仿宋_GB2312" w:cs="仿宋_GB2312"/>
                <w:kern w:val="0"/>
                <w:sz w:val="21"/>
                <w:szCs w:val="21"/>
                <w:bdr w:val="none" w:color="auto" w:sz="0" w:space="0"/>
                <w:lang w:val="en-US" w:eastAsia="zh-CN" w:bidi="ar"/>
              </w:rPr>
              <w:t>383</w:t>
            </w:r>
          </w:p>
        </w:tc>
        <w:tc>
          <w:tcPr>
            <w:tcW w:w="231" w:type="pct"/>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宋体" w:eastAsia="仿宋_GB2312" w:cs="仿宋_GB2312"/>
                <w:kern w:val="0"/>
                <w:sz w:val="21"/>
                <w:szCs w:val="21"/>
                <w:bdr w:val="none" w:color="auto" w:sz="0" w:space="0"/>
                <w:lang w:val="en-US" w:eastAsia="zh-CN" w:bidi="ar"/>
              </w:rPr>
              <w:t>0</w:t>
            </w:r>
          </w:p>
        </w:tc>
        <w:tc>
          <w:tcPr>
            <w:tcW w:w="243" w:type="pct"/>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宋体" w:eastAsia="仿宋_GB2312" w:cs="仿宋_GB2312"/>
                <w:kern w:val="0"/>
                <w:sz w:val="21"/>
                <w:szCs w:val="21"/>
                <w:bdr w:val="none" w:color="auto" w:sz="0" w:space="0"/>
                <w:lang w:val="en-US" w:eastAsia="zh-CN" w:bidi="ar"/>
              </w:rPr>
              <w:t>24.29</w:t>
            </w:r>
          </w:p>
        </w:tc>
        <w:tc>
          <w:tcPr>
            <w:tcW w:w="509" w:type="pct"/>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宋体" w:eastAsia="仿宋_GB2312" w:cs="仿宋_GB2312"/>
                <w:kern w:val="0"/>
                <w:sz w:val="21"/>
                <w:szCs w:val="21"/>
                <w:bdr w:val="none" w:color="auto" w:sz="0" w:space="0"/>
                <w:lang w:val="en-US" w:eastAsia="zh-CN" w:bidi="ar"/>
              </w:rPr>
              <w:t>24.29</w:t>
            </w:r>
          </w:p>
        </w:tc>
        <w:tc>
          <w:tcPr>
            <w:tcW w:w="509" w:type="pct"/>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宋体" w:eastAsia="仿宋_GB2312" w:cs="仿宋_GB2312"/>
                <w:kern w:val="0"/>
                <w:sz w:val="21"/>
                <w:szCs w:val="21"/>
                <w:bdr w:val="none" w:color="auto" w:sz="0" w:space="0"/>
                <w:lang w:val="en-US" w:eastAsia="zh-CN" w:bidi="ar"/>
              </w:rPr>
              <w:t>0</w:t>
            </w:r>
          </w:p>
        </w:tc>
        <w:tc>
          <w:tcPr>
            <w:tcW w:w="416" w:type="pct"/>
            <w:shd w:val="clear"/>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仿宋_GB2312" w:hAnsi="宋体" w:eastAsia="仿宋_GB2312" w:cs="仿宋_GB2312"/>
                <w:kern w:val="0"/>
                <w:sz w:val="21"/>
                <w:szCs w:val="21"/>
                <w:bdr w:val="none" w:color="auto" w:sz="0" w:space="0"/>
                <w:lang w:val="en-US" w:eastAsia="zh-CN" w:bidi="ar"/>
              </w:rPr>
              <w:t>旧城区改建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15" w:type="dxa"/>
            <w:left w:w="15" w:type="dxa"/>
            <w:bottom w:w="15" w:type="dxa"/>
            <w:right w:w="15" w:type="dxa"/>
          </w:tblCellMar>
        </w:tblPrEx>
        <w:trPr>
          <w:trHeight w:val="91" w:hRule="atLeast"/>
          <w:jc w:val="center"/>
        </w:trPr>
        <w:tc>
          <w:tcPr>
            <w:tcW w:w="184" w:type="pct"/>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仿宋_GB2312" w:hAnsi="宋体" w:eastAsia="仿宋_GB2312" w:cs="仿宋_GB2312"/>
                <w:kern w:val="0"/>
                <w:sz w:val="21"/>
                <w:szCs w:val="21"/>
                <w:bdr w:val="none" w:color="auto" w:sz="0" w:space="0"/>
                <w:lang w:val="en-US" w:eastAsia="zh-CN" w:bidi="ar"/>
              </w:rPr>
              <w:t>2</w:t>
            </w:r>
          </w:p>
        </w:tc>
        <w:tc>
          <w:tcPr>
            <w:tcW w:w="405" w:type="pct"/>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仿宋_GB2312" w:hAnsi="宋体" w:eastAsia="仿宋_GB2312" w:cs="仿宋_GB2312"/>
                <w:kern w:val="0"/>
                <w:sz w:val="21"/>
                <w:szCs w:val="21"/>
                <w:bdr w:val="none" w:color="auto" w:sz="0" w:space="0"/>
                <w:lang w:val="en-US" w:eastAsia="zh-CN" w:bidi="ar"/>
              </w:rPr>
              <w:t>江陵街道</w:t>
            </w:r>
          </w:p>
        </w:tc>
        <w:tc>
          <w:tcPr>
            <w:tcW w:w="512" w:type="pct"/>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仿宋_GB2312" w:hAnsi="宋体" w:eastAsia="仿宋_GB2312" w:cs="仿宋_GB2312"/>
                <w:kern w:val="0"/>
                <w:sz w:val="21"/>
                <w:szCs w:val="21"/>
                <w:bdr w:val="none" w:color="auto" w:sz="0" w:space="0"/>
                <w:lang w:val="en-US" w:eastAsia="zh-CN" w:bidi="ar"/>
              </w:rPr>
              <w:t>三里桥城中村改造</w:t>
            </w:r>
          </w:p>
        </w:tc>
        <w:tc>
          <w:tcPr>
            <w:tcW w:w="280" w:type="pct"/>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仿宋_GB2312" w:hAnsi="宋体" w:eastAsia="仿宋_GB2312" w:cs="仿宋_GB2312"/>
                <w:kern w:val="0"/>
                <w:sz w:val="21"/>
                <w:szCs w:val="21"/>
                <w:bdr w:val="none" w:color="auto" w:sz="0" w:space="0"/>
                <w:lang w:val="en-US" w:eastAsia="zh-CN" w:bidi="ar"/>
              </w:rPr>
              <w:t>国有</w:t>
            </w:r>
          </w:p>
        </w:tc>
        <w:tc>
          <w:tcPr>
            <w:tcW w:w="256" w:type="pct"/>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仿宋_GB2312" w:hAnsi="宋体" w:eastAsia="仿宋_GB2312" w:cs="仿宋_GB2312"/>
                <w:kern w:val="0"/>
                <w:sz w:val="21"/>
                <w:szCs w:val="21"/>
                <w:bdr w:val="none" w:color="auto" w:sz="0" w:space="0"/>
                <w:lang w:val="en-US" w:eastAsia="zh-CN" w:bidi="ar"/>
              </w:rPr>
              <w:t>新列</w:t>
            </w:r>
          </w:p>
        </w:tc>
        <w:tc>
          <w:tcPr>
            <w:tcW w:w="386" w:type="pct"/>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仿宋_GB2312" w:hAnsi="宋体" w:eastAsia="仿宋_GB2312" w:cs="仿宋_GB2312"/>
                <w:kern w:val="0"/>
                <w:sz w:val="21"/>
                <w:szCs w:val="21"/>
                <w:bdr w:val="none" w:color="auto" w:sz="0" w:space="0"/>
                <w:lang w:val="en-US" w:eastAsia="zh-CN" w:bidi="ar"/>
              </w:rPr>
              <w:t>江陵街道</w:t>
            </w:r>
          </w:p>
        </w:tc>
        <w:tc>
          <w:tcPr>
            <w:tcW w:w="823" w:type="pct"/>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宋体" w:eastAsia="仿宋_GB2312" w:cs="仿宋_GB2312"/>
                <w:kern w:val="0"/>
                <w:sz w:val="21"/>
                <w:szCs w:val="21"/>
                <w:bdr w:val="none" w:color="auto" w:sz="0" w:space="0"/>
                <w:lang w:val="en-US" w:eastAsia="zh-CN" w:bidi="ar"/>
              </w:rPr>
              <w:t>360</w:t>
            </w:r>
          </w:p>
        </w:tc>
        <w:tc>
          <w:tcPr>
            <w:tcW w:w="238" w:type="pct"/>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宋体" w:eastAsia="仿宋_GB2312" w:cs="仿宋_GB2312"/>
                <w:kern w:val="0"/>
                <w:sz w:val="21"/>
                <w:szCs w:val="21"/>
                <w:bdr w:val="none" w:color="auto" w:sz="0" w:space="0"/>
                <w:lang w:val="en-US" w:eastAsia="zh-CN" w:bidi="ar"/>
              </w:rPr>
              <w:t>322</w:t>
            </w:r>
          </w:p>
        </w:tc>
        <w:tc>
          <w:tcPr>
            <w:tcW w:w="231" w:type="pct"/>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宋体" w:eastAsia="仿宋_GB2312" w:cs="仿宋_GB2312"/>
                <w:kern w:val="0"/>
                <w:sz w:val="21"/>
                <w:szCs w:val="21"/>
                <w:bdr w:val="none" w:color="auto" w:sz="0" w:space="0"/>
                <w:lang w:val="en-US" w:eastAsia="zh-CN" w:bidi="ar"/>
              </w:rPr>
              <w:t>38</w:t>
            </w:r>
          </w:p>
        </w:tc>
        <w:tc>
          <w:tcPr>
            <w:tcW w:w="243" w:type="pct"/>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宋体" w:eastAsia="仿宋_GB2312" w:cs="仿宋_GB2312"/>
                <w:kern w:val="0"/>
                <w:sz w:val="21"/>
                <w:szCs w:val="21"/>
                <w:bdr w:val="none" w:color="auto" w:sz="0" w:space="0"/>
                <w:lang w:val="en-US" w:eastAsia="zh-CN" w:bidi="ar"/>
              </w:rPr>
              <w:t>17.18</w:t>
            </w:r>
          </w:p>
        </w:tc>
        <w:tc>
          <w:tcPr>
            <w:tcW w:w="509" w:type="pct"/>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宋体" w:eastAsia="仿宋_GB2312" w:cs="仿宋_GB2312"/>
                <w:kern w:val="0"/>
                <w:sz w:val="21"/>
                <w:szCs w:val="21"/>
                <w:bdr w:val="none" w:color="auto" w:sz="0" w:space="0"/>
                <w:lang w:val="en-US" w:eastAsia="zh-CN" w:bidi="ar"/>
              </w:rPr>
              <w:t>16.37</w:t>
            </w:r>
          </w:p>
        </w:tc>
        <w:tc>
          <w:tcPr>
            <w:tcW w:w="509" w:type="pct"/>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宋体" w:eastAsia="仿宋_GB2312" w:cs="仿宋_GB2312"/>
                <w:kern w:val="0"/>
                <w:sz w:val="21"/>
                <w:szCs w:val="21"/>
                <w:bdr w:val="none" w:color="auto" w:sz="0" w:space="0"/>
                <w:lang w:val="en-US" w:eastAsia="zh-CN" w:bidi="ar"/>
              </w:rPr>
              <w:t>0.81</w:t>
            </w:r>
          </w:p>
        </w:tc>
        <w:tc>
          <w:tcPr>
            <w:tcW w:w="416" w:type="pct"/>
            <w:shd w:val="clear"/>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仿宋_GB2312" w:hAnsi="宋体" w:eastAsia="仿宋_GB2312" w:cs="仿宋_GB2312"/>
                <w:kern w:val="0"/>
                <w:sz w:val="21"/>
                <w:szCs w:val="21"/>
                <w:bdr w:val="none" w:color="auto" w:sz="0" w:space="0"/>
                <w:lang w:val="en-US" w:eastAsia="zh-CN" w:bidi="ar"/>
              </w:rPr>
              <w:t>旧城区改建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15" w:type="dxa"/>
            <w:left w:w="15" w:type="dxa"/>
            <w:bottom w:w="15" w:type="dxa"/>
            <w:right w:w="15" w:type="dxa"/>
          </w:tblCellMar>
        </w:tblPrEx>
        <w:trPr>
          <w:trHeight w:val="471" w:hRule="atLeast"/>
          <w:jc w:val="center"/>
        </w:trPr>
        <w:tc>
          <w:tcPr>
            <w:tcW w:w="2026" w:type="pct"/>
            <w:gridSpan w:val="6"/>
            <w:shd w:val="clear"/>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仿宋_GB2312" w:hAnsi="宋体" w:eastAsia="仿宋_GB2312" w:cs="仿宋_GB2312"/>
                <w:b/>
                <w:kern w:val="0"/>
                <w:sz w:val="21"/>
                <w:szCs w:val="21"/>
                <w:bdr w:val="none" w:color="auto" w:sz="0" w:space="0"/>
                <w:lang w:val="en-US" w:eastAsia="zh-CN" w:bidi="ar"/>
              </w:rPr>
              <w:t>合 计</w:t>
            </w:r>
          </w:p>
        </w:tc>
        <w:tc>
          <w:tcPr>
            <w:tcW w:w="823" w:type="pct"/>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宋体" w:eastAsia="仿宋_GB2312" w:cs="仿宋_GB2312"/>
                <w:b/>
                <w:kern w:val="0"/>
                <w:sz w:val="21"/>
                <w:szCs w:val="21"/>
                <w:bdr w:val="none" w:color="auto" w:sz="0" w:space="0"/>
                <w:lang w:val="en-US" w:eastAsia="zh-CN" w:bidi="ar"/>
              </w:rPr>
              <w:t>743</w:t>
            </w:r>
          </w:p>
        </w:tc>
        <w:tc>
          <w:tcPr>
            <w:tcW w:w="238" w:type="pct"/>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宋体" w:eastAsia="仿宋_GB2312" w:cs="仿宋_GB2312"/>
                <w:b/>
                <w:kern w:val="0"/>
                <w:sz w:val="21"/>
                <w:szCs w:val="21"/>
                <w:bdr w:val="none" w:color="auto" w:sz="0" w:space="0"/>
                <w:lang w:val="en-US" w:eastAsia="zh-CN" w:bidi="ar"/>
              </w:rPr>
              <w:t>705</w:t>
            </w:r>
          </w:p>
        </w:tc>
        <w:tc>
          <w:tcPr>
            <w:tcW w:w="231" w:type="pct"/>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宋体" w:eastAsia="仿宋_GB2312" w:cs="仿宋_GB2312"/>
                <w:b/>
                <w:kern w:val="0"/>
                <w:sz w:val="21"/>
                <w:szCs w:val="21"/>
                <w:bdr w:val="none" w:color="auto" w:sz="0" w:space="0"/>
                <w:lang w:val="en-US" w:eastAsia="zh-CN" w:bidi="ar"/>
              </w:rPr>
              <w:t>38</w:t>
            </w:r>
          </w:p>
        </w:tc>
        <w:tc>
          <w:tcPr>
            <w:tcW w:w="243" w:type="pct"/>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宋体" w:eastAsia="仿宋_GB2312" w:cs="仿宋_GB2312"/>
                <w:b/>
                <w:kern w:val="0"/>
                <w:sz w:val="21"/>
                <w:szCs w:val="21"/>
                <w:bdr w:val="none" w:color="auto" w:sz="0" w:space="0"/>
                <w:lang w:val="en-US" w:eastAsia="zh-CN" w:bidi="ar"/>
              </w:rPr>
              <w:t>41.47</w:t>
            </w:r>
          </w:p>
        </w:tc>
        <w:tc>
          <w:tcPr>
            <w:tcW w:w="509" w:type="pct"/>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宋体" w:eastAsia="仿宋_GB2312" w:cs="仿宋_GB2312"/>
                <w:b/>
                <w:kern w:val="0"/>
                <w:sz w:val="21"/>
                <w:szCs w:val="21"/>
                <w:bdr w:val="none" w:color="auto" w:sz="0" w:space="0"/>
                <w:lang w:val="en-US" w:eastAsia="zh-CN" w:bidi="ar"/>
              </w:rPr>
              <w:t>40.66</w:t>
            </w:r>
          </w:p>
        </w:tc>
        <w:tc>
          <w:tcPr>
            <w:tcW w:w="509" w:type="pct"/>
            <w:shd w:val="clear"/>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宋体" w:eastAsia="仿宋_GB2312" w:cs="仿宋_GB2312"/>
                <w:b/>
                <w:kern w:val="0"/>
                <w:sz w:val="21"/>
                <w:szCs w:val="21"/>
                <w:bdr w:val="none" w:color="auto" w:sz="0" w:space="0"/>
                <w:lang w:val="en-US" w:eastAsia="zh-CN" w:bidi="ar"/>
              </w:rPr>
              <w:t>0.81</w:t>
            </w:r>
          </w:p>
        </w:tc>
        <w:tc>
          <w:tcPr>
            <w:tcW w:w="416" w:type="pct"/>
            <w:shd w:val="clear"/>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仿宋_GB2312" w:hAnsi="宋体" w:eastAsia="仿宋_GB2312" w:cs="仿宋_GB2312"/>
                <w:kern w:val="0"/>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15" w:type="dxa"/>
            <w:left w:w="15" w:type="dxa"/>
            <w:bottom w:w="15" w:type="dxa"/>
            <w:right w:w="15" w:type="dxa"/>
          </w:tblCellMar>
        </w:tblPrEx>
        <w:trPr>
          <w:trHeight w:val="659" w:hRule="atLeast"/>
          <w:jc w:val="center"/>
        </w:trPr>
        <w:tc>
          <w:tcPr>
            <w:tcW w:w="5000" w:type="pct"/>
            <w:gridSpan w:val="13"/>
            <w:shd w:val="clear"/>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240"/>
              <w:jc w:val="left"/>
            </w:pPr>
            <w:r>
              <w:rPr>
                <w:rFonts w:hint="eastAsia" w:ascii="黑体" w:hAnsi="宋体" w:eastAsia="黑体" w:cs="黑体"/>
                <w:kern w:val="0"/>
                <w:sz w:val="24"/>
                <w:szCs w:val="24"/>
                <w:bdr w:val="none" w:color="auto" w:sz="0" w:space="0"/>
                <w:lang w:val="en-US" w:eastAsia="zh-CN" w:bidi="ar"/>
              </w:rPr>
              <w:t>注：旧城区改建部分纳入国民经济和社会发展年度计划。</w:t>
            </w:r>
          </w:p>
        </w:tc>
      </w:tr>
    </w:tbl>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textAlignment w:val="auto"/>
        <w:rPr>
          <w:rFonts w:hint="eastAsia" w:ascii="仿宋_GB2312" w:hAnsi="仿宋_GB2312" w:eastAsia="仿宋_GB2312" w:cs="仿宋_GB2312"/>
          <w:i w:val="0"/>
          <w:iCs w:val="0"/>
          <w:caps w:val="0"/>
          <w:color w:val="000000"/>
          <w:spacing w:val="0"/>
          <w:sz w:val="28"/>
          <w:szCs w:val="28"/>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文鼎CS仿宋体">
    <w:altName w:val="方正仿宋_GBK"/>
    <w:panose1 w:val="00000000000000000000"/>
    <w:charset w:val="00"/>
    <w:family w:val="auto"/>
    <w:pitch w:val="default"/>
    <w:sig w:usb0="00000000" w:usb1="00000000" w:usb2="00000000" w:usb3="00000000" w:csb0="00000000" w:csb1="00000000"/>
  </w:font>
  <w:font w:name="DejaVu Math TeX Gyre">
    <w:panose1 w:val="02000503000000000000"/>
    <w:charset w:val="00"/>
    <w:family w:val="auto"/>
    <w:pitch w:val="default"/>
    <w:sig w:usb0="A10000EF" w:usb1="4201F9EE" w:usb2="02000000" w:usb3="00000000" w:csb0="60000193" w:csb1="0DD40000"/>
  </w:font>
  <w:font w:name="方正仿宋_GBK">
    <w:panose1 w:val="02000000000000000000"/>
    <w:charset w:val="86"/>
    <w:family w:val="auto"/>
    <w:pitch w:val="default"/>
    <w:sig w:usb0="00000001" w:usb1="08000000" w:usb2="00000000" w:usb3="00000000" w:csb0="00040000" w:csb1="00000000"/>
  </w:font>
  <w:font w:name="Noto Sans Tibetan">
    <w:panose1 w:val="020B0502040504020204"/>
    <w:charset w:val="00"/>
    <w:family w:val="auto"/>
    <w:pitch w:val="default"/>
    <w:sig w:usb0="00000000" w:usb1="00000000" w:usb2="0000004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473F2"/>
    <w:rsid w:val="0021378F"/>
    <w:rsid w:val="00374586"/>
    <w:rsid w:val="006E6E00"/>
    <w:rsid w:val="00A7003A"/>
    <w:rsid w:val="00AC1E0F"/>
    <w:rsid w:val="00FD2101"/>
    <w:rsid w:val="010B05A1"/>
    <w:rsid w:val="01254204"/>
    <w:rsid w:val="015F387F"/>
    <w:rsid w:val="017D77F6"/>
    <w:rsid w:val="01B93D49"/>
    <w:rsid w:val="02027CB0"/>
    <w:rsid w:val="02305F68"/>
    <w:rsid w:val="02347F00"/>
    <w:rsid w:val="0248283C"/>
    <w:rsid w:val="02827D77"/>
    <w:rsid w:val="03256DFC"/>
    <w:rsid w:val="03951F4E"/>
    <w:rsid w:val="03EC7ABB"/>
    <w:rsid w:val="044A201F"/>
    <w:rsid w:val="0477065F"/>
    <w:rsid w:val="052F7C34"/>
    <w:rsid w:val="068105A1"/>
    <w:rsid w:val="074047A8"/>
    <w:rsid w:val="07C75EB3"/>
    <w:rsid w:val="091860C2"/>
    <w:rsid w:val="097E2BF0"/>
    <w:rsid w:val="098E1AFD"/>
    <w:rsid w:val="0A785963"/>
    <w:rsid w:val="0AA8379E"/>
    <w:rsid w:val="0B311DC3"/>
    <w:rsid w:val="0B3A6C11"/>
    <w:rsid w:val="0B941670"/>
    <w:rsid w:val="0BED1D16"/>
    <w:rsid w:val="0C696CE3"/>
    <w:rsid w:val="0C8D06D1"/>
    <w:rsid w:val="0DAA7264"/>
    <w:rsid w:val="0DE6722E"/>
    <w:rsid w:val="0E551455"/>
    <w:rsid w:val="0E963906"/>
    <w:rsid w:val="0F484D9C"/>
    <w:rsid w:val="0FC601D2"/>
    <w:rsid w:val="1004423D"/>
    <w:rsid w:val="1039311E"/>
    <w:rsid w:val="1084763B"/>
    <w:rsid w:val="10A921C0"/>
    <w:rsid w:val="10B31856"/>
    <w:rsid w:val="126F14B5"/>
    <w:rsid w:val="12B278F1"/>
    <w:rsid w:val="12D235C1"/>
    <w:rsid w:val="12F02143"/>
    <w:rsid w:val="133D3C48"/>
    <w:rsid w:val="136F3D48"/>
    <w:rsid w:val="13AA7B4C"/>
    <w:rsid w:val="14801487"/>
    <w:rsid w:val="14815FA7"/>
    <w:rsid w:val="14A82AB1"/>
    <w:rsid w:val="14D859D6"/>
    <w:rsid w:val="15A92DD4"/>
    <w:rsid w:val="15EA6671"/>
    <w:rsid w:val="16073B69"/>
    <w:rsid w:val="16392899"/>
    <w:rsid w:val="17455CBB"/>
    <w:rsid w:val="1774442F"/>
    <w:rsid w:val="17A614B7"/>
    <w:rsid w:val="17E52D33"/>
    <w:rsid w:val="18102505"/>
    <w:rsid w:val="188942F0"/>
    <w:rsid w:val="18B402BB"/>
    <w:rsid w:val="18EB7F46"/>
    <w:rsid w:val="19F94CFE"/>
    <w:rsid w:val="1A035B78"/>
    <w:rsid w:val="1A4262E7"/>
    <w:rsid w:val="1A49080E"/>
    <w:rsid w:val="1A5E331A"/>
    <w:rsid w:val="1A677EAC"/>
    <w:rsid w:val="1A684A16"/>
    <w:rsid w:val="1A926F85"/>
    <w:rsid w:val="1ABE3100"/>
    <w:rsid w:val="1B0B7CB1"/>
    <w:rsid w:val="1B303ACB"/>
    <w:rsid w:val="1B742951"/>
    <w:rsid w:val="1B8E771B"/>
    <w:rsid w:val="1BF75C55"/>
    <w:rsid w:val="1C5663E9"/>
    <w:rsid w:val="1CF5522F"/>
    <w:rsid w:val="1CFE54DA"/>
    <w:rsid w:val="1D191F77"/>
    <w:rsid w:val="1DF10DA7"/>
    <w:rsid w:val="1E117DAD"/>
    <w:rsid w:val="1E203605"/>
    <w:rsid w:val="1E2E2153"/>
    <w:rsid w:val="1E2E3AF7"/>
    <w:rsid w:val="1E9F1477"/>
    <w:rsid w:val="1F8D53D6"/>
    <w:rsid w:val="1FDF2DA0"/>
    <w:rsid w:val="1FF62596"/>
    <w:rsid w:val="20693186"/>
    <w:rsid w:val="20C408AF"/>
    <w:rsid w:val="20F7073D"/>
    <w:rsid w:val="211C5698"/>
    <w:rsid w:val="21B11B08"/>
    <w:rsid w:val="21D2057A"/>
    <w:rsid w:val="21DA7842"/>
    <w:rsid w:val="21F53EF4"/>
    <w:rsid w:val="222D7DAE"/>
    <w:rsid w:val="2246117C"/>
    <w:rsid w:val="22664977"/>
    <w:rsid w:val="22E21754"/>
    <w:rsid w:val="24373EFF"/>
    <w:rsid w:val="24A4276E"/>
    <w:rsid w:val="24D87043"/>
    <w:rsid w:val="250C208F"/>
    <w:rsid w:val="25635F96"/>
    <w:rsid w:val="25C00CC5"/>
    <w:rsid w:val="25C822FD"/>
    <w:rsid w:val="25ED034F"/>
    <w:rsid w:val="26006687"/>
    <w:rsid w:val="266A30DC"/>
    <w:rsid w:val="266E609F"/>
    <w:rsid w:val="268E6051"/>
    <w:rsid w:val="26C460AA"/>
    <w:rsid w:val="26CB2133"/>
    <w:rsid w:val="26EF5FC0"/>
    <w:rsid w:val="275851BB"/>
    <w:rsid w:val="27613D99"/>
    <w:rsid w:val="277304FE"/>
    <w:rsid w:val="278D2926"/>
    <w:rsid w:val="285B41F5"/>
    <w:rsid w:val="286E4008"/>
    <w:rsid w:val="2882186D"/>
    <w:rsid w:val="288F7AFD"/>
    <w:rsid w:val="28D26BFD"/>
    <w:rsid w:val="299A11CC"/>
    <w:rsid w:val="29FF2188"/>
    <w:rsid w:val="2B413696"/>
    <w:rsid w:val="2B8C7EEF"/>
    <w:rsid w:val="2C10238B"/>
    <w:rsid w:val="2CD33606"/>
    <w:rsid w:val="2CDD7530"/>
    <w:rsid w:val="2D4943D8"/>
    <w:rsid w:val="2E073E5C"/>
    <w:rsid w:val="2E0E1D44"/>
    <w:rsid w:val="2E36745D"/>
    <w:rsid w:val="2E481F66"/>
    <w:rsid w:val="2E513DBB"/>
    <w:rsid w:val="2E961834"/>
    <w:rsid w:val="2EF3453C"/>
    <w:rsid w:val="2F2544D7"/>
    <w:rsid w:val="2F5A787C"/>
    <w:rsid w:val="2F7D7FAC"/>
    <w:rsid w:val="2FDD6CE4"/>
    <w:rsid w:val="30E4317D"/>
    <w:rsid w:val="30F174B7"/>
    <w:rsid w:val="31663F73"/>
    <w:rsid w:val="318475D8"/>
    <w:rsid w:val="31DC2D1A"/>
    <w:rsid w:val="31F31E6A"/>
    <w:rsid w:val="320F29E5"/>
    <w:rsid w:val="321D6017"/>
    <w:rsid w:val="33201287"/>
    <w:rsid w:val="34B75CA0"/>
    <w:rsid w:val="350000D1"/>
    <w:rsid w:val="353D5658"/>
    <w:rsid w:val="35926C25"/>
    <w:rsid w:val="35B53B55"/>
    <w:rsid w:val="35EE6332"/>
    <w:rsid w:val="36CE6FCB"/>
    <w:rsid w:val="371F5D58"/>
    <w:rsid w:val="37697A3B"/>
    <w:rsid w:val="37E711F2"/>
    <w:rsid w:val="38110531"/>
    <w:rsid w:val="3826060E"/>
    <w:rsid w:val="38822BE9"/>
    <w:rsid w:val="38C84D80"/>
    <w:rsid w:val="38D85A0E"/>
    <w:rsid w:val="38EB5F33"/>
    <w:rsid w:val="38F30CF9"/>
    <w:rsid w:val="390F6686"/>
    <w:rsid w:val="39350F20"/>
    <w:rsid w:val="3A455332"/>
    <w:rsid w:val="3A6A25CD"/>
    <w:rsid w:val="3ABB3A57"/>
    <w:rsid w:val="3B0A020C"/>
    <w:rsid w:val="3B350FC5"/>
    <w:rsid w:val="3B395190"/>
    <w:rsid w:val="3B5C5525"/>
    <w:rsid w:val="3B9F0BA2"/>
    <w:rsid w:val="3C1434F2"/>
    <w:rsid w:val="3C20749D"/>
    <w:rsid w:val="3C3A7FB8"/>
    <w:rsid w:val="3C567E51"/>
    <w:rsid w:val="3CE03E7D"/>
    <w:rsid w:val="3D21476F"/>
    <w:rsid w:val="3D627C33"/>
    <w:rsid w:val="3D6500BC"/>
    <w:rsid w:val="3D6A3D12"/>
    <w:rsid w:val="3DCF6CD7"/>
    <w:rsid w:val="3E674292"/>
    <w:rsid w:val="3EF51576"/>
    <w:rsid w:val="3F1B3DA9"/>
    <w:rsid w:val="3F463E2E"/>
    <w:rsid w:val="3FA7041A"/>
    <w:rsid w:val="400819F2"/>
    <w:rsid w:val="41071D57"/>
    <w:rsid w:val="413E172D"/>
    <w:rsid w:val="414F4DBC"/>
    <w:rsid w:val="41552738"/>
    <w:rsid w:val="418460AA"/>
    <w:rsid w:val="41972AD9"/>
    <w:rsid w:val="41AF4A55"/>
    <w:rsid w:val="41CD0B81"/>
    <w:rsid w:val="41F91555"/>
    <w:rsid w:val="421B7313"/>
    <w:rsid w:val="421F217C"/>
    <w:rsid w:val="42686258"/>
    <w:rsid w:val="42C2120E"/>
    <w:rsid w:val="42EA12AC"/>
    <w:rsid w:val="431357B1"/>
    <w:rsid w:val="438809E8"/>
    <w:rsid w:val="439230D1"/>
    <w:rsid w:val="44040BDA"/>
    <w:rsid w:val="440C2769"/>
    <w:rsid w:val="4411084A"/>
    <w:rsid w:val="4422133A"/>
    <w:rsid w:val="44A57A6F"/>
    <w:rsid w:val="452457E3"/>
    <w:rsid w:val="45A602EB"/>
    <w:rsid w:val="464E7052"/>
    <w:rsid w:val="46E5715B"/>
    <w:rsid w:val="46FB1E21"/>
    <w:rsid w:val="471F3DE4"/>
    <w:rsid w:val="4734343C"/>
    <w:rsid w:val="47792264"/>
    <w:rsid w:val="478375B4"/>
    <w:rsid w:val="47F41189"/>
    <w:rsid w:val="485D2229"/>
    <w:rsid w:val="48614E85"/>
    <w:rsid w:val="488A5E64"/>
    <w:rsid w:val="48E920D4"/>
    <w:rsid w:val="492B2808"/>
    <w:rsid w:val="498E0085"/>
    <w:rsid w:val="49A71FFB"/>
    <w:rsid w:val="4A2C1AF5"/>
    <w:rsid w:val="4A5405B8"/>
    <w:rsid w:val="4AD951E3"/>
    <w:rsid w:val="4B2E4C43"/>
    <w:rsid w:val="4BE534D5"/>
    <w:rsid w:val="4BEF625D"/>
    <w:rsid w:val="4C205248"/>
    <w:rsid w:val="4CB11E5A"/>
    <w:rsid w:val="4CCD0A2C"/>
    <w:rsid w:val="4CDD3049"/>
    <w:rsid w:val="4D0561B1"/>
    <w:rsid w:val="4D190DA9"/>
    <w:rsid w:val="4D612775"/>
    <w:rsid w:val="4D937EC2"/>
    <w:rsid w:val="4DA2287F"/>
    <w:rsid w:val="4DAE6BDA"/>
    <w:rsid w:val="4DD921EC"/>
    <w:rsid w:val="4DE97170"/>
    <w:rsid w:val="4E637D96"/>
    <w:rsid w:val="4E6D135B"/>
    <w:rsid w:val="4EC840F9"/>
    <w:rsid w:val="4EE61877"/>
    <w:rsid w:val="4F2C3B22"/>
    <w:rsid w:val="4F313E39"/>
    <w:rsid w:val="4F5F6DBC"/>
    <w:rsid w:val="4F692E44"/>
    <w:rsid w:val="4FA06FF6"/>
    <w:rsid w:val="4FF9372B"/>
    <w:rsid w:val="501C5764"/>
    <w:rsid w:val="508F729D"/>
    <w:rsid w:val="509348AE"/>
    <w:rsid w:val="50A1070B"/>
    <w:rsid w:val="50FD3686"/>
    <w:rsid w:val="511A4260"/>
    <w:rsid w:val="517061E9"/>
    <w:rsid w:val="519979BB"/>
    <w:rsid w:val="51A1055F"/>
    <w:rsid w:val="523C2555"/>
    <w:rsid w:val="52456E49"/>
    <w:rsid w:val="53C066C1"/>
    <w:rsid w:val="53C20162"/>
    <w:rsid w:val="53C25536"/>
    <w:rsid w:val="53D3559D"/>
    <w:rsid w:val="5419171A"/>
    <w:rsid w:val="5488036C"/>
    <w:rsid w:val="54C16996"/>
    <w:rsid w:val="550144AF"/>
    <w:rsid w:val="551B65BD"/>
    <w:rsid w:val="55740AB1"/>
    <w:rsid w:val="55743AF5"/>
    <w:rsid w:val="5581493D"/>
    <w:rsid w:val="55A267F6"/>
    <w:rsid w:val="55D3430C"/>
    <w:rsid w:val="55F53D51"/>
    <w:rsid w:val="56116B59"/>
    <w:rsid w:val="56BC7209"/>
    <w:rsid w:val="56D34832"/>
    <w:rsid w:val="5715538F"/>
    <w:rsid w:val="57811818"/>
    <w:rsid w:val="57FC5C10"/>
    <w:rsid w:val="58353018"/>
    <w:rsid w:val="58514247"/>
    <w:rsid w:val="58ED1516"/>
    <w:rsid w:val="59097F5A"/>
    <w:rsid w:val="59507FB5"/>
    <w:rsid w:val="59ED0D61"/>
    <w:rsid w:val="59FD6920"/>
    <w:rsid w:val="5A15236A"/>
    <w:rsid w:val="5A3F7B2A"/>
    <w:rsid w:val="5A464579"/>
    <w:rsid w:val="5A6B1D59"/>
    <w:rsid w:val="5A980972"/>
    <w:rsid w:val="5AA47CCB"/>
    <w:rsid w:val="5C3C53BB"/>
    <w:rsid w:val="5C6865B5"/>
    <w:rsid w:val="5CB31B51"/>
    <w:rsid w:val="5CB47AE3"/>
    <w:rsid w:val="5D06547D"/>
    <w:rsid w:val="5D0E1502"/>
    <w:rsid w:val="5D104D46"/>
    <w:rsid w:val="5D3B6430"/>
    <w:rsid w:val="5E335E5D"/>
    <w:rsid w:val="5E536F0E"/>
    <w:rsid w:val="5E681DC9"/>
    <w:rsid w:val="5E83480D"/>
    <w:rsid w:val="5EB95A74"/>
    <w:rsid w:val="5FA06707"/>
    <w:rsid w:val="600F1BB1"/>
    <w:rsid w:val="60332367"/>
    <w:rsid w:val="605E7A49"/>
    <w:rsid w:val="60EF06A3"/>
    <w:rsid w:val="618E2A26"/>
    <w:rsid w:val="61CF7644"/>
    <w:rsid w:val="6221270F"/>
    <w:rsid w:val="62A36661"/>
    <w:rsid w:val="62A556AD"/>
    <w:rsid w:val="62CE72BA"/>
    <w:rsid w:val="63285E48"/>
    <w:rsid w:val="6378238C"/>
    <w:rsid w:val="639E562F"/>
    <w:rsid w:val="63B96380"/>
    <w:rsid w:val="63DD630A"/>
    <w:rsid w:val="63EA7168"/>
    <w:rsid w:val="6404504D"/>
    <w:rsid w:val="64182FD7"/>
    <w:rsid w:val="64345F97"/>
    <w:rsid w:val="64375549"/>
    <w:rsid w:val="64717C61"/>
    <w:rsid w:val="647326EA"/>
    <w:rsid w:val="64C73C61"/>
    <w:rsid w:val="658846AD"/>
    <w:rsid w:val="65934441"/>
    <w:rsid w:val="65DD165E"/>
    <w:rsid w:val="65E43940"/>
    <w:rsid w:val="65FE0996"/>
    <w:rsid w:val="661F69FB"/>
    <w:rsid w:val="664E58CA"/>
    <w:rsid w:val="666922E5"/>
    <w:rsid w:val="66EB646C"/>
    <w:rsid w:val="67173F01"/>
    <w:rsid w:val="674C116E"/>
    <w:rsid w:val="67936FF3"/>
    <w:rsid w:val="67AF7506"/>
    <w:rsid w:val="67B7C016"/>
    <w:rsid w:val="683B150B"/>
    <w:rsid w:val="684125AD"/>
    <w:rsid w:val="684E642B"/>
    <w:rsid w:val="68695947"/>
    <w:rsid w:val="68DF50DB"/>
    <w:rsid w:val="692B4A4E"/>
    <w:rsid w:val="69A45AE0"/>
    <w:rsid w:val="69DE3F4E"/>
    <w:rsid w:val="6A7D2A4B"/>
    <w:rsid w:val="6ACA55FF"/>
    <w:rsid w:val="6B1A25AB"/>
    <w:rsid w:val="6B35000C"/>
    <w:rsid w:val="6B9E310F"/>
    <w:rsid w:val="6BDC74A3"/>
    <w:rsid w:val="6C4A630A"/>
    <w:rsid w:val="6C722C55"/>
    <w:rsid w:val="6CA36108"/>
    <w:rsid w:val="6DAF05F3"/>
    <w:rsid w:val="6DAF4F26"/>
    <w:rsid w:val="6DD25EF1"/>
    <w:rsid w:val="6EA11AFD"/>
    <w:rsid w:val="6EC64215"/>
    <w:rsid w:val="6ED83360"/>
    <w:rsid w:val="6EDF312E"/>
    <w:rsid w:val="6F2C4FE2"/>
    <w:rsid w:val="6F732F0B"/>
    <w:rsid w:val="6F875E6C"/>
    <w:rsid w:val="6FCE734F"/>
    <w:rsid w:val="701E6E96"/>
    <w:rsid w:val="702B62DD"/>
    <w:rsid w:val="703D6AA2"/>
    <w:rsid w:val="70B272C6"/>
    <w:rsid w:val="71117F65"/>
    <w:rsid w:val="7131430B"/>
    <w:rsid w:val="71471B80"/>
    <w:rsid w:val="71824F76"/>
    <w:rsid w:val="71DA2FB2"/>
    <w:rsid w:val="721600F5"/>
    <w:rsid w:val="723231A0"/>
    <w:rsid w:val="7261164D"/>
    <w:rsid w:val="7269180A"/>
    <w:rsid w:val="73124D20"/>
    <w:rsid w:val="73866EE7"/>
    <w:rsid w:val="74110C7A"/>
    <w:rsid w:val="74A029B5"/>
    <w:rsid w:val="74A96F24"/>
    <w:rsid w:val="74E74144"/>
    <w:rsid w:val="75607997"/>
    <w:rsid w:val="7633625D"/>
    <w:rsid w:val="76443078"/>
    <w:rsid w:val="764F04B6"/>
    <w:rsid w:val="7653045B"/>
    <w:rsid w:val="765D20B6"/>
    <w:rsid w:val="766D2B7D"/>
    <w:rsid w:val="76765814"/>
    <w:rsid w:val="768F4569"/>
    <w:rsid w:val="76FE5244"/>
    <w:rsid w:val="7705126D"/>
    <w:rsid w:val="77584FFB"/>
    <w:rsid w:val="77663745"/>
    <w:rsid w:val="77BC364A"/>
    <w:rsid w:val="77C442A3"/>
    <w:rsid w:val="78737766"/>
    <w:rsid w:val="789D1816"/>
    <w:rsid w:val="78F36363"/>
    <w:rsid w:val="794774DF"/>
    <w:rsid w:val="79D71DC5"/>
    <w:rsid w:val="7AB317CD"/>
    <w:rsid w:val="7AC15D0D"/>
    <w:rsid w:val="7B713D0F"/>
    <w:rsid w:val="7BA83F54"/>
    <w:rsid w:val="7BAF06BC"/>
    <w:rsid w:val="7BB662DF"/>
    <w:rsid w:val="7BD9360C"/>
    <w:rsid w:val="7BEE1DA6"/>
    <w:rsid w:val="7C675E56"/>
    <w:rsid w:val="7CEA0BF4"/>
    <w:rsid w:val="7D754BA1"/>
    <w:rsid w:val="7D8A5A58"/>
    <w:rsid w:val="7DAF3EEC"/>
    <w:rsid w:val="7DEE1710"/>
    <w:rsid w:val="7DF0338E"/>
    <w:rsid w:val="7E830DE0"/>
    <w:rsid w:val="7EE7579A"/>
    <w:rsid w:val="7F080D24"/>
    <w:rsid w:val="7F1F0179"/>
    <w:rsid w:val="7F2B6087"/>
    <w:rsid w:val="7F3A34B4"/>
    <w:rsid w:val="7F553A0B"/>
    <w:rsid w:val="7FC13984"/>
    <w:rsid w:val="7FDB4F75"/>
    <w:rsid w:val="EC7DB3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8</TotalTime>
  <ScaleCrop>false</ScaleCrop>
  <LinksUpToDate>false</LinksUpToDate>
  <CharactersWithSpaces>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2022-11-24T19:26:00Z</dcterms:created>
  <dc:creator>86139</dc:creator>
  <cp:lastModifiedBy>sugon</cp:lastModifiedBy>
  <dcterms:modified xsi:type="dcterms:W3CDTF">2026-01-20T15:36:02Z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5350BFA8B4C341DC944594AF23B12887</vt:lpwstr>
  </property>
  <property fmtid="{D5CDD505-2E9C-101B-9397-08002B2CF9AE}" pid="4" name="KSOTemplateDocerSaveRecord">
    <vt:lpwstr>eyJoZGlkIjoiMTgwNWU2ZjM0ODMzNzdhOGZiZTFmZWRkYWQ3NjQxOTAiLCJ1c2VySWQiOiI1NzU3ODAyMTYifQ==</vt:lpwstr>
  </property>
</Properties>
</file>