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inorEastAsia" w:hAnsiTheme="minorEastAsia"/>
          <w:b/>
          <w:sz w:val="44"/>
          <w:szCs w:val="44"/>
        </w:rPr>
      </w:pPr>
      <w:r>
        <w:rPr>
          <w:rFonts w:hint="eastAsia" w:asciiTheme="minorEastAsia" w:hAnsiTheme="minorEastAsia"/>
          <w:b/>
          <w:sz w:val="44"/>
          <w:szCs w:val="44"/>
        </w:rPr>
        <w:t>市粮食和物资储备局</w:t>
      </w:r>
    </w:p>
    <w:p>
      <w:pPr>
        <w:jc w:val="center"/>
        <w:rPr>
          <w:rFonts w:asciiTheme="minorEastAsia" w:hAnsiTheme="minorEastAsia"/>
          <w:b/>
          <w:sz w:val="44"/>
          <w:szCs w:val="44"/>
        </w:rPr>
      </w:pPr>
      <w:r>
        <w:rPr>
          <w:rFonts w:hint="eastAsia" w:asciiTheme="minorEastAsia" w:hAnsiTheme="minorEastAsia"/>
          <w:b/>
          <w:sz w:val="44"/>
          <w:szCs w:val="44"/>
        </w:rPr>
        <w:t>2022年工作小结和2023年工作打算</w:t>
      </w:r>
    </w:p>
    <w:p/>
    <w:p>
      <w:pPr>
        <w:spacing w:line="580" w:lineRule="exact"/>
        <w:ind w:firstLine="640" w:firstLineChars="200"/>
        <w:rPr>
          <w:rFonts w:ascii="仿宋_GB2312" w:eastAsia="仿宋_GB2312" w:cs="Times New Roman"/>
          <w:sz w:val="32"/>
          <w:szCs w:val="32"/>
        </w:rPr>
      </w:pPr>
      <w:r>
        <w:rPr>
          <w:rFonts w:hint="eastAsia" w:ascii="仿宋_GB2312" w:eastAsia="仿宋_GB2312" w:cs="仿宋_GB2312"/>
          <w:sz w:val="32"/>
          <w:szCs w:val="32"/>
        </w:rPr>
        <w:t>根据市</w:t>
      </w:r>
      <w:r>
        <w:rPr>
          <w:rFonts w:hint="eastAsia" w:ascii="仿宋_GB2312" w:eastAsia="仿宋_GB2312" w:cs="仿宋_GB2312"/>
          <w:sz w:val="32"/>
          <w:szCs w:val="32"/>
          <w:lang w:eastAsia="zh-CN"/>
        </w:rPr>
        <w:t>苏州市人民政府研究室</w:t>
      </w:r>
      <w:r>
        <w:rPr>
          <w:rFonts w:hint="eastAsia" w:ascii="仿宋_GB2312" w:eastAsia="仿宋_GB2312" w:cs="仿宋_GB2312"/>
          <w:sz w:val="32"/>
          <w:szCs w:val="32"/>
        </w:rPr>
        <w:t>关于报送</w:t>
      </w:r>
      <w:r>
        <w:rPr>
          <w:rFonts w:ascii="仿宋_GB2312" w:eastAsia="仿宋_GB2312" w:cs="仿宋_GB2312"/>
          <w:sz w:val="32"/>
          <w:szCs w:val="32"/>
        </w:rPr>
        <w:t>202</w:t>
      </w: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年政府工作报告素材的通知要求，现将我局今年以来工作完成情况、明年工作计划汇报如下：</w:t>
      </w:r>
    </w:p>
    <w:p>
      <w:pPr>
        <w:ind w:firstLine="640" w:firstLineChars="200"/>
        <w:rPr>
          <w:rFonts w:ascii="黑体" w:hAnsi="黑体" w:eastAsia="黑体"/>
          <w:sz w:val="32"/>
          <w:szCs w:val="32"/>
        </w:rPr>
      </w:pPr>
      <w:r>
        <w:rPr>
          <w:rFonts w:hint="eastAsia" w:ascii="黑体" w:hAnsi="黑体" w:eastAsia="黑体"/>
          <w:sz w:val="32"/>
          <w:szCs w:val="32"/>
        </w:rPr>
        <w:t>一、2022年工作情况</w:t>
      </w:r>
    </w:p>
    <w:p>
      <w:pPr>
        <w:ind w:firstLine="640" w:firstLineChars="200"/>
        <w:rPr>
          <w:rFonts w:hint="eastAsia" w:ascii="仿宋_GB2312" w:eastAsia="仿宋_GB2312"/>
          <w:sz w:val="32"/>
          <w:szCs w:val="32"/>
        </w:rPr>
      </w:pPr>
      <w:r>
        <w:rPr>
          <w:rFonts w:hint="eastAsia" w:ascii="仿宋_GB2312" w:eastAsia="仿宋_GB2312"/>
          <w:sz w:val="32"/>
          <w:szCs w:val="32"/>
        </w:rPr>
        <w:t>对照年初政府工作报告的部署安排和《市政府关于下达2022年政府工作任务的通知》的分工要求，我局全面完成了预定目标任务。现将情况汇报如下：</w:t>
      </w:r>
    </w:p>
    <w:p>
      <w:pPr>
        <w:ind w:firstLine="642" w:firstLineChars="200"/>
        <w:rPr>
          <w:rFonts w:ascii="仿宋_GB2312" w:eastAsia="仿宋_GB2312"/>
          <w:sz w:val="32"/>
          <w:szCs w:val="32"/>
        </w:rPr>
      </w:pPr>
      <w:r>
        <w:rPr>
          <w:rFonts w:hint="eastAsia" w:ascii="仿宋_GB2312" w:eastAsia="仿宋_GB2312"/>
          <w:b/>
          <w:sz w:val="32"/>
          <w:szCs w:val="32"/>
        </w:rPr>
        <w:t>一是扎实做好巡视整改工作</w:t>
      </w:r>
      <w:r>
        <w:rPr>
          <w:rFonts w:hint="eastAsia" w:ascii="仿宋_GB2312" w:eastAsia="仿宋_GB2312"/>
          <w:sz w:val="32"/>
          <w:szCs w:val="32"/>
        </w:rPr>
        <w:t>。</w:t>
      </w:r>
      <w:r>
        <w:rPr>
          <w:rFonts w:hint="eastAsia" w:ascii="Times New Roman" w:hAnsi="Times New Roman" w:eastAsia="仿宋_GB2312" w:cs="Times New Roman"/>
          <w:color w:val="000000" w:themeColor="text1"/>
          <w:sz w:val="32"/>
          <w:szCs w:val="32"/>
        </w:rPr>
        <w:t>切实提高政治站位，做深做实粮食购销领域腐败问题专项整治和涉粮问题专项巡视巡察“后半篇文章”，层层压实整改责任，严格落实整改措施，深入查找问题根源，坚持真改实改，做到举一反三，建立健全长效机制，确保整改取得实质性成效。截至目前，我局牵头整改的12个问题已完成整改11个（仓储设施建设正在推进），参与整改的10个问题已全部完成。</w:t>
      </w:r>
    </w:p>
    <w:p>
      <w:pPr>
        <w:ind w:firstLine="642" w:firstLineChars="200"/>
        <w:rPr>
          <w:rFonts w:ascii="仿宋_GB2312" w:eastAsia="仿宋_GB2312"/>
          <w:sz w:val="32"/>
          <w:szCs w:val="32"/>
        </w:rPr>
      </w:pPr>
      <w:r>
        <w:rPr>
          <w:rFonts w:hint="eastAsia" w:ascii="仿宋_GB2312" w:eastAsia="仿宋_GB2312"/>
          <w:b/>
          <w:sz w:val="32"/>
          <w:szCs w:val="32"/>
        </w:rPr>
        <w:t>二是全力保障粮食供应安全</w:t>
      </w:r>
      <w:r>
        <w:rPr>
          <w:rFonts w:hint="eastAsia" w:ascii="仿宋_GB2312" w:eastAsia="仿宋_GB2312"/>
          <w:sz w:val="32"/>
          <w:szCs w:val="32"/>
        </w:rPr>
        <w:t>。</w:t>
      </w:r>
      <w:r>
        <w:rPr>
          <w:rFonts w:hint="eastAsia" w:ascii="仿宋_GB2312" w:hAnsi="仿宋_GB2312" w:eastAsia="仿宋_GB2312" w:cs="仿宋_GB2312"/>
          <w:sz w:val="32"/>
          <w:szCs w:val="32"/>
        </w:rPr>
        <w:t>与市财政局、市农发行联合印发《关于加强地方政府储备粮管理增强区域粮食安全保障能力的意见》，对储备库存数量作出明确要求。今年1-10月份，</w:t>
      </w:r>
      <w:r>
        <w:rPr>
          <w:rFonts w:hint="eastAsia" w:ascii="仿宋_GB2312" w:hAnsi="仿宋_GB2312" w:eastAsia="仿宋_GB2312" w:cs="仿宋_GB2312"/>
          <w:spacing w:val="-4"/>
          <w:sz w:val="32"/>
          <w:szCs w:val="32"/>
        </w:rPr>
        <w:t>全市地方政府储备原粮月末平均库存保持在57.1万吨左右，达总量计划的88%；成品粮月末平均库存保持在4.92万吨左右，达承储计划的99%。疫情期间，我局外抓粮源，内保市场，全市粮油供应量足价稳，没有发生脱销断档现象。</w:t>
      </w:r>
    </w:p>
    <w:p>
      <w:pPr>
        <w:ind w:firstLine="642" w:firstLineChars="200"/>
        <w:rPr>
          <w:rFonts w:ascii="仿宋_GB2312" w:eastAsia="仿宋_GB2312"/>
          <w:sz w:val="32"/>
          <w:szCs w:val="32"/>
        </w:rPr>
      </w:pPr>
      <w:r>
        <w:rPr>
          <w:rFonts w:hint="eastAsia" w:ascii="仿宋_GB2312" w:eastAsia="仿宋_GB2312"/>
          <w:b/>
          <w:sz w:val="32"/>
          <w:szCs w:val="32"/>
        </w:rPr>
        <w:t>三是认真编制仓储建设规划</w:t>
      </w:r>
      <w:r>
        <w:rPr>
          <w:rFonts w:hint="eastAsia" w:ascii="仿宋_GB2312" w:eastAsia="仿宋_GB2312"/>
          <w:sz w:val="32"/>
          <w:szCs w:val="32"/>
        </w:rPr>
        <w:t>。</w:t>
      </w:r>
      <w:r>
        <w:rPr>
          <w:rFonts w:hint="eastAsia" w:ascii="仿宋_GB2312" w:hAnsi="仿宋" w:eastAsia="仿宋_GB2312"/>
          <w:sz w:val="32"/>
          <w:szCs w:val="32"/>
        </w:rPr>
        <w:t>按</w:t>
      </w:r>
      <w:r>
        <w:rPr>
          <w:rFonts w:ascii="仿宋_GB2312" w:hAnsi="仿宋" w:eastAsia="仿宋_GB2312"/>
          <w:sz w:val="32"/>
          <w:szCs w:val="32"/>
        </w:rPr>
        <w:t>照“市域内为主、市域外为辅，市域内分区、市域外集中”原则，</w:t>
      </w:r>
      <w:r>
        <w:rPr>
          <w:rFonts w:hint="eastAsia" w:ascii="仿宋_GB2312" w:hAnsi="仿宋" w:eastAsia="仿宋_GB2312"/>
          <w:sz w:val="32"/>
          <w:szCs w:val="32"/>
        </w:rPr>
        <w:t>经过反复论证，编制了“十四五”粮食仓储设施建设规划</w:t>
      </w:r>
      <w:r>
        <w:rPr>
          <w:rFonts w:ascii="仿宋_GB2312" w:hAnsi="仿宋" w:eastAsia="仿宋_GB2312"/>
          <w:sz w:val="32"/>
          <w:szCs w:val="32"/>
        </w:rPr>
        <w:t>。</w:t>
      </w:r>
      <w:r>
        <w:rPr>
          <w:rFonts w:hint="eastAsia" w:ascii="仿宋_GB2312" w:hAnsi="仿宋" w:eastAsia="仿宋_GB2312"/>
          <w:sz w:val="32"/>
          <w:szCs w:val="32"/>
        </w:rPr>
        <w:t>一方面</w:t>
      </w:r>
      <w:r>
        <w:rPr>
          <w:rFonts w:ascii="仿宋_GB2312" w:hAnsi="仿宋" w:eastAsia="仿宋_GB2312"/>
          <w:sz w:val="32"/>
          <w:szCs w:val="32"/>
        </w:rPr>
        <w:t>稳步推进域内粮食仓储设施建设。通过“市内新建一批、规划提升一批，整合淘汰一批”，进一步健全“中心库+骨干库+收纳库”库点架构。</w:t>
      </w:r>
      <w:r>
        <w:rPr>
          <w:rFonts w:hint="eastAsia" w:ascii="仿宋_GB2312" w:hAnsi="仿宋" w:eastAsia="仿宋_GB2312"/>
          <w:sz w:val="32"/>
          <w:szCs w:val="32"/>
        </w:rPr>
        <w:t>另一方面</w:t>
      </w:r>
      <w:r>
        <w:rPr>
          <w:rFonts w:ascii="仿宋_GB2312" w:hAnsi="仿宋" w:eastAsia="仿宋_GB2312"/>
          <w:sz w:val="32"/>
          <w:szCs w:val="32"/>
        </w:rPr>
        <w:t>加强多方战略合作。支持市农发集团在盐城和宿迁分别规划建设30万吨和10万吨仓容粮库。</w:t>
      </w:r>
      <w:r>
        <w:rPr>
          <w:rFonts w:hint="eastAsia" w:ascii="仿宋_GB2312" w:hAnsi="仿宋" w:eastAsia="仿宋_GB2312"/>
          <w:sz w:val="32"/>
          <w:szCs w:val="32"/>
        </w:rPr>
        <w:t>目前，各个规划建设项目都在紧锣密鼓地推进。</w:t>
      </w:r>
    </w:p>
    <w:p>
      <w:pPr>
        <w:ind w:firstLine="642" w:firstLineChars="200"/>
        <w:rPr>
          <w:rFonts w:ascii="仿宋_GB2312" w:eastAsia="仿宋_GB2312"/>
          <w:sz w:val="32"/>
          <w:szCs w:val="32"/>
        </w:rPr>
      </w:pPr>
      <w:r>
        <w:rPr>
          <w:rFonts w:hint="eastAsia" w:ascii="仿宋_GB2312" w:eastAsia="仿宋_GB2312"/>
          <w:b/>
          <w:sz w:val="32"/>
          <w:szCs w:val="32"/>
        </w:rPr>
        <w:t>四是稳步推进储备体制改革</w:t>
      </w:r>
      <w:r>
        <w:rPr>
          <w:rFonts w:hint="eastAsia" w:ascii="仿宋_GB2312" w:eastAsia="仿宋_GB2312"/>
          <w:sz w:val="32"/>
          <w:szCs w:val="32"/>
        </w:rPr>
        <w:t>。</w:t>
      </w:r>
      <w:r>
        <w:rPr>
          <w:rFonts w:hint="eastAsia" w:ascii="Times New Roman" w:hAnsi="Times New Roman" w:eastAsia="仿宋_GB2312" w:cs="Times New Roman"/>
          <w:color w:val="000000" w:themeColor="text1"/>
          <w:sz w:val="32"/>
          <w:szCs w:val="32"/>
        </w:rPr>
        <w:t>出台了《苏州市关于推进“两分离、四分开”改革的指导意见》，</w:t>
      </w:r>
      <w:r>
        <w:rPr>
          <w:rFonts w:hint="eastAsia" w:ascii="仿宋_GB2312" w:hAnsi="仿宋_GB2312" w:eastAsia="仿宋_GB2312" w:cs="仿宋_GB2312"/>
          <w:sz w:val="32"/>
          <w:szCs w:val="32"/>
        </w:rPr>
        <w:t>联合印发了</w:t>
      </w:r>
      <w:r>
        <w:rPr>
          <w:rFonts w:hint="eastAsia" w:ascii="仿宋_GB2312" w:hAnsi="Calibri" w:eastAsia="仿宋_GB2312" w:cs="Times New Roman"/>
          <w:sz w:val="32"/>
          <w:szCs w:val="32"/>
        </w:rPr>
        <w:t>《关于地方储备粮政策性职能和经营性职能分开的实施意见》，指导各地扎实</w:t>
      </w:r>
      <w:r>
        <w:rPr>
          <w:rFonts w:hint="eastAsia" w:ascii="仿宋_GB2312" w:hAnsi="仿宋_GB2312" w:eastAsia="仿宋_GB2312" w:cs="仿宋_GB2312"/>
          <w:sz w:val="32"/>
          <w:szCs w:val="32"/>
        </w:rPr>
        <w:t>推进</w:t>
      </w:r>
      <w:r>
        <w:rPr>
          <w:rFonts w:hint="eastAsia" w:ascii="仿宋_GB2312" w:hAnsi="Calibri" w:eastAsia="仿宋_GB2312" w:cs="Times New Roman"/>
          <w:sz w:val="32"/>
          <w:szCs w:val="32"/>
        </w:rPr>
        <w:t>政策性</w:t>
      </w:r>
      <w:r>
        <w:rPr>
          <w:rFonts w:hint="eastAsia" w:ascii="仿宋_GB2312" w:hAnsi="仿宋" w:eastAsia="仿宋_GB2312" w:cs="Times New Roman"/>
          <w:sz w:val="32"/>
          <w:szCs w:val="32"/>
        </w:rPr>
        <w:t>业务与经营性业务有效分离，实行人员、实物、财务、账务严格分开。</w:t>
      </w:r>
      <w:r>
        <w:rPr>
          <w:rFonts w:hint="eastAsia" w:ascii="Times New Roman" w:hAnsi="Times New Roman" w:eastAsia="仿宋_GB2312" w:cs="Times New Roman"/>
          <w:color w:val="000000" w:themeColor="text1"/>
          <w:sz w:val="32"/>
          <w:szCs w:val="32"/>
        </w:rPr>
        <w:t>该项工作已</w:t>
      </w:r>
      <w:r>
        <w:rPr>
          <w:rFonts w:hint="eastAsia" w:ascii="仿宋_GB2312" w:hAnsi="Times New Roman" w:eastAsia="仿宋_GB2312" w:cs="Times New Roman"/>
          <w:sz w:val="32"/>
          <w:szCs w:val="32"/>
        </w:rPr>
        <w:t>于9月底落实到位。按照市委、市政府要求和部署，</w:t>
      </w:r>
      <w:r>
        <w:rPr>
          <w:rFonts w:hint="eastAsia" w:ascii="仿宋_GB2312" w:hAnsi="仿宋" w:eastAsia="仿宋_GB2312" w:cs="Times New Roman"/>
          <w:sz w:val="32"/>
          <w:szCs w:val="32"/>
        </w:rPr>
        <w:t>积极推动组建市储备粮管理公司。目前，市储备粮公司和四县（市）一区（吴江）储备粮公司均已挂牌成立。</w:t>
      </w:r>
      <w:r>
        <w:rPr>
          <w:rFonts w:hint="eastAsia" w:ascii="仿宋_GB2312" w:hAnsi="仿宋_GB2312" w:eastAsia="仿宋_GB2312" w:cs="仿宋_GB2312"/>
          <w:sz w:val="32"/>
          <w:szCs w:val="32"/>
        </w:rPr>
        <w:t>10月1</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日，市储备粮管理公司完成对吴中区、相城区储备库点的股权收购工作，完成对张家港、常熟、太仓、昆山四县（市）及吴江区储备粮管理公司的股权收购工作。</w:t>
      </w:r>
    </w:p>
    <w:p>
      <w:pPr>
        <w:ind w:firstLine="640" w:firstLineChars="200"/>
        <w:rPr>
          <w:rFonts w:ascii="黑体" w:hAnsi="黑体" w:eastAsia="黑体"/>
          <w:sz w:val="32"/>
          <w:szCs w:val="32"/>
        </w:rPr>
      </w:pPr>
      <w:r>
        <w:rPr>
          <w:rFonts w:hint="eastAsia" w:ascii="黑体" w:hAnsi="黑体" w:eastAsia="黑体"/>
          <w:sz w:val="32"/>
          <w:szCs w:val="32"/>
        </w:rPr>
        <w:t>二、2023年重点工作</w:t>
      </w:r>
    </w:p>
    <w:p>
      <w:pPr>
        <w:ind w:firstLine="640" w:firstLineChars="200"/>
        <w:rPr>
          <w:rFonts w:hint="eastAsia" w:ascii="仿宋_GB2312" w:eastAsia="仿宋_GB2312"/>
          <w:sz w:val="32"/>
          <w:szCs w:val="32"/>
        </w:rPr>
      </w:pPr>
      <w:r>
        <w:rPr>
          <w:rFonts w:hint="eastAsia" w:ascii="仿宋_GB2312" w:eastAsia="仿宋_GB2312"/>
          <w:sz w:val="32"/>
          <w:szCs w:val="32"/>
        </w:rPr>
        <w:t>2023年，市粮食和储备局始终坚持以习近平新时代中国特色社会主义思想为指引，深入学习贯彻党的二十大精神，认真落实中央和省、市的各项决策部署，继续深化粮食储备体制机制改革，</w:t>
      </w:r>
      <w:r>
        <w:rPr>
          <w:rFonts w:ascii="仿宋_GB2312" w:eastAsia="仿宋_GB2312"/>
          <w:sz w:val="32"/>
          <w:szCs w:val="32"/>
        </w:rPr>
        <w:t>完善储备轮换机制，强化日常监督管理，提升收储保供能力，加快构建更高质量、更有效率、更可持续的粮食安全</w:t>
      </w:r>
      <w:r>
        <w:rPr>
          <w:rFonts w:hint="eastAsia" w:ascii="仿宋_GB2312" w:eastAsia="仿宋_GB2312"/>
          <w:sz w:val="32"/>
          <w:szCs w:val="32"/>
        </w:rPr>
        <w:t>和物资储备</w:t>
      </w:r>
      <w:r>
        <w:rPr>
          <w:rFonts w:ascii="仿宋_GB2312" w:eastAsia="仿宋_GB2312"/>
          <w:sz w:val="32"/>
          <w:szCs w:val="32"/>
        </w:rPr>
        <w:t>保障体系。</w:t>
      </w:r>
    </w:p>
    <w:p>
      <w:pPr>
        <w:ind w:firstLine="642" w:firstLineChars="200"/>
        <w:rPr>
          <w:rFonts w:hint="eastAsia" w:ascii="仿宋_GB2312" w:eastAsia="仿宋_GB2312"/>
          <w:sz w:val="32"/>
          <w:szCs w:val="32"/>
        </w:rPr>
      </w:pPr>
      <w:r>
        <w:rPr>
          <w:rFonts w:hint="eastAsia" w:ascii="仿宋_GB2312" w:eastAsia="仿宋_GB2312"/>
          <w:b/>
          <w:sz w:val="32"/>
          <w:szCs w:val="32"/>
        </w:rPr>
        <w:t>一是继续深化涉粮问题巡视整改</w:t>
      </w:r>
      <w:r>
        <w:rPr>
          <w:rFonts w:hint="eastAsia" w:ascii="仿宋_GB2312" w:eastAsia="仿宋_GB2312"/>
          <w:sz w:val="32"/>
          <w:szCs w:val="32"/>
        </w:rPr>
        <w:t>。</w:t>
      </w:r>
      <w:r>
        <w:rPr>
          <w:rFonts w:hint="eastAsia" w:ascii="仿宋_GB2312" w:hAnsi="仿宋_GB2312" w:eastAsia="仿宋_GB2312" w:cs="仿宋_GB2312"/>
          <w:sz w:val="32"/>
          <w:szCs w:val="32"/>
        </w:rPr>
        <w:t>强化制度建设，规范行业管理，加强粮食储备轮换管理、资金保障、监督检查、安全生产等方面的培训与督导，以</w:t>
      </w:r>
      <w:r>
        <w:rPr>
          <w:rFonts w:ascii="仿宋_GB2312" w:hAnsi="仿宋_GB2312" w:eastAsia="仿宋_GB2312" w:cs="仿宋_GB2312"/>
          <w:sz w:val="32"/>
          <w:szCs w:val="32"/>
        </w:rPr>
        <w:t>严之又严、细之又细、实之又实</w:t>
      </w:r>
      <w:r>
        <w:rPr>
          <w:rFonts w:hint="eastAsia" w:ascii="仿宋_GB2312" w:hAnsi="仿宋_GB2312" w:eastAsia="仿宋_GB2312" w:cs="仿宋_GB2312"/>
          <w:sz w:val="32"/>
          <w:szCs w:val="32"/>
        </w:rPr>
        <w:t>的举措确保省委巡视反馈意见整改工作落地生根，取得实效。</w:t>
      </w:r>
      <w:r>
        <w:rPr>
          <w:rFonts w:hint="eastAsia" w:ascii="仿宋_GB2312" w:hAnsi="仿宋_GB2312" w:eastAsia="仿宋_GB2312" w:cs="仿宋_GB2312"/>
          <w:color w:val="000000"/>
          <w:sz w:val="32"/>
          <w:szCs w:val="32"/>
        </w:rPr>
        <w:t>紧盯仓储建设项目进度，加大市、县两级部门联动，采取多种方式，协调解决建设用地保障等问题，积极</w:t>
      </w:r>
      <w:r>
        <w:rPr>
          <w:rFonts w:hint="eastAsia" w:ascii="仿宋_GB2312" w:hAnsi="仿宋_GB2312" w:eastAsia="仿宋_GB2312" w:cs="仿宋_GB2312"/>
          <w:sz w:val="32"/>
          <w:szCs w:val="32"/>
        </w:rPr>
        <w:t>推进域内域外粮食仓储设施项目建设。</w:t>
      </w:r>
    </w:p>
    <w:p>
      <w:pPr>
        <w:ind w:firstLine="642" w:firstLineChars="200"/>
        <w:rPr>
          <w:rFonts w:ascii="仿宋_GB2312" w:eastAsia="仿宋_GB2312"/>
          <w:sz w:val="32"/>
          <w:szCs w:val="32"/>
        </w:rPr>
      </w:pPr>
      <w:r>
        <w:rPr>
          <w:rFonts w:hint="eastAsia" w:ascii="仿宋_GB2312" w:eastAsia="仿宋_GB2312"/>
          <w:b/>
          <w:sz w:val="32"/>
          <w:szCs w:val="32"/>
        </w:rPr>
        <w:t>二是</w:t>
      </w:r>
      <w:r>
        <w:rPr>
          <w:rFonts w:ascii="仿宋_GB2312" w:eastAsia="仿宋_GB2312"/>
          <w:b/>
          <w:sz w:val="32"/>
          <w:szCs w:val="32"/>
        </w:rPr>
        <w:t>持续抓好粮食保供稳市</w:t>
      </w:r>
      <w:r>
        <w:rPr>
          <w:rFonts w:ascii="仿宋_GB2312" w:eastAsia="仿宋_GB2312"/>
          <w:sz w:val="32"/>
          <w:szCs w:val="32"/>
        </w:rPr>
        <w:t>。始终坚持系统思维、底线思维和问题导向，加强粮食市场形势分析研判，统筹做好加工、储运、供应等各环节衔接，有序组织粮源调度，稳定成品粮油储备常量，确保粮油供应不脱销断档、价格基本稳定，满足人民群众日常消费需求。多渠道宣传粮食保供情况，强化市场监测引导，完善统计监测体系，优化应急保供管理，确保粮食需要时能拿得出、调得动、用得上，提升应急工作在调控市场、稳定价格、应对突发事件的能力。</w:t>
      </w:r>
    </w:p>
    <w:p>
      <w:pPr>
        <w:ind w:firstLine="642" w:firstLineChars="200"/>
        <w:rPr>
          <w:rFonts w:hint="eastAsia" w:ascii="仿宋_GB2312" w:eastAsia="仿宋_GB2312"/>
          <w:sz w:val="32"/>
          <w:szCs w:val="32"/>
        </w:rPr>
      </w:pPr>
      <w:r>
        <w:rPr>
          <w:rFonts w:hint="eastAsia" w:ascii="仿宋_GB2312" w:eastAsia="仿宋_GB2312"/>
          <w:b/>
          <w:sz w:val="32"/>
          <w:szCs w:val="32"/>
        </w:rPr>
        <w:t>三是稳步</w:t>
      </w:r>
      <w:r>
        <w:rPr>
          <w:rFonts w:ascii="仿宋_GB2312" w:eastAsia="仿宋_GB2312"/>
          <w:b/>
          <w:sz w:val="32"/>
          <w:szCs w:val="32"/>
        </w:rPr>
        <w:t>提升物资储备应急能力</w:t>
      </w:r>
      <w:r>
        <w:rPr>
          <w:rFonts w:ascii="仿宋_GB2312" w:eastAsia="仿宋_GB2312"/>
          <w:sz w:val="32"/>
          <w:szCs w:val="32"/>
        </w:rPr>
        <w:t>。围绕</w:t>
      </w:r>
      <w:r>
        <w:rPr>
          <w:rFonts w:hint="eastAsia" w:ascii="仿宋_GB2312" w:eastAsia="仿宋_GB2312"/>
          <w:sz w:val="32"/>
          <w:szCs w:val="32"/>
        </w:rPr>
        <w:t>“确保灾害发生10小时之内受灾群众基本生活得到有效保障”</w:t>
      </w:r>
      <w:r>
        <w:rPr>
          <w:rFonts w:ascii="仿宋_GB2312" w:eastAsia="仿宋_GB2312"/>
          <w:sz w:val="32"/>
          <w:szCs w:val="32"/>
        </w:rPr>
        <w:t>要求，规范应急物资采购、管理、调拨、配送机制，提高应急物流响应速度，保障突发情况下的应急配送需要。强化民生保障，关注市场变化，根据</w:t>
      </w:r>
      <w:r>
        <w:rPr>
          <w:rFonts w:hint="eastAsia" w:ascii="仿宋_GB2312" w:eastAsia="仿宋_GB2312"/>
          <w:sz w:val="32"/>
          <w:szCs w:val="32"/>
        </w:rPr>
        <w:t>市</w:t>
      </w:r>
      <w:r>
        <w:rPr>
          <w:rFonts w:ascii="仿宋_GB2312" w:eastAsia="仿宋_GB2312"/>
          <w:sz w:val="32"/>
          <w:szCs w:val="32"/>
        </w:rPr>
        <w:t>政府要求适时开展储备猪肉投放，并指导全</w:t>
      </w:r>
      <w:r>
        <w:rPr>
          <w:rFonts w:hint="eastAsia" w:ascii="仿宋_GB2312" w:eastAsia="仿宋_GB2312"/>
          <w:sz w:val="32"/>
          <w:szCs w:val="32"/>
        </w:rPr>
        <w:t>市</w:t>
      </w:r>
      <w:r>
        <w:rPr>
          <w:rFonts w:ascii="仿宋_GB2312" w:eastAsia="仿宋_GB2312"/>
          <w:sz w:val="32"/>
          <w:szCs w:val="32"/>
        </w:rPr>
        <w:t>各地加强联动，形成放大效应。开展</w:t>
      </w:r>
      <w:r>
        <w:rPr>
          <w:rFonts w:hint="eastAsia" w:ascii="仿宋_GB2312" w:eastAsia="仿宋_GB2312"/>
          <w:sz w:val="32"/>
          <w:szCs w:val="32"/>
        </w:rPr>
        <w:t>“跨区联动、就近保障”</w:t>
      </w:r>
      <w:r>
        <w:rPr>
          <w:rFonts w:ascii="仿宋_GB2312" w:eastAsia="仿宋_GB2312"/>
          <w:sz w:val="32"/>
          <w:szCs w:val="32"/>
        </w:rPr>
        <w:t>探索，组织区域间联动支援，做到一地受灾、多地联动，一点应急、多点响应。</w:t>
      </w:r>
    </w:p>
    <w:p>
      <w:pPr>
        <w:ind w:firstLine="642" w:firstLineChars="200"/>
        <w:rPr>
          <w:rFonts w:hint="eastAsia" w:ascii="仿宋_GB2312" w:eastAsia="仿宋_GB2312"/>
          <w:sz w:val="32"/>
          <w:szCs w:val="32"/>
        </w:rPr>
      </w:pPr>
      <w:r>
        <w:rPr>
          <w:rFonts w:hint="eastAsia" w:ascii="仿宋_GB2312" w:eastAsia="仿宋_GB2312"/>
          <w:b/>
          <w:sz w:val="32"/>
          <w:szCs w:val="32"/>
        </w:rPr>
        <w:t>四是</w:t>
      </w:r>
      <w:r>
        <w:rPr>
          <w:rFonts w:ascii="仿宋_GB2312" w:eastAsia="仿宋_GB2312"/>
          <w:b/>
          <w:sz w:val="32"/>
          <w:szCs w:val="32"/>
        </w:rPr>
        <w:t>着力</w:t>
      </w:r>
      <w:r>
        <w:rPr>
          <w:rFonts w:hint="eastAsia" w:ascii="仿宋_GB2312" w:eastAsia="仿宋_GB2312"/>
          <w:b/>
          <w:sz w:val="32"/>
          <w:szCs w:val="32"/>
        </w:rPr>
        <w:t>推进</w:t>
      </w:r>
      <w:r>
        <w:rPr>
          <w:rFonts w:ascii="仿宋_GB2312" w:eastAsia="仿宋_GB2312"/>
          <w:b/>
          <w:sz w:val="32"/>
          <w:szCs w:val="32"/>
        </w:rPr>
        <w:t>粮食仓储管理规范化</w:t>
      </w:r>
      <w:r>
        <w:rPr>
          <w:rFonts w:ascii="仿宋_GB2312" w:eastAsia="仿宋_GB2312"/>
          <w:sz w:val="32"/>
          <w:szCs w:val="32"/>
        </w:rPr>
        <w:t>。</w:t>
      </w:r>
      <w:r>
        <w:rPr>
          <w:rFonts w:hint="eastAsia" w:ascii="仿宋_GB2312" w:hAnsi="仿宋_GB2312" w:eastAsia="仿宋_GB2312" w:cs="仿宋_GB2312"/>
          <w:sz w:val="32"/>
          <w:szCs w:val="32"/>
        </w:rPr>
        <w:t>创新实施《苏州市高标准绿色储粮规范》项目研究，推广应用《苏州市高标准粮库建设规范》成果，不断提高我市粮库建设质量和绿色储粮水平。</w:t>
      </w:r>
      <w:r>
        <w:rPr>
          <w:rFonts w:ascii="仿宋_GB2312" w:eastAsia="仿宋_GB2312"/>
          <w:sz w:val="32"/>
          <w:szCs w:val="32"/>
        </w:rPr>
        <w:t>重点围绕绿色仓储新技术和工艺、节粮减损、粮油机械升级、粮油营养与健康、资源综合利用等领域开展技术攻关、科研创新，延长产业链，提升价值链。加快</w:t>
      </w:r>
      <w:r>
        <w:rPr>
          <w:rFonts w:hint="eastAsia" w:ascii="仿宋_GB2312" w:eastAsia="仿宋_GB2312"/>
          <w:sz w:val="32"/>
          <w:szCs w:val="32"/>
        </w:rPr>
        <w:t>“仓顶阳光工程”、</w:t>
      </w:r>
      <w:r>
        <w:rPr>
          <w:rFonts w:ascii="仿宋_GB2312" w:eastAsia="仿宋_GB2312"/>
          <w:sz w:val="32"/>
          <w:szCs w:val="32"/>
        </w:rPr>
        <w:t>降尘降噪、生物虫害防治等技术应用，推动绿色、生态、低碳储粮。</w:t>
      </w:r>
    </w:p>
    <w:p>
      <w:pPr>
        <w:ind w:firstLine="642" w:firstLineChars="200"/>
        <w:rPr>
          <w:rFonts w:hint="eastAsia" w:ascii="仿宋_GB2312" w:eastAsia="仿宋_GB2312"/>
          <w:sz w:val="32"/>
          <w:szCs w:val="32"/>
        </w:rPr>
      </w:pPr>
      <w:r>
        <w:rPr>
          <w:rFonts w:hint="eastAsia" w:ascii="仿宋_GB2312" w:eastAsia="仿宋_GB2312"/>
          <w:b/>
          <w:sz w:val="32"/>
          <w:szCs w:val="32"/>
        </w:rPr>
        <w:t>五是不断深化</w:t>
      </w:r>
      <w:r>
        <w:rPr>
          <w:rFonts w:ascii="仿宋_GB2312" w:eastAsia="仿宋_GB2312"/>
          <w:b/>
          <w:sz w:val="32"/>
          <w:szCs w:val="32"/>
        </w:rPr>
        <w:t>粮食监管体制机制创新</w:t>
      </w:r>
      <w:r>
        <w:rPr>
          <w:rFonts w:ascii="仿宋_GB2312" w:eastAsia="仿宋_GB2312"/>
          <w:sz w:val="32"/>
          <w:szCs w:val="32"/>
        </w:rPr>
        <w:t>。落实粮食安全党政同责最新要求，优化完善粮食安全责任制考核。</w:t>
      </w:r>
      <w:r>
        <w:rPr>
          <w:rFonts w:hint="eastAsia" w:ascii="仿宋_GB2312" w:eastAsia="仿宋_GB2312"/>
          <w:sz w:val="32"/>
          <w:szCs w:val="32"/>
        </w:rPr>
        <w:t>对各类粮食收储主体执行国家粮食收购政策开展监督检查，严格督促执行国家质价标准，严防发生压级压价等坑农害农行为。规范粮食市场秩序，坚决防止不符合食品安全标准的粮食流入口粮市场。加大政策性粮食年度库存检查力度，全面排查粮食库存风险隐患。健全粮食部门和相关部门衔接机制，定期会商日常监管工作与案件查办情况，加强综合研判，不断完善业务管理机构事前事中监管和执法督查机构事后行政执法相结合的工作机制，确保监管无盲区、全覆盖。</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roman"/>
    <w:pitch w:val="default"/>
    <w:sig w:usb0="00000000" w:usb1="00000000"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9D0E5A"/>
    <w:rsid w:val="00020D5A"/>
    <w:rsid w:val="00095C87"/>
    <w:rsid w:val="001712F3"/>
    <w:rsid w:val="00176492"/>
    <w:rsid w:val="0029078B"/>
    <w:rsid w:val="00333842"/>
    <w:rsid w:val="0037768E"/>
    <w:rsid w:val="004A6D4B"/>
    <w:rsid w:val="004C390F"/>
    <w:rsid w:val="0053409D"/>
    <w:rsid w:val="0061657D"/>
    <w:rsid w:val="00657191"/>
    <w:rsid w:val="006C6302"/>
    <w:rsid w:val="007733BE"/>
    <w:rsid w:val="007E4839"/>
    <w:rsid w:val="00810A29"/>
    <w:rsid w:val="008734DF"/>
    <w:rsid w:val="00897039"/>
    <w:rsid w:val="008A1D44"/>
    <w:rsid w:val="008A6E22"/>
    <w:rsid w:val="008D6C7A"/>
    <w:rsid w:val="00940D58"/>
    <w:rsid w:val="00966189"/>
    <w:rsid w:val="009D0E5A"/>
    <w:rsid w:val="00A16158"/>
    <w:rsid w:val="00A214E3"/>
    <w:rsid w:val="00A3775C"/>
    <w:rsid w:val="00A978C1"/>
    <w:rsid w:val="00B60A28"/>
    <w:rsid w:val="00BA695B"/>
    <w:rsid w:val="00C06E60"/>
    <w:rsid w:val="00C31E4B"/>
    <w:rsid w:val="00C50A13"/>
    <w:rsid w:val="00DA0AD7"/>
    <w:rsid w:val="00DD5A7A"/>
    <w:rsid w:val="00EB3527"/>
    <w:rsid w:val="00ED6733"/>
    <w:rsid w:val="00EF4E14"/>
    <w:rsid w:val="00F83AAF"/>
    <w:rsid w:val="00FA6A10"/>
    <w:rsid w:val="27F9F783"/>
    <w:rsid w:val="6F4D59B0"/>
    <w:rsid w:val="7FBE5FEC"/>
    <w:rsid w:val="FF5F6C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Emphasis"/>
    <w:basedOn w:val="5"/>
    <w:qFormat/>
    <w:uiPriority w:val="20"/>
    <w:rPr>
      <w:i/>
      <w:iCs/>
    </w:rPr>
  </w:style>
  <w:style w:type="character" w:customStyle="1" w:styleId="7">
    <w:name w:val="页眉 Char"/>
    <w:basedOn w:val="5"/>
    <w:link w:val="3"/>
    <w:semiHidden/>
    <w:qFormat/>
    <w:uiPriority w:val="99"/>
    <w:rPr>
      <w:sz w:val="18"/>
      <w:szCs w:val="18"/>
    </w:rPr>
  </w:style>
  <w:style w:type="character" w:customStyle="1" w:styleId="8">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316</Words>
  <Characters>1805</Characters>
  <Lines>15</Lines>
  <Paragraphs>4</Paragraphs>
  <TotalTime>4</TotalTime>
  <ScaleCrop>false</ScaleCrop>
  <LinksUpToDate>false</LinksUpToDate>
  <CharactersWithSpaces>2117</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2022-10-18T06:37:00Z</dcterms:created>
  <dc:creator>NTKO</dc:creator>
  <cp:lastModifiedBy>sugou</cp:lastModifiedBy>
  <cp:lastPrinted>2022-10-18T08:13:00Z</cp:lastPrinted>
  <dcterms:modified xsi:type="dcterms:W3CDTF">2023-10-13T09:35:58Z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ies>
</file>