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BCC3B5"/>
  <w:body>
    <w:p>
      <w:pPr>
        <w:spacing w:line="580" w:lineRule="exact"/>
        <w:jc w:val="center"/>
        <w:rPr>
          <w:rFonts w:ascii="方正小标宋简体" w:eastAsia="方正小标宋简体"/>
          <w:spacing w:val="0"/>
          <w:sz w:val="44"/>
          <w:szCs w:val="44"/>
        </w:rPr>
      </w:pPr>
    </w:p>
    <w:p>
      <w:pPr>
        <w:spacing w:line="580" w:lineRule="exact"/>
        <w:jc w:val="center"/>
        <w:rPr>
          <w:rFonts w:hint="eastAsia" w:ascii="方正小标宋简体" w:eastAsia="方正小标宋简体" w:cs="方正小标宋简体"/>
          <w:spacing w:val="0"/>
          <w:sz w:val="44"/>
          <w:szCs w:val="44"/>
        </w:rPr>
      </w:pPr>
      <w:r>
        <w:rPr>
          <w:rFonts w:hint="eastAsia" w:ascii="方正小标宋简体" w:eastAsia="方正小标宋简体" w:cs="方正小标宋简体"/>
          <w:spacing w:val="0"/>
          <w:sz w:val="44"/>
          <w:szCs w:val="44"/>
          <w:lang w:eastAsia="zh-CN"/>
        </w:rPr>
        <w:t>苏州市国资委</w:t>
      </w:r>
      <w:r>
        <w:rPr>
          <w:rFonts w:ascii="方正小标宋简体" w:eastAsia="方正小标宋简体" w:cs="方正小标宋简体"/>
          <w:spacing w:val="0"/>
          <w:sz w:val="44"/>
          <w:szCs w:val="44"/>
        </w:rPr>
        <w:t>2022</w:t>
      </w:r>
      <w:r>
        <w:rPr>
          <w:rFonts w:hint="eastAsia" w:ascii="方正小标宋简体" w:eastAsia="方正小标宋简体" w:cs="方正小标宋简体"/>
          <w:spacing w:val="0"/>
          <w:sz w:val="44"/>
          <w:szCs w:val="44"/>
        </w:rPr>
        <w:t>年度工作总结和</w:t>
      </w:r>
    </w:p>
    <w:p>
      <w:pPr>
        <w:spacing w:line="580" w:lineRule="exact"/>
        <w:jc w:val="center"/>
        <w:rPr>
          <w:rFonts w:ascii="方正小标宋简体" w:eastAsia="方正小标宋简体"/>
          <w:spacing w:val="0"/>
          <w:sz w:val="44"/>
          <w:szCs w:val="44"/>
        </w:rPr>
      </w:pPr>
      <w:r>
        <w:rPr>
          <w:rFonts w:ascii="方正小标宋简体" w:eastAsia="方正小标宋简体" w:cs="方正小标宋简体"/>
          <w:spacing w:val="0"/>
          <w:sz w:val="44"/>
          <w:szCs w:val="44"/>
        </w:rPr>
        <w:t>2023</w:t>
      </w:r>
      <w:r>
        <w:rPr>
          <w:rFonts w:hint="eastAsia" w:ascii="方正小标宋简体" w:eastAsia="方正小标宋简体" w:cs="方正小标宋简体"/>
          <w:spacing w:val="0"/>
          <w:sz w:val="44"/>
          <w:szCs w:val="44"/>
        </w:rPr>
        <w:t>年度工作思路</w:t>
      </w:r>
    </w:p>
    <w:p>
      <w:pPr>
        <w:spacing w:line="580" w:lineRule="exact"/>
        <w:rPr>
          <w:rFonts w:ascii="楷体_GB2312" w:eastAsia="楷体_GB2312"/>
        </w:rPr>
      </w:pPr>
      <w:bookmarkStart w:id="0" w:name="_GoBack"/>
      <w:bookmarkEnd w:id="0"/>
    </w:p>
    <w:p>
      <w:pPr>
        <w:spacing w:line="580" w:lineRule="exact"/>
        <w:ind w:firstLine="624" w:firstLineChars="200"/>
        <w:rPr>
          <w:rFonts w:ascii="仿宋_GB2312" w:eastAsia="仿宋_GB2312"/>
        </w:rPr>
      </w:pPr>
      <w:r>
        <w:rPr>
          <w:rFonts w:ascii="仿宋_GB2312" w:eastAsia="仿宋_GB2312" w:cs="仿宋_GB2312"/>
        </w:rPr>
        <w:t>2022</w:t>
      </w:r>
      <w:r>
        <w:rPr>
          <w:rFonts w:hint="eastAsia" w:ascii="仿宋_GB2312" w:eastAsia="仿宋_GB2312" w:cs="仿宋_GB2312"/>
        </w:rPr>
        <w:t>年，是党和国家历史上极为重要的一年，也是国资国企改革发展进程中极不寻常的一年。面对艰巨繁重的改革发展稳定任务，全市国资系统始终坚持以习近平新时代中国特色社会主义思想为指导，以迎接党的二十大、学习宣传贯彻党的二十大精神为工作主线，在“疫情要防住、经济要稳住、发展要安全”中勇挑重担、力扛重责，为全市经济社会发展作出了重要贡献。</w:t>
      </w:r>
    </w:p>
    <w:p>
      <w:pPr>
        <w:spacing w:line="580" w:lineRule="exact"/>
        <w:ind w:firstLine="624" w:firstLineChars="200"/>
        <w:rPr>
          <w:rFonts w:ascii="黑体" w:hAnsi="黑体" w:eastAsia="黑体"/>
        </w:rPr>
      </w:pPr>
      <w:r>
        <w:rPr>
          <w:rFonts w:hint="eastAsia" w:ascii="黑体" w:hAnsi="黑体" w:eastAsia="黑体" w:cs="黑体"/>
        </w:rPr>
        <w:t>一、</w:t>
      </w:r>
      <w:r>
        <w:rPr>
          <w:rFonts w:ascii="黑体" w:hAnsi="黑体" w:eastAsia="黑体" w:cs="黑体"/>
        </w:rPr>
        <w:t>2022</w:t>
      </w:r>
      <w:r>
        <w:rPr>
          <w:rFonts w:hint="eastAsia" w:ascii="黑体" w:hAnsi="黑体" w:eastAsia="黑体" w:cs="黑体"/>
        </w:rPr>
        <w:t>年度主要工作成效</w:t>
      </w:r>
    </w:p>
    <w:p>
      <w:pPr>
        <w:spacing w:line="580" w:lineRule="exact"/>
        <w:ind w:firstLine="624" w:firstLineChars="200"/>
        <w:rPr>
          <w:rFonts w:ascii="仿宋_GB2312" w:eastAsia="仿宋_GB2312"/>
        </w:rPr>
      </w:pPr>
      <w:r>
        <w:rPr>
          <w:rFonts w:ascii="仿宋_GB2312" w:eastAsia="仿宋_GB2312" w:cs="仿宋_GB2312"/>
        </w:rPr>
        <w:t>2022</w:t>
      </w:r>
      <w:r>
        <w:rPr>
          <w:rFonts w:hint="eastAsia" w:ascii="仿宋_GB2312" w:eastAsia="仿宋_GB2312" w:cs="仿宋_GB2312"/>
        </w:rPr>
        <w:t>年，全市国资系统认真贯彻落实党中央、国务院和省、市决策部署，以高质量收官国企改革三年行动为总抓手，统筹疫情防控和企业生产经营，统筹发展和安全，经济运行年中触底、逐月向好、稳中提质。根据财务快报，全市国有及国有控股企业资产总额</w:t>
      </w:r>
      <w:r>
        <w:rPr>
          <w:rFonts w:ascii="仿宋_GB2312" w:eastAsia="仿宋_GB2312" w:cs="仿宋_GB2312"/>
        </w:rPr>
        <w:t>35391</w:t>
      </w:r>
      <w:r>
        <w:rPr>
          <w:rFonts w:hint="eastAsia" w:ascii="仿宋_GB2312" w:eastAsia="仿宋_GB2312" w:cs="仿宋_GB2312"/>
        </w:rPr>
        <w:t>亿元，同比增长</w:t>
      </w:r>
      <w:r>
        <w:rPr>
          <w:rFonts w:ascii="仿宋_GB2312" w:eastAsia="仿宋_GB2312" w:cs="仿宋_GB2312"/>
        </w:rPr>
        <w:t>10.97%</w:t>
      </w:r>
      <w:r>
        <w:rPr>
          <w:rFonts w:hint="eastAsia" w:ascii="仿宋_GB2312" w:eastAsia="仿宋_GB2312" w:cs="仿宋_GB2312"/>
        </w:rPr>
        <w:t>；所有者权益</w:t>
      </w:r>
      <w:r>
        <w:rPr>
          <w:rFonts w:ascii="仿宋_GB2312" w:eastAsia="仿宋_GB2312" w:cs="仿宋_GB2312"/>
        </w:rPr>
        <w:t>10819</w:t>
      </w:r>
      <w:r>
        <w:rPr>
          <w:rFonts w:hint="eastAsia" w:ascii="仿宋_GB2312" w:eastAsia="仿宋_GB2312" w:cs="仿宋_GB2312"/>
        </w:rPr>
        <w:t>亿元，同比增长</w:t>
      </w:r>
      <w:r>
        <w:rPr>
          <w:rFonts w:ascii="仿宋_GB2312" w:eastAsia="仿宋_GB2312" w:cs="仿宋_GB2312"/>
        </w:rPr>
        <w:t>9.39%</w:t>
      </w:r>
      <w:r>
        <w:rPr>
          <w:rFonts w:hint="eastAsia" w:ascii="仿宋_GB2312" w:eastAsia="仿宋_GB2312" w:cs="仿宋_GB2312"/>
        </w:rPr>
        <w:t>；营业收入</w:t>
      </w:r>
      <w:r>
        <w:rPr>
          <w:rFonts w:ascii="仿宋_GB2312" w:eastAsia="仿宋_GB2312" w:cs="仿宋_GB2312"/>
        </w:rPr>
        <w:t>2321</w:t>
      </w:r>
      <w:r>
        <w:rPr>
          <w:rFonts w:hint="eastAsia" w:ascii="仿宋_GB2312" w:eastAsia="仿宋_GB2312" w:cs="仿宋_GB2312"/>
        </w:rPr>
        <w:t>亿元，同比增长</w:t>
      </w:r>
      <w:r>
        <w:rPr>
          <w:rFonts w:ascii="仿宋_GB2312" w:eastAsia="仿宋_GB2312" w:cs="仿宋_GB2312"/>
        </w:rPr>
        <w:t>8.17%</w:t>
      </w:r>
      <w:r>
        <w:rPr>
          <w:rFonts w:hint="eastAsia" w:ascii="仿宋_GB2312" w:eastAsia="仿宋_GB2312" w:cs="仿宋_GB2312"/>
        </w:rPr>
        <w:t>；利润总额</w:t>
      </w:r>
      <w:r>
        <w:rPr>
          <w:rFonts w:ascii="仿宋_GB2312" w:eastAsia="仿宋_GB2312" w:cs="仿宋_GB2312"/>
        </w:rPr>
        <w:t>293</w:t>
      </w:r>
      <w:r>
        <w:rPr>
          <w:rFonts w:hint="eastAsia" w:ascii="仿宋_GB2312" w:eastAsia="仿宋_GB2312" w:cs="仿宋_GB2312"/>
        </w:rPr>
        <w:t>亿元，同比下降</w:t>
      </w:r>
      <w:r>
        <w:rPr>
          <w:rFonts w:ascii="仿宋_GB2312" w:eastAsia="仿宋_GB2312" w:cs="仿宋_GB2312"/>
        </w:rPr>
        <w:t>0.21%</w:t>
      </w:r>
      <w:r>
        <w:rPr>
          <w:rFonts w:hint="eastAsia" w:ascii="仿宋_GB2312" w:eastAsia="仿宋_GB2312" w:cs="仿宋_GB2312"/>
        </w:rPr>
        <w:t>；上缴税费</w:t>
      </w:r>
      <w:r>
        <w:rPr>
          <w:rFonts w:ascii="仿宋_GB2312" w:eastAsia="仿宋_GB2312" w:cs="仿宋_GB2312"/>
        </w:rPr>
        <w:t>177</w:t>
      </w:r>
      <w:r>
        <w:rPr>
          <w:rFonts w:hint="eastAsia" w:ascii="仿宋_GB2312" w:eastAsia="仿宋_GB2312" w:cs="仿宋_GB2312"/>
        </w:rPr>
        <w:t>亿元，同比增长</w:t>
      </w:r>
      <w:r>
        <w:rPr>
          <w:rFonts w:ascii="仿宋_GB2312" w:eastAsia="仿宋_GB2312" w:cs="仿宋_GB2312"/>
        </w:rPr>
        <w:t>6.60%</w:t>
      </w:r>
      <w:r>
        <w:rPr>
          <w:rFonts w:hint="eastAsia" w:ascii="仿宋_GB2312" w:eastAsia="仿宋_GB2312" w:cs="仿宋_GB2312"/>
        </w:rPr>
        <w:t>。其中，市属国企资产总额</w:t>
      </w:r>
      <w:r>
        <w:rPr>
          <w:rFonts w:ascii="仿宋_GB2312" w:eastAsia="仿宋_GB2312" w:cs="仿宋_GB2312"/>
        </w:rPr>
        <w:t>12221</w:t>
      </w:r>
      <w:r>
        <w:rPr>
          <w:rFonts w:hint="eastAsia" w:ascii="仿宋_GB2312" w:eastAsia="仿宋_GB2312" w:cs="仿宋_GB2312"/>
        </w:rPr>
        <w:t>亿元，同比增长</w:t>
      </w:r>
      <w:r>
        <w:rPr>
          <w:rFonts w:ascii="仿宋_GB2312" w:eastAsia="仿宋_GB2312" w:cs="仿宋_GB2312"/>
        </w:rPr>
        <w:t>17.18</w:t>
      </w:r>
      <w:r>
        <w:rPr>
          <w:rFonts w:hint="eastAsia" w:ascii="仿宋_GB2312" w:eastAsia="仿宋_GB2312" w:cs="仿宋_GB2312"/>
        </w:rPr>
        <w:t>％；所有者权益总额为</w:t>
      </w:r>
      <w:r>
        <w:rPr>
          <w:rFonts w:ascii="仿宋_GB2312" w:eastAsia="仿宋_GB2312" w:cs="仿宋_GB2312"/>
        </w:rPr>
        <w:t>3232</w:t>
      </w:r>
      <w:r>
        <w:rPr>
          <w:rFonts w:hint="eastAsia" w:ascii="仿宋_GB2312" w:eastAsia="仿宋_GB2312" w:cs="仿宋_GB2312"/>
        </w:rPr>
        <w:t>亿元，同比增长</w:t>
      </w:r>
      <w:r>
        <w:rPr>
          <w:rFonts w:ascii="仿宋_GB2312" w:eastAsia="仿宋_GB2312" w:cs="仿宋_GB2312"/>
        </w:rPr>
        <w:t>15.9</w:t>
      </w:r>
      <w:r>
        <w:rPr>
          <w:rFonts w:hint="eastAsia" w:ascii="仿宋_GB2312" w:eastAsia="仿宋_GB2312" w:cs="仿宋_GB2312"/>
        </w:rPr>
        <w:t>％；营业收入</w:t>
      </w:r>
      <w:r>
        <w:rPr>
          <w:rFonts w:ascii="仿宋_GB2312" w:eastAsia="仿宋_GB2312" w:cs="仿宋_GB2312"/>
        </w:rPr>
        <w:t>728</w:t>
      </w:r>
      <w:r>
        <w:rPr>
          <w:rFonts w:hint="eastAsia" w:ascii="仿宋_GB2312" w:eastAsia="仿宋_GB2312" w:cs="仿宋_GB2312"/>
        </w:rPr>
        <w:t>亿元，同比下降</w:t>
      </w:r>
      <w:r>
        <w:rPr>
          <w:rFonts w:ascii="仿宋_GB2312" w:eastAsia="仿宋_GB2312" w:cs="仿宋_GB2312"/>
        </w:rPr>
        <w:t>0.78</w:t>
      </w:r>
      <w:r>
        <w:rPr>
          <w:rFonts w:hint="eastAsia" w:ascii="仿宋_GB2312" w:eastAsia="仿宋_GB2312" w:cs="仿宋_GB2312"/>
        </w:rPr>
        <w:t>％；利润总额</w:t>
      </w:r>
      <w:r>
        <w:rPr>
          <w:rFonts w:ascii="仿宋_GB2312" w:eastAsia="仿宋_GB2312" w:cs="仿宋_GB2312"/>
        </w:rPr>
        <w:t>127</w:t>
      </w:r>
      <w:r>
        <w:rPr>
          <w:rFonts w:hint="eastAsia" w:ascii="仿宋_GB2312" w:eastAsia="仿宋_GB2312" w:cs="仿宋_GB2312"/>
        </w:rPr>
        <w:t>亿元，同比增长</w:t>
      </w:r>
      <w:r>
        <w:rPr>
          <w:rFonts w:ascii="仿宋_GB2312" w:eastAsia="仿宋_GB2312" w:cs="仿宋_GB2312"/>
        </w:rPr>
        <w:t>0.37%</w:t>
      </w:r>
      <w:r>
        <w:rPr>
          <w:rFonts w:hint="eastAsia" w:ascii="仿宋_GB2312" w:eastAsia="仿宋_GB2312" w:cs="仿宋_GB2312"/>
        </w:rPr>
        <w:t>；上缴税费</w:t>
      </w:r>
      <w:r>
        <w:rPr>
          <w:rFonts w:ascii="仿宋_GB2312" w:eastAsia="仿宋_GB2312" w:cs="仿宋_GB2312"/>
        </w:rPr>
        <w:t>54</w:t>
      </w:r>
      <w:r>
        <w:rPr>
          <w:rFonts w:hint="eastAsia" w:ascii="仿宋_GB2312" w:eastAsia="仿宋_GB2312" w:cs="仿宋_GB2312"/>
        </w:rPr>
        <w:t>亿元，同比增长</w:t>
      </w:r>
      <w:r>
        <w:rPr>
          <w:rFonts w:ascii="仿宋_GB2312" w:eastAsia="仿宋_GB2312" w:cs="仿宋_GB2312"/>
        </w:rPr>
        <w:t>1.23%</w:t>
      </w:r>
      <w:r>
        <w:rPr>
          <w:rFonts w:hint="eastAsia" w:ascii="仿宋_GB2312" w:eastAsia="仿宋_GB2312" w:cs="仿宋_GB2312"/>
        </w:rPr>
        <w:t>。</w:t>
      </w:r>
    </w:p>
    <w:p>
      <w:pPr>
        <w:spacing w:line="580" w:lineRule="exact"/>
        <w:ind w:firstLine="608"/>
        <w:rPr>
          <w:rFonts w:ascii="仿宋_GB2312" w:hAnsi="仿宋_GB2312" w:eastAsia="仿宋_GB2312"/>
        </w:rPr>
      </w:pPr>
      <w:r>
        <w:rPr>
          <w:rFonts w:hint="eastAsia" w:ascii="楷体_GB2312" w:hAnsi="仿宋_GB2312" w:eastAsia="楷体_GB2312" w:cs="楷体_GB2312"/>
        </w:rPr>
        <w:t>（一）国有经济布局不断优化。</w:t>
      </w:r>
      <w:r>
        <w:rPr>
          <w:rFonts w:hint="eastAsia" w:ascii="仿宋_GB2312" w:hAnsi="仿宋_GB2312" w:eastAsia="仿宋_GB2312" w:cs="仿宋_GB2312"/>
          <w:b/>
          <w:bCs/>
        </w:rPr>
        <w:t>一是出台顶层设计文件。</w:t>
      </w:r>
      <w:r>
        <w:rPr>
          <w:rFonts w:hint="eastAsia" w:ascii="仿宋_GB2312" w:hAnsi="仿宋_GB2312" w:eastAsia="仿宋_GB2312" w:cs="仿宋_GB2312"/>
        </w:rPr>
        <w:t>引导国资国企服务融入苏州高质量发展，市委、市政府印发《关于新时代推进全市国有经济布局优化和结构调整的工作意见》，确定了</w:t>
      </w:r>
      <w:r>
        <w:rPr>
          <w:rFonts w:ascii="仿宋_GB2312" w:hAnsi="仿宋_GB2312" w:eastAsia="仿宋_GB2312" w:cs="仿宋_GB2312"/>
        </w:rPr>
        <w:t>2025</w:t>
      </w:r>
      <w:r>
        <w:rPr>
          <w:rFonts w:hint="eastAsia" w:ascii="仿宋_GB2312" w:hAnsi="仿宋_GB2312" w:eastAsia="仿宋_GB2312" w:cs="仿宋_GB2312"/>
        </w:rPr>
        <w:t>年和</w:t>
      </w:r>
      <w:r>
        <w:rPr>
          <w:rFonts w:ascii="仿宋_GB2312" w:hAnsi="仿宋_GB2312" w:eastAsia="仿宋_GB2312" w:cs="仿宋_GB2312"/>
        </w:rPr>
        <w:t>2035</w:t>
      </w:r>
      <w:r>
        <w:rPr>
          <w:rFonts w:hint="eastAsia" w:ascii="仿宋_GB2312" w:hAnsi="仿宋_GB2312" w:eastAsia="仿宋_GB2312" w:cs="仿宋_GB2312"/>
        </w:rPr>
        <w:t>年的发展目标，提出了七大方向及其相应的发展重点、主要工作，制定了十项政策支持和服务保障措施。</w:t>
      </w:r>
      <w:r>
        <w:rPr>
          <w:rFonts w:hint="eastAsia" w:ascii="仿宋_GB2312" w:hAnsi="仿宋_GB2312" w:eastAsia="仿宋_GB2312" w:cs="仿宋_GB2312"/>
          <w:b/>
          <w:bCs/>
        </w:rPr>
        <w:t>二是整合重组力度空前。</w:t>
      </w:r>
      <w:r>
        <w:rPr>
          <w:rFonts w:hint="eastAsia" w:ascii="仿宋_GB2312" w:hAnsi="仿宋_GB2312" w:eastAsia="仿宋_GB2312" w:cs="仿宋_GB2312"/>
        </w:rPr>
        <w:t>以市域一体化发展为目标，会同相关部门全力推动市、区两级资产资源重组整合、调优布强。</w:t>
      </w:r>
      <w:r>
        <w:rPr>
          <w:rFonts w:hint="eastAsia" w:ascii="仿宋_GB2312" w:hAnsi="楷体_GB2312" w:eastAsia="仿宋_GB2312" w:cs="仿宋_GB2312"/>
        </w:rPr>
        <w:t>聚焦数字经济时代产业创新集群发展，组建创新投资集团、大数据集团，</w:t>
      </w:r>
      <w:r>
        <w:rPr>
          <w:rFonts w:hint="eastAsia" w:ascii="仿宋_GB2312" w:hAnsi="仿宋_GB2312" w:eastAsia="仿宋_GB2312" w:cs="仿宋_GB2312"/>
        </w:rPr>
        <w:t>新增</w:t>
      </w:r>
      <w:r>
        <w:rPr>
          <w:rFonts w:ascii="仿宋_GB2312" w:hAnsi="仿宋_GB2312" w:eastAsia="仿宋_GB2312" w:cs="仿宋_GB2312"/>
        </w:rPr>
        <w:t>200</w:t>
      </w:r>
      <w:r>
        <w:rPr>
          <w:rFonts w:hint="eastAsia" w:ascii="仿宋_GB2312" w:hAnsi="仿宋_GB2312" w:eastAsia="仿宋_GB2312" w:cs="仿宋_GB2312"/>
        </w:rPr>
        <w:t>亿元用于产业创新集群发展基金出资</w:t>
      </w:r>
      <w:r>
        <w:rPr>
          <w:rFonts w:hint="eastAsia" w:ascii="仿宋_GB2312" w:hAnsi="楷体_GB2312" w:eastAsia="仿宋_GB2312" w:cs="仿宋_GB2312"/>
        </w:rPr>
        <w:t>；聚焦重要领域基础设施和民生保障，组建港航投资发展集团和人才发展公司，</w:t>
      </w:r>
      <w:r>
        <w:rPr>
          <w:rFonts w:hint="eastAsia" w:ascii="仿宋_GB2312" w:hAnsi="Calibri" w:eastAsia="仿宋_GB2312" w:cs="仿宋_GB2312"/>
        </w:rPr>
        <w:t>完成城投公司与保障房公司合并重组，实施轨道集团组织机构优化调整；</w:t>
      </w:r>
      <w:r>
        <w:rPr>
          <w:rFonts w:hint="eastAsia" w:ascii="仿宋_GB2312" w:hAnsi="楷体_GB2312" w:eastAsia="仿宋_GB2312" w:cs="仿宋_GB2312"/>
        </w:rPr>
        <w:t>聚焦粮食和能源领域</w:t>
      </w:r>
      <w:r>
        <w:rPr>
          <w:rFonts w:hint="eastAsia" w:ascii="仿宋_GB2312" w:eastAsia="仿宋_GB2312" w:cs="仿宋_GB2312"/>
        </w:rPr>
        <w:t>，组建储备粮公司和能源发展集团；</w:t>
      </w:r>
      <w:r>
        <w:rPr>
          <w:rFonts w:hint="eastAsia" w:ascii="仿宋_GB2312" w:hAnsi="楷体_GB2312" w:eastAsia="仿宋_GB2312" w:cs="仿宋_GB2312"/>
        </w:rPr>
        <w:t>聚焦古城古镇保护发展，组建名城保护集团；</w:t>
      </w:r>
      <w:r>
        <w:rPr>
          <w:rFonts w:hint="eastAsia" w:ascii="仿宋_GB2312" w:hAnsi="仿宋_GB2312" w:eastAsia="仿宋_GB2312" w:cs="仿宋_GB2312"/>
        </w:rPr>
        <w:t>聚焦金融基础作用，推动国发集团向金融控股公司转型；聚焦文化高地建设，组建</w:t>
      </w:r>
      <w:r>
        <w:rPr>
          <w:rFonts w:hint="eastAsia" w:ascii="仿宋_GB2312" w:hAnsi="仿宋_GB2312" w:eastAsia="仿宋_GB2312" w:cs="仿宋_GB2312"/>
          <w:color w:val="000000"/>
          <w:kern w:val="0"/>
        </w:rPr>
        <w:t>新闻出版集团、广电传媒集团、文化投资发展集团。</w:t>
      </w:r>
      <w:r>
        <w:rPr>
          <w:rFonts w:hint="eastAsia" w:ascii="仿宋_GB2312" w:hAnsi="仿宋_GB2312" w:eastAsia="仿宋_GB2312" w:cs="仿宋_GB2312"/>
          <w:b/>
          <w:bCs/>
        </w:rPr>
        <w:t>三是经营性国有资产集中统一监管有序推进。</w:t>
      </w:r>
      <w:r>
        <w:rPr>
          <w:rFonts w:hint="eastAsia" w:ascii="仿宋_GB2312" w:hAnsi="仿宋_GB2312" w:eastAsia="仿宋_GB2312" w:cs="仿宋_GB2312"/>
        </w:rPr>
        <w:t>市政府常务会议审议通过了《关于推进经营性国有资产集中统一监管工作建议方案》，涉及</w:t>
      </w:r>
      <w:r>
        <w:rPr>
          <w:rFonts w:ascii="仿宋_GB2312" w:hAnsi="仿宋_GB2312" w:eastAsia="仿宋_GB2312" w:cs="仿宋_GB2312"/>
        </w:rPr>
        <w:t>23</w:t>
      </w:r>
      <w:r>
        <w:rPr>
          <w:rFonts w:hint="eastAsia" w:ascii="仿宋_GB2312" w:hAnsi="仿宋_GB2312" w:eastAsia="仿宋_GB2312" w:cs="仿宋_GB2312"/>
        </w:rPr>
        <w:t>个主管部门所属</w:t>
      </w:r>
      <w:r>
        <w:rPr>
          <w:rFonts w:ascii="仿宋_GB2312" w:hAnsi="仿宋_GB2312" w:eastAsia="仿宋_GB2312" w:cs="仿宋_GB2312"/>
        </w:rPr>
        <w:t>75</w:t>
      </w:r>
      <w:r>
        <w:rPr>
          <w:rFonts w:hint="eastAsia" w:ascii="仿宋_GB2312" w:hAnsi="仿宋_GB2312" w:eastAsia="仿宋_GB2312" w:cs="仿宋_GB2312"/>
        </w:rPr>
        <w:t>家企业，至</w:t>
      </w:r>
      <w:r>
        <w:rPr>
          <w:rFonts w:ascii="仿宋_GB2312" w:hAnsi="仿宋_GB2312" w:eastAsia="仿宋_GB2312" w:cs="仿宋_GB2312"/>
        </w:rPr>
        <w:t>2022</w:t>
      </w:r>
      <w:r>
        <w:rPr>
          <w:rFonts w:hint="eastAsia" w:ascii="仿宋_GB2312" w:hAnsi="仿宋_GB2312" w:eastAsia="仿宋_GB2312" w:cs="仿宋_GB2312"/>
        </w:rPr>
        <w:t>年底，完成</w:t>
      </w:r>
      <w:r>
        <w:rPr>
          <w:rFonts w:ascii="仿宋_GB2312" w:hAnsi="仿宋_GB2312" w:eastAsia="仿宋_GB2312" w:cs="仿宋_GB2312"/>
        </w:rPr>
        <w:t>62</w:t>
      </w:r>
      <w:r>
        <w:rPr>
          <w:rFonts w:hint="eastAsia" w:ascii="仿宋_GB2312" w:hAnsi="仿宋_GB2312" w:eastAsia="仿宋_GB2312" w:cs="仿宋_GB2312"/>
        </w:rPr>
        <w:t>家，完成率</w:t>
      </w:r>
      <w:r>
        <w:rPr>
          <w:rFonts w:ascii="仿宋_GB2312" w:hAnsi="仿宋_GB2312" w:eastAsia="仿宋_GB2312" w:cs="仿宋_GB2312"/>
        </w:rPr>
        <w:t>83%</w:t>
      </w:r>
      <w:r>
        <w:rPr>
          <w:rFonts w:hint="eastAsia" w:ascii="仿宋_GB2312" w:hAnsi="仿宋_GB2312" w:eastAsia="仿宋_GB2312" w:cs="仿宋_GB2312"/>
        </w:rPr>
        <w:t>，其余正按时间节点有序推进。</w:t>
      </w:r>
    </w:p>
    <w:p>
      <w:pPr>
        <w:spacing w:line="580" w:lineRule="exact"/>
        <w:ind w:firstLine="608"/>
        <w:rPr>
          <w:rFonts w:ascii="仿宋_GB2312" w:hAnsi="黑体" w:eastAsia="仿宋_GB2312"/>
        </w:rPr>
      </w:pPr>
      <w:r>
        <w:rPr>
          <w:rFonts w:hint="eastAsia" w:ascii="楷体_GB2312" w:hAnsi="仿宋_GB2312" w:eastAsia="楷体_GB2312" w:cs="楷体_GB2312"/>
        </w:rPr>
        <w:t>（二）国有企业改革不断深化。</w:t>
      </w:r>
      <w:r>
        <w:rPr>
          <w:rFonts w:hint="eastAsia" w:ascii="仿宋_GB2312" w:hAnsi="仿宋_GB2312" w:eastAsia="仿宋_GB2312" w:cs="仿宋_GB2312"/>
          <w:b/>
          <w:bCs/>
        </w:rPr>
        <w:t>一是国企改革三年行动全面收官。</w:t>
      </w:r>
      <w:r>
        <w:rPr>
          <w:rFonts w:hint="eastAsia" w:ascii="仿宋_GB2312" w:hAnsi="仿宋_GB2312" w:eastAsia="仿宋_GB2312" w:cs="仿宋_GB2312"/>
        </w:rPr>
        <w:t>市委市政府主要领导亲自推动我市国企改革三年行动，市委主要领导主持召开两次国资国企工作座谈会，市政府主要领导经常性指挥调度，全面推行“三单管理”，即改革企业有名单、改革任务有清单、改革进展有“成绩单”，</w:t>
      </w:r>
      <w:r>
        <w:rPr>
          <w:rFonts w:ascii="仿宋_GB2312" w:hAnsi="仿宋_GB2312" w:eastAsia="仿宋_GB2312" w:cs="仿宋_GB2312"/>
        </w:rPr>
        <w:t xml:space="preserve"> 122</w:t>
      </w:r>
      <w:r>
        <w:rPr>
          <w:rFonts w:hint="eastAsia" w:ascii="仿宋_GB2312" w:hAnsi="仿宋_GB2312" w:eastAsia="仿宋_GB2312" w:cs="仿宋_GB2312"/>
        </w:rPr>
        <w:t>项具体改革工作、</w:t>
      </w:r>
      <w:r>
        <w:rPr>
          <w:rFonts w:ascii="仿宋_GB2312" w:hAnsi="仿宋_GB2312" w:eastAsia="仿宋_GB2312" w:cs="仿宋_GB2312"/>
        </w:rPr>
        <w:t>28</w:t>
      </w:r>
      <w:r>
        <w:rPr>
          <w:rFonts w:hint="eastAsia" w:ascii="仿宋_GB2312" w:hAnsi="仿宋_GB2312" w:eastAsia="仿宋_GB2312" w:cs="仿宋_GB2312"/>
        </w:rPr>
        <w:t>项重点改革任务全面高质量收官，获国务院国有企业改革领导小组督查组充分肯定。</w:t>
      </w:r>
      <w:r>
        <w:rPr>
          <w:rFonts w:hint="eastAsia" w:ascii="仿宋_GB2312" w:hAnsi="仿宋_GB2312" w:eastAsia="仿宋_GB2312" w:cs="仿宋_GB2312"/>
          <w:b/>
          <w:bCs/>
        </w:rPr>
        <w:t>二是现代企业制度日益完善。</w:t>
      </w:r>
      <w:r>
        <w:rPr>
          <w:rFonts w:hint="eastAsia" w:ascii="仿宋_GB2312" w:hAnsi="仿宋_GB2312" w:eastAsia="仿宋_GB2312" w:cs="仿宋_GB2312"/>
        </w:rPr>
        <w:t>市属所有一级企业集团公司及</w:t>
      </w:r>
      <w:r>
        <w:rPr>
          <w:rFonts w:ascii="仿宋_GB2312" w:hAnsi="仿宋_GB2312" w:eastAsia="仿宋_GB2312" w:cs="仿宋_GB2312"/>
        </w:rPr>
        <w:t>78</w:t>
      </w:r>
      <w:r>
        <w:rPr>
          <w:rFonts w:hint="eastAsia" w:ascii="仿宋_GB2312" w:hAnsi="仿宋_GB2312" w:eastAsia="仿宋_GB2312" w:cs="仿宋_GB2312"/>
        </w:rPr>
        <w:t>户重要子企业全部制定了党组织前置研究重大经营管理事项清单；所有一级企业集团公司及所属</w:t>
      </w:r>
      <w:r>
        <w:rPr>
          <w:rFonts w:ascii="仿宋_GB2312" w:hAnsi="仿宋_GB2312" w:eastAsia="仿宋_GB2312" w:cs="仿宋_GB2312"/>
        </w:rPr>
        <w:t>170</w:t>
      </w:r>
      <w:r>
        <w:rPr>
          <w:rFonts w:hint="eastAsia" w:ascii="仿宋_GB2312" w:hAnsi="仿宋_GB2312" w:eastAsia="仿宋_GB2312" w:cs="仿宋_GB2312"/>
        </w:rPr>
        <w:t>户应建董事会企业全部建立了规范的董事会，全部实现外部董事占多数，市国资委制定了</w:t>
      </w:r>
      <w:r>
        <w:rPr>
          <w:rFonts w:hint="eastAsia" w:ascii="仿宋_GB2312" w:hAnsi="黑体" w:eastAsia="仿宋_GB2312" w:cs="仿宋_GB2312"/>
        </w:rPr>
        <w:t>《苏州市市属国有企业外部董事履职指引》；已建董事会企业全面落实董事会职权，全部建立董事会向经理层授权的管理制度。</w:t>
      </w:r>
      <w:r>
        <w:rPr>
          <w:rFonts w:hint="eastAsia" w:ascii="仿宋_GB2312" w:hAnsi="黑体" w:eastAsia="仿宋_GB2312" w:cs="仿宋_GB2312"/>
          <w:b/>
          <w:bCs/>
        </w:rPr>
        <w:t>三是市属国企首次纳入高质量考核。</w:t>
      </w:r>
      <w:r>
        <w:rPr>
          <w:rFonts w:hint="eastAsia" w:ascii="仿宋_GB2312" w:hAnsi="黑体" w:eastAsia="仿宋_GB2312" w:cs="仿宋_GB2312"/>
        </w:rPr>
        <w:t>重点围绕企业主责主业、市委市政府重点工作任务，统筹发展和安全等，设置了市属国企高质量发展综合考核指标体系，并设立了经营绩效、专项任务、服务民生、科学管理、社会宣传等</w:t>
      </w:r>
      <w:r>
        <w:rPr>
          <w:rFonts w:ascii="仿宋_GB2312" w:hAnsi="黑体" w:eastAsia="仿宋_GB2312" w:cs="仿宋_GB2312"/>
        </w:rPr>
        <w:t>5</w:t>
      </w:r>
      <w:r>
        <w:rPr>
          <w:rFonts w:hint="eastAsia" w:ascii="仿宋_GB2312" w:hAnsi="黑体" w:eastAsia="仿宋_GB2312" w:cs="仿宋_GB2312"/>
        </w:rPr>
        <w:t>个方面的单项先进单位，考核结果与企业负责人的绩效薪酬建立紧密的关联关系。</w:t>
      </w:r>
    </w:p>
    <w:p>
      <w:pPr>
        <w:spacing w:line="580" w:lineRule="exact"/>
        <w:ind w:firstLine="608"/>
        <w:rPr>
          <w:rFonts w:ascii="仿宋_GB2312" w:eastAsia="仿宋_GB2312"/>
        </w:rPr>
      </w:pPr>
      <w:r>
        <w:rPr>
          <w:rFonts w:hint="eastAsia" w:ascii="楷体_GB2312" w:hAnsi="黑体" w:eastAsia="楷体_GB2312" w:cs="楷体_GB2312"/>
        </w:rPr>
        <w:t>（三）国资监管制度不断健全。</w:t>
      </w:r>
      <w:r>
        <w:rPr>
          <w:rFonts w:hint="eastAsia" w:ascii="仿宋_GB2312" w:hAnsi="黑体" w:eastAsia="仿宋_GB2312" w:cs="仿宋_GB2312"/>
          <w:b/>
          <w:bCs/>
        </w:rPr>
        <w:t>一是构建国资监管大格局。</w:t>
      </w:r>
      <w:r>
        <w:rPr>
          <w:rFonts w:hint="eastAsia" w:ascii="仿宋_GB2312" w:hAnsi="黑体" w:eastAsia="仿宋_GB2312" w:cs="仿宋_GB2312"/>
        </w:rPr>
        <w:t>市委办公室、市政府办公室印发《关于全面加强国有企业监管的实施意见》，突出企业内部监督、出资人监管、外部协同监管有机结合，构建全市内外衔接、上下贯通的国有企业监管格局。专职监事加强市属国企日常监管工作和重大事项专题汇报，共列席企业各类会议</w:t>
      </w:r>
      <w:r>
        <w:rPr>
          <w:rFonts w:ascii="仿宋_GB2312" w:hAnsi="黑体" w:eastAsia="仿宋_GB2312" w:cs="仿宋_GB2312"/>
        </w:rPr>
        <w:t>167</w:t>
      </w:r>
      <w:r>
        <w:rPr>
          <w:rFonts w:hint="eastAsia" w:ascii="仿宋_GB2312" w:hAnsi="黑体" w:eastAsia="仿宋_GB2312" w:cs="仿宋_GB2312"/>
        </w:rPr>
        <w:t>次，累计发现问题</w:t>
      </w:r>
      <w:r>
        <w:rPr>
          <w:rFonts w:ascii="仿宋_GB2312" w:hAnsi="黑体" w:eastAsia="仿宋_GB2312" w:cs="仿宋_GB2312"/>
        </w:rPr>
        <w:t>31</w:t>
      </w:r>
      <w:r>
        <w:rPr>
          <w:rFonts w:hint="eastAsia" w:ascii="仿宋_GB2312" w:hAnsi="黑体" w:eastAsia="仿宋_GB2312" w:cs="仿宋_GB2312"/>
        </w:rPr>
        <w:t>个，提出建议</w:t>
      </w:r>
      <w:r>
        <w:rPr>
          <w:rFonts w:ascii="仿宋_GB2312" w:hAnsi="黑体" w:eastAsia="仿宋_GB2312" w:cs="仿宋_GB2312"/>
        </w:rPr>
        <w:t>122</w:t>
      </w:r>
      <w:r>
        <w:rPr>
          <w:rFonts w:hint="eastAsia" w:ascii="仿宋_GB2312" w:hAnsi="黑体" w:eastAsia="仿宋_GB2312" w:cs="仿宋_GB2312"/>
        </w:rPr>
        <w:t>条，其中企业采纳</w:t>
      </w:r>
      <w:r>
        <w:rPr>
          <w:rFonts w:ascii="仿宋_GB2312" w:hAnsi="黑体" w:eastAsia="仿宋_GB2312" w:cs="仿宋_GB2312"/>
        </w:rPr>
        <w:t>95</w:t>
      </w:r>
      <w:r>
        <w:rPr>
          <w:rFonts w:hint="eastAsia" w:ascii="仿宋_GB2312" w:hAnsi="黑体" w:eastAsia="仿宋_GB2312" w:cs="仿宋_GB2312"/>
        </w:rPr>
        <w:t>条。</w:t>
      </w:r>
      <w:r>
        <w:rPr>
          <w:rFonts w:hint="eastAsia" w:ascii="仿宋_GB2312" w:hAnsi="黑体" w:eastAsia="仿宋_GB2312" w:cs="仿宋_GB2312"/>
          <w:b/>
          <w:bCs/>
        </w:rPr>
        <w:t>二是建立市属国企财务部门负责人委派制度。</w:t>
      </w:r>
      <w:r>
        <w:rPr>
          <w:rFonts w:hint="eastAsia" w:ascii="仿宋_GB2312" w:hAnsi="黑体" w:eastAsia="仿宋_GB2312" w:cs="仿宋_GB2312"/>
        </w:rPr>
        <w:t>市政府办公室印发《苏州市市属国有企业财务部门负责人委派工作管理暂行办法》，企业财务部门负责人统一由市级国资监管机构委派，接受市级国资监管机构和派驻企业双重管理，搭建由</w:t>
      </w:r>
      <w:r>
        <w:rPr>
          <w:rFonts w:ascii="仿宋_GB2312" w:hAnsi="黑体" w:eastAsia="仿宋_GB2312" w:cs="仿宋_GB2312"/>
        </w:rPr>
        <w:t>40</w:t>
      </w:r>
      <w:r>
        <w:rPr>
          <w:rFonts w:hint="eastAsia" w:ascii="仿宋_GB2312" w:hAnsi="黑体" w:eastAsia="仿宋_GB2312" w:cs="仿宋_GB2312"/>
        </w:rPr>
        <w:t>人组成的人选库。</w:t>
      </w:r>
      <w:r>
        <w:rPr>
          <w:rFonts w:hint="eastAsia" w:ascii="仿宋_GB2312" w:hAnsi="黑体" w:eastAsia="仿宋_GB2312" w:cs="仿宋_GB2312"/>
          <w:b/>
          <w:bCs/>
        </w:rPr>
        <w:t>三是</w:t>
      </w:r>
      <w:r>
        <w:rPr>
          <w:rFonts w:hint="eastAsia" w:ascii="仿宋_GB2312" w:eastAsia="仿宋_GB2312" w:cs="仿宋_GB2312"/>
          <w:b/>
          <w:bCs/>
        </w:rPr>
        <w:t>建立与央企合作发展工作推进机制。</w:t>
      </w:r>
      <w:r>
        <w:rPr>
          <w:rFonts w:hint="eastAsia" w:ascii="仿宋_GB2312" w:eastAsia="仿宋_GB2312" w:cs="仿宋_GB2312"/>
        </w:rPr>
        <w:t>市政府办公室印发《推动苏州市与央企合作发展的工作方案》，市、县（区）两级层面分别建立与央企合作发展工作推进机制，市国资委成立工作专班，全市与央企合作的存量项目增资</w:t>
      </w:r>
      <w:r>
        <w:rPr>
          <w:rFonts w:ascii="仿宋_GB2312" w:eastAsia="仿宋_GB2312" w:cs="仿宋_GB2312"/>
        </w:rPr>
        <w:t>8</w:t>
      </w:r>
      <w:r>
        <w:rPr>
          <w:rFonts w:hint="eastAsia" w:ascii="仿宋_GB2312" w:eastAsia="仿宋_GB2312" w:cs="仿宋_GB2312"/>
        </w:rPr>
        <w:t>个，增资额</w:t>
      </w:r>
      <w:r>
        <w:rPr>
          <w:rFonts w:ascii="仿宋_GB2312" w:eastAsia="仿宋_GB2312" w:cs="仿宋_GB2312"/>
        </w:rPr>
        <w:t>7.39</w:t>
      </w:r>
      <w:r>
        <w:rPr>
          <w:rFonts w:hint="eastAsia" w:ascii="仿宋_GB2312" w:eastAsia="仿宋_GB2312" w:cs="仿宋_GB2312"/>
        </w:rPr>
        <w:t>亿元；项目技改投入</w:t>
      </w:r>
      <w:r>
        <w:rPr>
          <w:rFonts w:ascii="仿宋_GB2312" w:eastAsia="仿宋_GB2312" w:cs="仿宋_GB2312"/>
        </w:rPr>
        <w:t>8</w:t>
      </w:r>
      <w:r>
        <w:rPr>
          <w:rFonts w:hint="eastAsia" w:ascii="仿宋_GB2312" w:eastAsia="仿宋_GB2312" w:cs="仿宋_GB2312"/>
        </w:rPr>
        <w:t>个，技改金额</w:t>
      </w:r>
      <w:r>
        <w:rPr>
          <w:rFonts w:ascii="仿宋_GB2312" w:eastAsia="仿宋_GB2312" w:cs="仿宋_GB2312"/>
        </w:rPr>
        <w:t>6.47</w:t>
      </w:r>
      <w:r>
        <w:rPr>
          <w:rFonts w:hint="eastAsia" w:ascii="仿宋_GB2312" w:eastAsia="仿宋_GB2312" w:cs="仿宋_GB2312"/>
        </w:rPr>
        <w:t>亿元；新增项目签约（包括框架协议、战略合作协议）</w:t>
      </w:r>
      <w:r>
        <w:rPr>
          <w:rFonts w:ascii="仿宋_GB2312" w:eastAsia="仿宋_GB2312" w:cs="仿宋_GB2312"/>
        </w:rPr>
        <w:t>17</w:t>
      </w:r>
      <w:r>
        <w:rPr>
          <w:rFonts w:hint="eastAsia" w:ascii="仿宋_GB2312" w:eastAsia="仿宋_GB2312" w:cs="仿宋_GB2312"/>
        </w:rPr>
        <w:t>个，签约金额</w:t>
      </w:r>
      <w:r>
        <w:rPr>
          <w:rFonts w:ascii="仿宋_GB2312" w:eastAsia="仿宋_GB2312" w:cs="仿宋_GB2312"/>
        </w:rPr>
        <w:t>298.78</w:t>
      </w:r>
      <w:r>
        <w:rPr>
          <w:rFonts w:hint="eastAsia" w:ascii="仿宋_GB2312" w:eastAsia="仿宋_GB2312" w:cs="仿宋_GB2312"/>
        </w:rPr>
        <w:t>亿元；</w:t>
      </w:r>
      <w:r>
        <w:rPr>
          <w:rFonts w:ascii="仿宋_GB2312" w:eastAsia="仿宋_GB2312" w:cs="仿宋_GB2312"/>
        </w:rPr>
        <w:t>15</w:t>
      </w:r>
      <w:r>
        <w:rPr>
          <w:rFonts w:hint="eastAsia" w:ascii="仿宋_GB2312" w:eastAsia="仿宋_GB2312" w:cs="仿宋_GB2312"/>
        </w:rPr>
        <w:t>个新增项目正在推进之中。</w:t>
      </w:r>
    </w:p>
    <w:p>
      <w:pPr>
        <w:widowControl/>
        <w:spacing w:line="580" w:lineRule="exact"/>
        <w:ind w:firstLine="624" w:firstLineChars="200"/>
        <w:jc w:val="left"/>
        <w:rPr>
          <w:rFonts w:ascii="仿宋_GB2312" w:hAnsi="黑体" w:eastAsia="仿宋_GB2312"/>
        </w:rPr>
      </w:pPr>
      <w:r>
        <w:rPr>
          <w:rFonts w:hint="eastAsia" w:ascii="楷体_GB2312" w:hAnsi="黑体" w:eastAsia="楷体_GB2312" w:cs="楷体_GB2312"/>
        </w:rPr>
        <w:t>（四）党对国企领导不断加强</w:t>
      </w:r>
      <w:r>
        <w:rPr>
          <w:rFonts w:hint="eastAsia" w:ascii="仿宋_GB2312" w:hAnsi="黑体" w:eastAsia="仿宋_GB2312" w:cs="仿宋_GB2312"/>
        </w:rPr>
        <w:t>。</w:t>
      </w:r>
      <w:r>
        <w:rPr>
          <w:rFonts w:hint="eastAsia" w:ascii="仿宋_GB2312" w:hAnsi="黑体" w:eastAsia="仿宋_GB2312" w:cs="仿宋_GB2312"/>
          <w:b/>
          <w:bCs/>
        </w:rPr>
        <w:t>一是认真学习贯彻党的二十大精神。</w:t>
      </w:r>
      <w:r>
        <w:rPr>
          <w:rFonts w:hint="eastAsia" w:ascii="仿宋_GB2312" w:hAnsi="黑体" w:eastAsia="仿宋_GB2312" w:cs="仿宋_GB2312"/>
        </w:rPr>
        <w:t>通过收看党的二十大开幕会、专家宣讲、党委理论学习中心组集中学习等形式，在全市国资系统迅速掀起了学习党的二十大精神热潮。充分发挥党员领导干部“关键少数”的作用，带头学习、以上率下，深学细悟笃行，不断提高政治判断力、政治领悟力、政治执行力，以昂扬奋发的精神状态、务实扎实的工作作风推动党的二十大重大战略部署在国资系统走深走实。</w:t>
      </w:r>
      <w:r>
        <w:rPr>
          <w:rFonts w:hint="eastAsia" w:ascii="仿宋_GB2312" w:hAnsi="黑体" w:eastAsia="仿宋_GB2312" w:cs="仿宋_GB2312"/>
          <w:b/>
          <w:bCs/>
        </w:rPr>
        <w:t>二是发挥基层党组织战斗堡垒和党员先锋模范作用。</w:t>
      </w:r>
      <w:r>
        <w:rPr>
          <w:rFonts w:hint="eastAsia" w:ascii="仿宋_GB2312" w:hAnsi="黑体" w:eastAsia="仿宋_GB2312" w:cs="仿宋_GB2312"/>
        </w:rPr>
        <w:t>扎实开展“防风险、守底线”工作，面对苏州本轮疫情，全面动员市属国资系统各级党组织和广大党员干部发挥先锋模范作用，高效率建设花桥方舱医院、金阊新城文体中心方舱医院和上高路农产品批发市场，累计下沉社区</w:t>
      </w:r>
      <w:r>
        <w:rPr>
          <w:rFonts w:ascii="仿宋_GB2312" w:hAnsi="黑体" w:eastAsia="仿宋_GB2312" w:cs="仿宋_GB2312"/>
        </w:rPr>
        <w:t>4000</w:t>
      </w:r>
      <w:r>
        <w:rPr>
          <w:rFonts w:hint="eastAsia" w:ascii="仿宋_GB2312" w:hAnsi="黑体" w:eastAsia="仿宋_GB2312" w:cs="仿宋_GB2312"/>
        </w:rPr>
        <w:t>余人次、出动志愿者</w:t>
      </w:r>
      <w:r>
        <w:rPr>
          <w:rFonts w:ascii="仿宋_GB2312" w:hAnsi="黑体" w:eastAsia="仿宋_GB2312" w:cs="仿宋_GB2312"/>
        </w:rPr>
        <w:t>20000</w:t>
      </w:r>
      <w:r>
        <w:rPr>
          <w:rFonts w:hint="eastAsia" w:ascii="仿宋_GB2312" w:hAnsi="黑体" w:eastAsia="仿宋_GB2312" w:cs="仿宋_GB2312"/>
        </w:rPr>
        <w:t>余人次。落实纾困助企政策，全市国有企业减免</w:t>
      </w:r>
      <w:r>
        <w:rPr>
          <w:rFonts w:ascii="仿宋_GB2312" w:hAnsi="黑体" w:eastAsia="仿宋_GB2312" w:cs="仿宋_GB2312"/>
        </w:rPr>
        <w:t>6</w:t>
      </w:r>
      <w:r>
        <w:rPr>
          <w:rFonts w:hint="eastAsia" w:ascii="仿宋_GB2312" w:hAnsi="黑体" w:eastAsia="仿宋_GB2312" w:cs="仿宋_GB2312"/>
        </w:rPr>
        <w:t>个月租金约</w:t>
      </w:r>
      <w:r>
        <w:rPr>
          <w:rFonts w:ascii="仿宋_GB2312" w:hAnsi="黑体" w:eastAsia="仿宋_GB2312" w:cs="仿宋_GB2312"/>
        </w:rPr>
        <w:t>30</w:t>
      </w:r>
      <w:r>
        <w:rPr>
          <w:rFonts w:hint="eastAsia" w:ascii="仿宋_GB2312" w:hAnsi="黑体" w:eastAsia="仿宋_GB2312" w:cs="仿宋_GB2312"/>
        </w:rPr>
        <w:t>亿元，惠及服务业中小企业和个体工商户</w:t>
      </w:r>
      <w:r>
        <w:rPr>
          <w:rFonts w:ascii="仿宋_GB2312" w:hAnsi="黑体" w:eastAsia="仿宋_GB2312" w:cs="仿宋_GB2312"/>
        </w:rPr>
        <w:t>3</w:t>
      </w:r>
      <w:r>
        <w:rPr>
          <w:rFonts w:hint="eastAsia" w:ascii="仿宋_GB2312" w:hAnsi="黑体" w:eastAsia="仿宋_GB2312" w:cs="仿宋_GB2312"/>
        </w:rPr>
        <w:t>万余户。</w:t>
      </w:r>
      <w:r>
        <w:rPr>
          <w:rFonts w:hint="eastAsia" w:ascii="仿宋_GB2312" w:hAnsi="黑体" w:eastAsia="仿宋_GB2312" w:cs="仿宋_GB2312"/>
          <w:b/>
          <w:bCs/>
        </w:rPr>
        <w:t>三是加强国企人才工作。</w:t>
      </w:r>
      <w:r>
        <w:rPr>
          <w:rFonts w:hint="eastAsia" w:ascii="仿宋_GB2312" w:hAnsi="黑体" w:eastAsia="仿宋_GB2312" w:cs="仿宋_GB2312"/>
        </w:rPr>
        <w:t>市国资委出台《关于加强市属国有企业人才工作的若干措施》，认定</w:t>
      </w:r>
      <w:r>
        <w:rPr>
          <w:rFonts w:ascii="仿宋_GB2312" w:hAnsi="黑体" w:eastAsia="仿宋_GB2312" w:cs="仿宋_GB2312"/>
        </w:rPr>
        <w:t>2022</w:t>
      </w:r>
      <w:r>
        <w:rPr>
          <w:rFonts w:hint="eastAsia" w:ascii="仿宋_GB2312" w:hAnsi="黑体" w:eastAsia="仿宋_GB2312" w:cs="仿宋_GB2312"/>
        </w:rPr>
        <w:t>年度市属国企紧缺人才</w:t>
      </w:r>
      <w:r>
        <w:rPr>
          <w:rFonts w:ascii="仿宋_GB2312" w:hAnsi="黑体" w:eastAsia="仿宋_GB2312" w:cs="仿宋_GB2312"/>
        </w:rPr>
        <w:t>43</w:t>
      </w:r>
      <w:r>
        <w:rPr>
          <w:rFonts w:hint="eastAsia" w:ascii="仿宋_GB2312" w:hAnsi="黑体" w:eastAsia="仿宋_GB2312" w:cs="仿宋_GB2312"/>
        </w:rPr>
        <w:t>名，成功引进定岗特选优秀青年人才</w:t>
      </w:r>
      <w:r>
        <w:rPr>
          <w:rFonts w:ascii="仿宋_GB2312" w:hAnsi="黑体" w:eastAsia="仿宋_GB2312" w:cs="仿宋_GB2312"/>
        </w:rPr>
        <w:t>51</w:t>
      </w:r>
      <w:r>
        <w:rPr>
          <w:rFonts w:hint="eastAsia" w:ascii="仿宋_GB2312" w:hAnsi="黑体" w:eastAsia="仿宋_GB2312" w:cs="仿宋_GB2312"/>
        </w:rPr>
        <w:t>名，新发布定岗特选岗位</w:t>
      </w:r>
      <w:r>
        <w:rPr>
          <w:rFonts w:ascii="仿宋_GB2312" w:hAnsi="黑体" w:eastAsia="仿宋_GB2312" w:cs="仿宋_GB2312"/>
        </w:rPr>
        <w:t>70</w:t>
      </w:r>
      <w:r>
        <w:rPr>
          <w:rFonts w:hint="eastAsia" w:ascii="仿宋_GB2312" w:hAnsi="黑体" w:eastAsia="仿宋_GB2312" w:cs="仿宋_GB2312"/>
        </w:rPr>
        <w:t>个，启动实施青年人才“逐浪计划”，推动园林“香山人才计划”、城投“青年圆桌计划”等人才培育活动持续开展，市属国企成功入选省第六期“</w:t>
      </w:r>
      <w:r>
        <w:rPr>
          <w:rFonts w:ascii="仿宋_GB2312" w:hAnsi="黑体" w:eastAsia="仿宋_GB2312" w:cs="仿宋_GB2312"/>
        </w:rPr>
        <w:t>333</w:t>
      </w:r>
      <w:r>
        <w:rPr>
          <w:rFonts w:hint="eastAsia" w:ascii="仿宋_GB2312" w:hAnsi="黑体" w:eastAsia="仿宋_GB2312" w:cs="仿宋_GB2312"/>
        </w:rPr>
        <w:t>工程”培养对象二层次</w:t>
      </w:r>
      <w:r>
        <w:rPr>
          <w:rFonts w:ascii="仿宋_GB2312" w:hAnsi="黑体" w:eastAsia="仿宋_GB2312" w:cs="仿宋_GB2312"/>
        </w:rPr>
        <w:t>1</w:t>
      </w:r>
      <w:r>
        <w:rPr>
          <w:rFonts w:hint="eastAsia" w:ascii="仿宋_GB2312" w:hAnsi="黑体" w:eastAsia="仿宋_GB2312" w:cs="仿宋_GB2312"/>
        </w:rPr>
        <w:t>人、三层次</w:t>
      </w:r>
      <w:r>
        <w:rPr>
          <w:rFonts w:ascii="仿宋_GB2312" w:hAnsi="黑体" w:eastAsia="仿宋_GB2312" w:cs="仿宋_GB2312"/>
        </w:rPr>
        <w:t>4</w:t>
      </w:r>
      <w:r>
        <w:rPr>
          <w:rFonts w:hint="eastAsia" w:ascii="仿宋_GB2312" w:hAnsi="黑体" w:eastAsia="仿宋_GB2312" w:cs="仿宋_GB2312"/>
        </w:rPr>
        <w:t>人。</w:t>
      </w:r>
    </w:p>
    <w:p>
      <w:pPr>
        <w:widowControl/>
        <w:spacing w:line="580" w:lineRule="exact"/>
        <w:ind w:firstLine="624" w:firstLineChars="200"/>
        <w:jc w:val="left"/>
        <w:rPr>
          <w:rFonts w:ascii="仿宋_GB2312" w:hAnsi="黑体" w:eastAsia="仿宋_GB2312"/>
        </w:rPr>
      </w:pPr>
      <w:r>
        <w:rPr>
          <w:rFonts w:hint="eastAsia" w:ascii="楷体_GB2312" w:hAnsi="黑体" w:eastAsia="楷体_GB2312" w:cs="楷体_GB2312"/>
        </w:rPr>
        <w:t>（五）安全生产工作不断夯实。</w:t>
      </w:r>
      <w:r>
        <w:rPr>
          <w:rFonts w:hint="eastAsia" w:ascii="仿宋_GB2312" w:hAnsi="黑体" w:eastAsia="仿宋_GB2312" w:cs="仿宋_GB2312"/>
        </w:rPr>
        <w:t>以推进安全生产专项整治三年行动攻坚收官为主线，以全面落实国务院安全生产大检查</w:t>
      </w:r>
      <w:r>
        <w:rPr>
          <w:rFonts w:ascii="仿宋_GB2312" w:hAnsi="黑体" w:eastAsia="仿宋_GB2312" w:cs="仿宋_GB2312"/>
        </w:rPr>
        <w:t>15</w:t>
      </w:r>
      <w:r>
        <w:rPr>
          <w:rFonts w:hint="eastAsia" w:ascii="仿宋_GB2312" w:hAnsi="黑体" w:eastAsia="仿宋_GB2312" w:cs="仿宋_GB2312"/>
        </w:rPr>
        <w:t>条硬措施为工作目标，制定印发《市属国资系统安全生产大检查工作方案》，涵盖</w:t>
      </w:r>
      <w:r>
        <w:rPr>
          <w:rFonts w:ascii="仿宋_GB2312" w:hAnsi="黑体" w:eastAsia="仿宋_GB2312" w:cs="仿宋_GB2312"/>
        </w:rPr>
        <w:t>12</w:t>
      </w:r>
      <w:r>
        <w:rPr>
          <w:rFonts w:hint="eastAsia" w:ascii="仿宋_GB2312" w:hAnsi="黑体" w:eastAsia="仿宋_GB2312" w:cs="仿宋_GB2312"/>
        </w:rPr>
        <w:t>个方面</w:t>
      </w:r>
      <w:r>
        <w:rPr>
          <w:rFonts w:ascii="仿宋_GB2312" w:hAnsi="黑体" w:eastAsia="仿宋_GB2312" w:cs="仿宋_GB2312"/>
        </w:rPr>
        <w:t>40</w:t>
      </w:r>
      <w:r>
        <w:rPr>
          <w:rFonts w:hint="eastAsia" w:ascii="仿宋_GB2312" w:hAnsi="黑体" w:eastAsia="仿宋_GB2312" w:cs="仿宋_GB2312"/>
        </w:rPr>
        <w:t>项具体内容，广泛进行动员部署，层层压紧压实责任。市国资委抽调专人组成市安全生产第十一督导组，对市属国企安全生产工作进行全面督导，开展专项督导检查</w:t>
      </w:r>
      <w:r>
        <w:rPr>
          <w:rFonts w:ascii="仿宋_GB2312" w:hAnsi="黑体" w:eastAsia="仿宋_GB2312" w:cs="仿宋_GB2312"/>
        </w:rPr>
        <w:t>13</w:t>
      </w:r>
      <w:r>
        <w:rPr>
          <w:rFonts w:hint="eastAsia" w:ascii="仿宋_GB2312" w:hAnsi="黑体" w:eastAsia="仿宋_GB2312" w:cs="仿宋_GB2312"/>
        </w:rPr>
        <w:t>次，检查企业现场</w:t>
      </w:r>
      <w:r>
        <w:rPr>
          <w:rFonts w:ascii="仿宋_GB2312" w:hAnsi="黑体" w:eastAsia="仿宋_GB2312" w:cs="仿宋_GB2312"/>
        </w:rPr>
        <w:t>111</w:t>
      </w:r>
      <w:r>
        <w:rPr>
          <w:rFonts w:hint="eastAsia" w:ascii="仿宋_GB2312" w:hAnsi="黑体" w:eastAsia="仿宋_GB2312" w:cs="仿宋_GB2312"/>
        </w:rPr>
        <w:t>个，发现风险隐患</w:t>
      </w:r>
      <w:r>
        <w:rPr>
          <w:rFonts w:ascii="仿宋_GB2312" w:hAnsi="黑体" w:eastAsia="仿宋_GB2312" w:cs="仿宋_GB2312"/>
        </w:rPr>
        <w:t>203</w:t>
      </w:r>
      <w:r>
        <w:rPr>
          <w:rFonts w:hint="eastAsia" w:ascii="仿宋_GB2312" w:hAnsi="黑体" w:eastAsia="仿宋_GB2312" w:cs="仿宋_GB2312"/>
        </w:rPr>
        <w:t>项，并督促相关企业全部按照要求闭环整改，为推动全市生产安全事故“双下降”、确保全市安全生产形势稳定发挥了重要作用。</w:t>
      </w:r>
    </w:p>
    <w:p>
      <w:pPr>
        <w:widowControl/>
        <w:spacing w:line="580" w:lineRule="exact"/>
        <w:ind w:firstLine="624" w:firstLineChars="200"/>
        <w:jc w:val="left"/>
        <w:rPr>
          <w:rFonts w:ascii="仿宋_GB2312" w:hAnsi="仿宋_GB2312" w:eastAsia="仿宋_GB2312"/>
          <w:color w:val="000000"/>
          <w:kern w:val="0"/>
        </w:rPr>
      </w:pPr>
      <w:r>
        <w:rPr>
          <w:rFonts w:hint="eastAsia" w:ascii="仿宋_GB2312" w:hAnsi="仿宋_GB2312" w:eastAsia="仿宋_GB2312" w:cs="仿宋_GB2312"/>
          <w:color w:val="000000"/>
          <w:kern w:val="0"/>
        </w:rPr>
        <w:t>在充分肯定成绩的同时，也要清醒地认识到，对照市委市政府新部署新要求，与上海、深圳等先进地区和行业先进企业，全市国资国企工作还存在一些问题和不足，主要表现在：国有资本布局结构有待进一步优化，战略性新兴产业布局较少，“走出去”发展需要加快步伐，与一流企业还有较大差距；公司法人治理结构有待进一步完善，规范高效董事会建设尚需加强，外部董事履职能力仍需提高；企业发展活力有待进一步激发，市场化经营机制还不够灵活高效，高层次人才和经营团队引进难、留住难；全面从严治党主体责任压力传导有待进一步强化，重点领域、关键岗位和年青干部廉政风险防控需要引起高度重视。对此，全市国资系统要以强烈的责任感使命感，直面矛盾和问题，全面系统谋划，采取有力措施加以解决。</w:t>
      </w:r>
    </w:p>
    <w:p>
      <w:pPr>
        <w:widowControl/>
        <w:spacing w:line="580" w:lineRule="exact"/>
        <w:ind w:firstLine="624" w:firstLineChars="200"/>
        <w:jc w:val="left"/>
        <w:rPr>
          <w:rFonts w:ascii="黑体" w:hAnsi="黑体" w:eastAsia="黑体"/>
          <w:color w:val="000000"/>
          <w:kern w:val="0"/>
        </w:rPr>
      </w:pPr>
      <w:r>
        <w:rPr>
          <w:rFonts w:hint="eastAsia" w:ascii="黑体" w:hAnsi="黑体" w:eastAsia="黑体" w:cs="黑体"/>
          <w:color w:val="000000"/>
          <w:kern w:val="0"/>
        </w:rPr>
        <w:t>二、</w:t>
      </w:r>
      <w:r>
        <w:rPr>
          <w:rFonts w:ascii="黑体" w:hAnsi="黑体" w:eastAsia="黑体" w:cs="黑体"/>
          <w:color w:val="000000"/>
          <w:kern w:val="0"/>
        </w:rPr>
        <w:t>2023</w:t>
      </w:r>
      <w:r>
        <w:rPr>
          <w:rFonts w:hint="eastAsia" w:ascii="黑体" w:hAnsi="黑体" w:eastAsia="黑体" w:cs="黑体"/>
          <w:color w:val="000000"/>
          <w:kern w:val="0"/>
        </w:rPr>
        <w:t>年度主要工作思路</w:t>
      </w:r>
    </w:p>
    <w:p>
      <w:pPr>
        <w:widowControl/>
        <w:spacing w:line="580" w:lineRule="exact"/>
        <w:ind w:firstLine="624" w:firstLineChars="200"/>
        <w:jc w:val="left"/>
        <w:rPr>
          <w:rFonts w:ascii="黑体" w:hAnsi="黑体" w:eastAsia="黑体"/>
          <w:color w:val="000000"/>
          <w:kern w:val="0"/>
        </w:rPr>
      </w:pPr>
      <w:r>
        <w:rPr>
          <w:rFonts w:ascii="仿宋_GB2312" w:hAnsi="仿宋_GB2312" w:eastAsia="仿宋_GB2312" w:cs="仿宋_GB2312"/>
          <w:color w:val="000000"/>
          <w:kern w:val="0"/>
        </w:rPr>
        <w:t>2023</w:t>
      </w:r>
      <w:r>
        <w:rPr>
          <w:rFonts w:hint="eastAsia" w:ascii="仿宋_GB2312" w:hAnsi="仿宋_GB2312" w:eastAsia="仿宋_GB2312" w:cs="仿宋_GB2312"/>
          <w:color w:val="000000"/>
          <w:kern w:val="0"/>
        </w:rPr>
        <w:t>年全市国资国企工作</w:t>
      </w:r>
      <w:r>
        <w:rPr>
          <w:rFonts w:hint="eastAsia" w:ascii="黑体" w:hAnsi="黑体" w:eastAsia="黑体" w:cs="黑体"/>
          <w:color w:val="000000"/>
          <w:kern w:val="0"/>
        </w:rPr>
        <w:t>总体思路</w:t>
      </w:r>
      <w:r>
        <w:rPr>
          <w:rFonts w:hint="eastAsia" w:ascii="仿宋_GB2312" w:hAnsi="仿宋_GB2312" w:eastAsia="仿宋_GB2312" w:cs="仿宋_GB2312"/>
          <w:color w:val="000000"/>
          <w:kern w:val="0"/>
        </w:rPr>
        <w:t>是：</w:t>
      </w:r>
      <w:r>
        <w:rPr>
          <w:rFonts w:hint="eastAsia" w:ascii="黑体" w:hAnsi="黑体" w:eastAsia="黑体" w:cs="黑体"/>
          <w:color w:val="000000"/>
          <w:kern w:val="0"/>
        </w:rPr>
        <w:t>以习近平新时代中国特色社会主义思想为指导，深入学习宣传贯彻党的二十大精神，坚持党对国有企业的全面领导，坚持稳中求进工作总基调，完整、准确、全面贯彻新发展理念，服务加快构建新发展格局，按照市委十三届四次全会、市委经济工作会议、全市推进“敢为、敢闯、敢干、敢首创”动员会暨作风建设大会部署要求，聚焦推进高质量发展，纵深推进国资国企改革，持续优化国有经济布局结构，不断健全以管资本为主的国资监管体制，加快建设具有市场竞争力的一流企业，着力防范化解重大风险，实现质的有效提升和量的合理增长，努力做强做优做大国有资本和国有企业，为在新征程上全面推进中国式现代化苏州新实践贡献国资力量。</w:t>
      </w:r>
    </w:p>
    <w:p>
      <w:pPr>
        <w:widowControl/>
        <w:spacing w:line="580" w:lineRule="exact"/>
        <w:ind w:firstLine="624" w:firstLineChars="200"/>
        <w:jc w:val="left"/>
        <w:rPr>
          <w:rFonts w:ascii="仿宋_GB2312" w:hAnsi="仿宋_GB2312" w:eastAsia="仿宋_GB2312"/>
          <w:color w:val="000000"/>
          <w:kern w:val="0"/>
        </w:rPr>
      </w:pPr>
      <w:r>
        <w:rPr>
          <w:rFonts w:hint="eastAsia" w:ascii="仿宋_GB2312" w:hAnsi="华文仿宋" w:eastAsia="仿宋_GB2312" w:cs="仿宋_GB2312"/>
          <w:color w:val="000000"/>
          <w:kern w:val="0"/>
        </w:rPr>
        <w:t>根据市委市政府部署安排，结合我市国资国企实际，</w:t>
      </w:r>
      <w:r>
        <w:rPr>
          <w:rFonts w:ascii="仿宋_GB2312" w:hAnsi="华文仿宋" w:eastAsia="仿宋_GB2312" w:cs="仿宋_GB2312"/>
          <w:color w:val="000000"/>
          <w:kern w:val="0"/>
        </w:rPr>
        <w:t>2023</w:t>
      </w:r>
      <w:r>
        <w:rPr>
          <w:rFonts w:hint="eastAsia" w:ascii="仿宋_GB2312" w:hAnsi="华文仿宋" w:eastAsia="仿宋_GB2312" w:cs="仿宋_GB2312"/>
          <w:color w:val="000000"/>
          <w:kern w:val="0"/>
        </w:rPr>
        <w:t>年</w:t>
      </w:r>
      <w:r>
        <w:rPr>
          <w:rFonts w:hint="eastAsia" w:ascii="黑体" w:hAnsi="黑体" w:eastAsia="黑体" w:cs="黑体"/>
          <w:color w:val="000000"/>
          <w:kern w:val="0"/>
        </w:rPr>
        <w:t>预期目标</w:t>
      </w:r>
      <w:r>
        <w:rPr>
          <w:rFonts w:hint="eastAsia" w:ascii="仿宋_GB2312" w:hAnsi="华文仿宋" w:eastAsia="仿宋_GB2312" w:cs="仿宋_GB2312"/>
          <w:color w:val="000000"/>
          <w:kern w:val="0"/>
        </w:rPr>
        <w:t>是：</w:t>
      </w:r>
      <w:r>
        <w:rPr>
          <w:rFonts w:hint="eastAsia" w:ascii="黑体" w:hAnsi="黑体" w:eastAsia="黑体" w:cs="黑体"/>
          <w:color w:val="000000"/>
          <w:kern w:val="0"/>
        </w:rPr>
        <w:t>全市国企主要经营效益指标增速不低于</w:t>
      </w:r>
      <w:r>
        <w:rPr>
          <w:rFonts w:ascii="黑体" w:hAnsi="黑体" w:eastAsia="黑体" w:cs="黑体"/>
          <w:color w:val="000000"/>
          <w:kern w:val="0"/>
        </w:rPr>
        <w:t>8%</w:t>
      </w:r>
      <w:r>
        <w:rPr>
          <w:rFonts w:hint="eastAsia" w:ascii="黑体" w:hAnsi="黑体" w:eastAsia="黑体" w:cs="黑体"/>
          <w:color w:val="000000"/>
          <w:kern w:val="0"/>
        </w:rPr>
        <w:t>，力争两位数增长。</w:t>
      </w:r>
      <w:r>
        <w:rPr>
          <w:rFonts w:hint="eastAsia" w:ascii="仿宋_GB2312" w:hAnsi="黑体" w:eastAsia="仿宋_GB2312" w:cs="仿宋_GB2312"/>
          <w:color w:val="000000"/>
          <w:kern w:val="0"/>
        </w:rPr>
        <w:t>预期目标高于我市地区生产总值增长目标，体现了国资国企挑重担、扛重责的责任担当，也是模范落实“四敢”精神的具体实践。全市国资系统要从战略全局的高度出发，</w:t>
      </w:r>
      <w:r>
        <w:rPr>
          <w:rFonts w:hint="eastAsia" w:ascii="仿宋_GB2312" w:hAnsi="仿宋_GB2312" w:eastAsia="仿宋_GB2312" w:cs="仿宋_GB2312"/>
          <w:color w:val="000000"/>
          <w:kern w:val="0"/>
        </w:rPr>
        <w:t>着重抓好五个方面工作：</w:t>
      </w:r>
    </w:p>
    <w:p>
      <w:pPr>
        <w:widowControl/>
        <w:spacing w:line="580" w:lineRule="exact"/>
        <w:ind w:firstLine="624" w:firstLineChars="200"/>
        <w:jc w:val="left"/>
        <w:rPr>
          <w:rFonts w:ascii="仿宋_GB2312" w:hAnsi="仿宋_GB2312" w:eastAsia="仿宋_GB2312"/>
          <w:color w:val="000000"/>
          <w:kern w:val="0"/>
        </w:rPr>
      </w:pPr>
      <w:r>
        <w:rPr>
          <w:rFonts w:hint="eastAsia" w:ascii="楷体_GB2312" w:hAnsi="仿宋_GB2312" w:eastAsia="楷体_GB2312" w:cs="楷体_GB2312"/>
          <w:color w:val="000000"/>
          <w:kern w:val="0"/>
        </w:rPr>
        <w:t>（一）以</w:t>
      </w:r>
      <w:r>
        <w:rPr>
          <w:rFonts w:hint="eastAsia" w:ascii="楷体_GB2312" w:hAnsi="黑体" w:eastAsia="楷体_GB2312" w:cs="楷体_GB2312"/>
        </w:rPr>
        <w:t>服务发展大局为中心，发挥国有经济战略支撑作用</w:t>
      </w:r>
      <w:r>
        <w:rPr>
          <w:rFonts w:hint="eastAsia" w:ascii="楷体_GB2312" w:eastAsia="楷体_GB2312" w:cs="楷体_GB2312"/>
          <w:snapToGrid w:val="0"/>
          <w:kern w:val="0"/>
        </w:rPr>
        <w:t>。</w:t>
      </w:r>
      <w:r>
        <w:rPr>
          <w:rFonts w:hint="eastAsia" w:ascii="仿宋_GB2312" w:hAnsi="仿宋_GB2312" w:eastAsia="仿宋_GB2312" w:cs="仿宋_GB2312"/>
          <w:b/>
          <w:bCs/>
          <w:snapToGrid w:val="0"/>
          <w:kern w:val="0"/>
        </w:rPr>
        <w:t>一是服务好产业创新集群建设。</w:t>
      </w:r>
      <w:r>
        <w:rPr>
          <w:rFonts w:hint="eastAsia" w:ascii="仿宋_GB2312" w:hAnsi="仿宋_GB2312" w:eastAsia="仿宋_GB2312" w:cs="仿宋_GB2312"/>
          <w:snapToGrid w:val="0"/>
          <w:kern w:val="0"/>
        </w:rPr>
        <w:t>聚焦电子信息、装备制造、生物医药和先进材料四大产业集群，强化国有资本对产业创新集群建设的支撑力和引导力，吸引更多金融和社会资本积极参与，助力创新集群加快形成，推动苏州经济社会高质量发展。</w:t>
      </w:r>
      <w:r>
        <w:rPr>
          <w:rFonts w:hint="eastAsia" w:ascii="仿宋_GB2312" w:hAnsi="仿宋_GB2312" w:eastAsia="仿宋_GB2312" w:cs="仿宋_GB2312"/>
          <w:b/>
          <w:bCs/>
          <w:snapToGrid w:val="0"/>
          <w:kern w:val="0"/>
        </w:rPr>
        <w:t>二是服务好市域一体化发展。</w:t>
      </w:r>
      <w:r>
        <w:rPr>
          <w:rFonts w:hint="eastAsia" w:ascii="仿宋_GB2312" w:hAnsi="仿宋_GB2312" w:eastAsia="仿宋_GB2312" w:cs="仿宋_GB2312"/>
          <w:snapToGrid w:val="0"/>
          <w:kern w:val="0"/>
        </w:rPr>
        <w:t>依托“</w:t>
      </w:r>
      <w:r>
        <w:rPr>
          <w:rFonts w:ascii="仿宋_GB2312" w:hAnsi="仿宋_GB2312" w:eastAsia="仿宋_GB2312" w:cs="仿宋_GB2312"/>
          <w:snapToGrid w:val="0"/>
          <w:kern w:val="0"/>
        </w:rPr>
        <w:t>1+10</w:t>
      </w:r>
      <w:r>
        <w:rPr>
          <w:rFonts w:hint="eastAsia" w:ascii="仿宋_GB2312" w:hAnsi="仿宋_GB2312" w:eastAsia="仿宋_GB2312" w:cs="仿宋_GB2312"/>
          <w:snapToGrid w:val="0"/>
          <w:kern w:val="0"/>
        </w:rPr>
        <w:t>”项目合作机制，通过合资新设、增资扩股、</w:t>
      </w:r>
      <w:r>
        <w:rPr>
          <w:rFonts w:ascii="仿宋_GB2312" w:hAnsi="仿宋_GB2312" w:eastAsia="仿宋_GB2312" w:cs="仿宋_GB2312"/>
          <w:snapToGrid w:val="0"/>
          <w:kern w:val="0"/>
        </w:rPr>
        <w:t>PPP</w:t>
      </w:r>
      <w:r>
        <w:rPr>
          <w:rFonts w:hint="eastAsia" w:ascii="仿宋_GB2312" w:hAnsi="仿宋_GB2312" w:eastAsia="仿宋_GB2312" w:cs="仿宋_GB2312"/>
          <w:snapToGrid w:val="0"/>
          <w:kern w:val="0"/>
        </w:rPr>
        <w:t>等方式，围绕重大基础设施、生态环境保护、能源粮食、数字产业、乡村振兴、战略性新兴产业等领域开展市场化合作，推动全市国资国企融合协调发展，全面加强要素支撑和服务保障。</w:t>
      </w:r>
      <w:r>
        <w:rPr>
          <w:rFonts w:hint="eastAsia" w:ascii="仿宋_GB2312" w:hAnsi="仿宋_GB2312" w:eastAsia="仿宋_GB2312" w:cs="仿宋_GB2312"/>
          <w:b/>
          <w:bCs/>
          <w:snapToGrid w:val="0"/>
          <w:kern w:val="0"/>
        </w:rPr>
        <w:t>三是服务好城市更新和古城保护。</w:t>
      </w:r>
      <w:r>
        <w:rPr>
          <w:rFonts w:hint="eastAsia" w:ascii="仿宋_GB2312" w:hAnsi="仿宋_GB2312" w:eastAsia="仿宋_GB2312" w:cs="仿宋_GB2312"/>
          <w:snapToGrid w:val="0"/>
          <w:kern w:val="0"/>
        </w:rPr>
        <w:t>积极扩大有效投资，用足政策性开发性金融工具，加快推进轨道交通、城际铁路、高速公路、现代物流等重点项目建设，提升城市综合承载能力。鼓励支持国有企业加大对古城古镇古村古巷和古建老宅的活态化保护开发利用，面向世界贡献古城保护的苏州方案</w:t>
      </w:r>
      <w:r>
        <w:rPr>
          <w:rFonts w:hint="eastAsia" w:ascii="仿宋_GB2312" w:eastAsia="仿宋_GB2312" w:cs="仿宋_GB2312"/>
        </w:rPr>
        <w:t>。</w:t>
      </w:r>
    </w:p>
    <w:p>
      <w:pPr>
        <w:widowControl/>
        <w:spacing w:line="580" w:lineRule="exact"/>
        <w:ind w:firstLine="624" w:firstLineChars="200"/>
        <w:jc w:val="left"/>
        <w:rPr>
          <w:rFonts w:ascii="楷体_GB2312" w:hAnsi="华文楷体" w:eastAsia="楷体_GB2312"/>
        </w:rPr>
      </w:pPr>
      <w:r>
        <w:rPr>
          <w:rFonts w:hint="eastAsia" w:ascii="楷体_GB2312" w:hAnsi="华文楷体" w:eastAsia="楷体_GB2312" w:cs="楷体_GB2312"/>
        </w:rPr>
        <w:t>（二）以深化改革创新为动力，</w:t>
      </w:r>
      <w:r>
        <w:rPr>
          <w:rFonts w:hint="eastAsia" w:ascii="楷体_GB2312" w:hAnsi="仿宋_GB2312" w:eastAsia="楷体_GB2312" w:cs="楷体_GB2312"/>
          <w:color w:val="000000"/>
          <w:kern w:val="0"/>
        </w:rPr>
        <w:t>激发企业发展内生活力动力</w:t>
      </w:r>
      <w:r>
        <w:rPr>
          <w:rFonts w:hint="eastAsia" w:ascii="楷体_GB2312" w:hAnsi="华文楷体" w:eastAsia="楷体_GB2312" w:cs="楷体_GB2312"/>
        </w:rPr>
        <w:t>。</w:t>
      </w:r>
      <w:r>
        <w:rPr>
          <w:rFonts w:hint="eastAsia" w:ascii="仿宋_GB2312" w:hAnsi="华文楷体" w:eastAsia="仿宋_GB2312" w:cs="仿宋_GB2312"/>
          <w:b/>
          <w:bCs/>
        </w:rPr>
        <w:t>一是聚焦主业提升核心竞争力。</w:t>
      </w:r>
      <w:r>
        <w:rPr>
          <w:rFonts w:hint="eastAsia" w:ascii="仿宋_GB2312" w:hAnsi="黑体" w:eastAsia="仿宋_GB2312" w:cs="仿宋_GB2312"/>
        </w:rPr>
        <w:t>重新核定并公布市属国企的主业，一个企业聚焦一个核心主业深耕细作，</w:t>
      </w:r>
      <w:r>
        <w:rPr>
          <w:rFonts w:hint="eastAsia" w:ascii="仿宋_GB2312" w:hAnsi="仿宋_GB2312" w:eastAsia="仿宋_GB2312" w:cs="仿宋_GB2312"/>
          <w:snapToGrid w:val="0"/>
          <w:kern w:val="0"/>
        </w:rPr>
        <w:t>推动资产资源向主业集中、向优势企业集中，提升企业核心竞争力，培育具有市场竞争力的大企业集团。</w:t>
      </w:r>
      <w:r>
        <w:rPr>
          <w:rFonts w:hint="eastAsia" w:ascii="仿宋_GB2312" w:eastAsia="仿宋_GB2312" w:cs="仿宋_GB2312"/>
        </w:rPr>
        <w:t>推动新近组建的企业高效运营发展，做好酒店集团等企业整合重组。</w:t>
      </w:r>
      <w:r>
        <w:rPr>
          <w:rFonts w:hint="eastAsia" w:ascii="仿宋_GB2312" w:hAnsi="华文楷体" w:eastAsia="仿宋_GB2312" w:cs="仿宋_GB2312"/>
          <w:b/>
          <w:bCs/>
        </w:rPr>
        <w:t>二是聚焦创新提升产业链影响力。</w:t>
      </w:r>
      <w:r>
        <w:rPr>
          <w:rFonts w:hint="eastAsia" w:ascii="仿宋_GB2312" w:hAnsi="华文楷体" w:eastAsia="仿宋_GB2312" w:cs="仿宋_GB2312"/>
        </w:rPr>
        <w:t>建立健全研发投入持续增长机制，实施年度考核加分、研发费用视同利润加回、资本金注入、工资总额单列等一揽子支持创新政策。引导企业深度融入“环太湖科创圈”“吴淞江科创带”建设，鼓励有条件的企业建立“科创飞地”和海外研发基地，以创新链赋能产业链。</w:t>
      </w:r>
      <w:r>
        <w:rPr>
          <w:rFonts w:hint="eastAsia" w:ascii="仿宋_GB2312" w:hAnsi="华文楷体" w:eastAsia="仿宋_GB2312" w:cs="仿宋_GB2312"/>
          <w:b/>
          <w:bCs/>
        </w:rPr>
        <w:t>三是聚焦央地合作提升企业发展力。</w:t>
      </w:r>
      <w:r>
        <w:rPr>
          <w:rFonts w:hint="eastAsia" w:ascii="仿宋_GB2312" w:hAnsi="华文楷体" w:eastAsia="仿宋_GB2312" w:cs="仿宋_GB2312"/>
        </w:rPr>
        <w:t>高效率运作央企合作工作专班，在中央企业和省属企业打造原创技术策源地中深化合作，扎实推进诚通混改基金、航天时代飞鹏、高铁新城超高层项目及中国同辐辐照应用总部项目等项目落地，把更多创新资源要素导入苏州，招引更多功能性总部和带动性强的项目。</w:t>
      </w:r>
    </w:p>
    <w:p>
      <w:pPr>
        <w:widowControl/>
        <w:spacing w:line="580" w:lineRule="exact"/>
        <w:ind w:firstLine="624" w:firstLineChars="200"/>
        <w:jc w:val="left"/>
        <w:rPr>
          <w:rFonts w:ascii="仿宋_GB2312" w:eastAsia="仿宋_GB2312"/>
        </w:rPr>
      </w:pPr>
      <w:r>
        <w:rPr>
          <w:rFonts w:hint="eastAsia" w:ascii="楷体_GB2312" w:hAnsi="仿宋_GB2312" w:eastAsia="楷体_GB2312" w:cs="楷体_GB2312"/>
          <w:color w:val="000000"/>
          <w:kern w:val="0"/>
        </w:rPr>
        <w:t>（三）以建设一流企业为目标，</w:t>
      </w:r>
      <w:r>
        <w:rPr>
          <w:rFonts w:hint="eastAsia" w:ascii="楷体_GB2312" w:hAnsi="华文楷体" w:eastAsia="楷体_GB2312" w:cs="楷体_GB2312"/>
        </w:rPr>
        <w:t>推动全市国企更高质量发展</w:t>
      </w:r>
      <w:r>
        <w:rPr>
          <w:rFonts w:hint="eastAsia" w:ascii="楷体_GB2312" w:hAnsi="仿宋_GB2312" w:eastAsia="楷体_GB2312" w:cs="楷体_GB2312"/>
          <w:color w:val="000000"/>
          <w:kern w:val="0"/>
        </w:rPr>
        <w:t>。</w:t>
      </w:r>
      <w:r>
        <w:rPr>
          <w:rFonts w:hint="eastAsia" w:eastAsia="仿宋_GB2312" w:cs="仿宋_GB2312"/>
          <w:b/>
          <w:bCs/>
          <w:snapToGrid w:val="0"/>
          <w:kern w:val="0"/>
        </w:rPr>
        <w:t>一是实施国企高质量发展三年行动。</w:t>
      </w:r>
      <w:r>
        <w:rPr>
          <w:rFonts w:hint="eastAsia" w:ascii="仿宋_GB2312" w:eastAsia="仿宋_GB2312" w:cs="仿宋_GB2312"/>
          <w:snapToGrid w:val="0"/>
          <w:kern w:val="0"/>
        </w:rPr>
        <w:t>印发实施《苏州市国有企业高质量发展三年行动计划（</w:t>
      </w:r>
      <w:r>
        <w:rPr>
          <w:rFonts w:ascii="仿宋_GB2312" w:eastAsia="仿宋_GB2312" w:cs="仿宋_GB2312"/>
          <w:snapToGrid w:val="0"/>
          <w:kern w:val="0"/>
        </w:rPr>
        <w:t>2023-2025</w:t>
      </w:r>
      <w:r>
        <w:rPr>
          <w:rFonts w:hint="eastAsia" w:ascii="仿宋_GB2312" w:eastAsia="仿宋_GB2312" w:cs="仿宋_GB2312"/>
          <w:snapToGrid w:val="0"/>
          <w:kern w:val="0"/>
        </w:rPr>
        <w:t>年）》，指导各板块和市属国企编制高质量发展三年行动实施方案和“高质量发展三年行动事项清单”，确保十四五末高质量完成</w:t>
      </w:r>
      <w:r>
        <w:rPr>
          <w:rFonts w:ascii="仿宋_GB2312" w:eastAsia="仿宋_GB2312"/>
          <w:snapToGrid w:val="0"/>
          <w:kern w:val="0"/>
        </w:rPr>
        <w:t>“</w:t>
      </w:r>
      <w:r>
        <w:rPr>
          <w:rFonts w:hint="eastAsia" w:ascii="仿宋_GB2312" w:eastAsia="仿宋_GB2312" w:cs="仿宋_GB2312"/>
          <w:snapToGrid w:val="0"/>
          <w:kern w:val="0"/>
        </w:rPr>
        <w:t>倍增计划</w:t>
      </w:r>
      <w:r>
        <w:rPr>
          <w:rFonts w:ascii="仿宋_GB2312" w:eastAsia="仿宋_GB2312"/>
          <w:snapToGrid w:val="0"/>
          <w:kern w:val="0"/>
        </w:rPr>
        <w:t>”</w:t>
      </w:r>
      <w:r>
        <w:rPr>
          <w:rFonts w:hint="eastAsia" w:ascii="仿宋_GB2312" w:eastAsia="仿宋_GB2312" w:cs="仿宋_GB2312"/>
          <w:snapToGrid w:val="0"/>
          <w:kern w:val="0"/>
        </w:rPr>
        <w:t>，培育一批具有市场竞争力的一流国有企业。</w:t>
      </w:r>
      <w:r>
        <w:rPr>
          <w:rFonts w:hint="eastAsia" w:ascii="仿宋_GB2312" w:eastAsia="仿宋_GB2312" w:cs="仿宋_GB2312"/>
          <w:b/>
          <w:bCs/>
        </w:rPr>
        <w:t>二是主动“走出去”配置资源。</w:t>
      </w:r>
      <w:r>
        <w:rPr>
          <w:rFonts w:hint="eastAsia" w:ascii="仿宋_GB2312" w:eastAsia="仿宋_GB2312" w:cs="仿宋_GB2312"/>
        </w:rPr>
        <w:t>组建专业化产业开发市场主体，以重点项目和产业合作园区为重点，推动苏州优势产业、优秀国企、优质产品和服务高水平、高质量“走出去”，打造走出去发展“苏州企业舰队”，实现国有企业跨区域、跨产业合作共赢。</w:t>
      </w:r>
      <w:r>
        <w:rPr>
          <w:rFonts w:hint="eastAsia" w:ascii="仿宋_GB2312" w:eastAsia="仿宋_GB2312" w:cs="仿宋_GB2312"/>
          <w:b/>
          <w:bCs/>
        </w:rPr>
        <w:t>三是加强国企与部门协同联动。</w:t>
      </w:r>
      <w:r>
        <w:rPr>
          <w:rFonts w:hint="eastAsia" w:ascii="仿宋_GB2312" w:eastAsia="仿宋_GB2312" w:cs="仿宋_GB2312"/>
        </w:rPr>
        <w:t>联合市改革办、市相关职能部门加强研究，健全机制、破除壁垒、打通堵点，理顺国企与职能部门之间的关系，形成有效市场和有为政府的高效协同，更好完成市委市政府交办任务和决策意图，更快做强做优做大国有资本和国有企业。</w:t>
      </w:r>
    </w:p>
    <w:p>
      <w:pPr>
        <w:overflowPunct w:val="0"/>
        <w:adjustRightInd w:val="0"/>
        <w:snapToGrid w:val="0"/>
        <w:spacing w:line="580" w:lineRule="exact"/>
        <w:ind w:firstLine="624" w:firstLineChars="200"/>
        <w:rPr>
          <w:rFonts w:ascii="仿宋_GB2312" w:hAnsi="黑体" w:eastAsia="仿宋_GB2312"/>
          <w:b/>
          <w:bCs/>
          <w:color w:val="000000"/>
          <w:kern w:val="0"/>
        </w:rPr>
      </w:pPr>
      <w:r>
        <w:rPr>
          <w:rFonts w:hint="eastAsia" w:ascii="楷体_GB2312" w:hAnsi="华文楷体" w:eastAsia="楷体_GB2312" w:cs="楷体_GB2312"/>
        </w:rPr>
        <w:t>（四）以全面加强监管为主责，守牢不发生系统性风险底线。</w:t>
      </w:r>
      <w:r>
        <w:rPr>
          <w:rFonts w:hint="eastAsia" w:ascii="仿宋_GB2312" w:hAnsi="华文楷体" w:eastAsia="仿宋_GB2312" w:cs="仿宋_GB2312"/>
          <w:b/>
          <w:bCs/>
        </w:rPr>
        <w:t>一是</w:t>
      </w:r>
      <w:r>
        <w:rPr>
          <w:rFonts w:hint="eastAsia" w:ascii="仿宋_GB2312" w:hAnsi="黑体" w:eastAsia="仿宋_GB2312" w:cs="仿宋_GB2312"/>
          <w:b/>
          <w:bCs/>
          <w:color w:val="000000"/>
          <w:kern w:val="0"/>
        </w:rPr>
        <w:t>开展管理能力提升专项行动。</w:t>
      </w:r>
      <w:r>
        <w:rPr>
          <w:rFonts w:hint="eastAsia" w:ascii="仿宋_GB2312" w:hAnsi="黑体" w:eastAsia="仿宋_GB2312" w:cs="仿宋_GB2312"/>
          <w:color w:val="000000"/>
          <w:kern w:val="0"/>
        </w:rPr>
        <w:t>实施组织架构扁平化改造，充分发挥集团总部定战略、强监管、配资源的“大脑”作用，提升集团决策和管控能力。建立健全采购管理制度，推行大宗物资集中“阳光采购”。加强财务管控，实施全面预算管理，探索建立集中、高效、安全的资金管理体系。</w:t>
      </w:r>
      <w:r>
        <w:rPr>
          <w:rFonts w:hint="eastAsia" w:ascii="仿宋_GB2312" w:hAnsi="黑体" w:eastAsia="仿宋_GB2312" w:cs="仿宋_GB2312"/>
          <w:b/>
          <w:bCs/>
          <w:color w:val="000000"/>
          <w:kern w:val="0"/>
        </w:rPr>
        <w:t>二是构建多层次协同监管体系。</w:t>
      </w:r>
      <w:r>
        <w:rPr>
          <w:rFonts w:hint="eastAsia" w:ascii="仿宋_GB2312" w:hAnsi="黑体" w:eastAsia="仿宋_GB2312" w:cs="仿宋_GB2312"/>
          <w:color w:val="000000"/>
          <w:kern w:val="0"/>
        </w:rPr>
        <w:t>综合运用好“三支队伍、一个平台”，即发挥专职监事一线监督作用，提升外部董事依法履职能力，配齐配强市属国企财务部门负责人，建成应用国资监管数字化平台，不断提升国资监管的针对性有效性。探索构建纪检监察机构、组织部门、巡视巡察、审计和出资人机构协同联动工作机制，加强对县级市（区）国资监管工作的指导监督，构建国资监管大格局。</w:t>
      </w:r>
      <w:r>
        <w:rPr>
          <w:rFonts w:hint="eastAsia" w:ascii="仿宋_GB2312" w:hAnsi="黑体" w:eastAsia="仿宋_GB2312" w:cs="仿宋_GB2312"/>
          <w:b/>
          <w:bCs/>
          <w:color w:val="000000"/>
          <w:kern w:val="0"/>
        </w:rPr>
        <w:t>三是防范化解重大经营风险。</w:t>
      </w:r>
      <w:r>
        <w:rPr>
          <w:rFonts w:hint="eastAsia" w:ascii="仿宋_GB2312" w:hAnsi="黑体" w:eastAsia="仿宋_GB2312" w:cs="仿宋_GB2312"/>
          <w:color w:val="000000"/>
          <w:kern w:val="0"/>
        </w:rPr>
        <w:t>落实经营性债务分级管理，按照特别管控企业（负债率超</w:t>
      </w:r>
      <w:r>
        <w:rPr>
          <w:rFonts w:ascii="仿宋_GB2312" w:hAnsi="黑体" w:eastAsia="仿宋_GB2312" w:cs="仿宋_GB2312"/>
          <w:color w:val="000000"/>
          <w:kern w:val="0"/>
        </w:rPr>
        <w:t>70%</w:t>
      </w:r>
      <w:r>
        <w:rPr>
          <w:rFonts w:hint="eastAsia" w:ascii="仿宋_GB2312" w:hAnsi="黑体" w:eastAsia="仿宋_GB2312" w:cs="仿宋_GB2312"/>
          <w:color w:val="000000"/>
          <w:kern w:val="0"/>
        </w:rPr>
        <w:t>）、严格管控企业（负债率</w:t>
      </w:r>
      <w:r>
        <w:rPr>
          <w:rFonts w:ascii="仿宋_GB2312" w:hAnsi="黑体" w:eastAsia="仿宋_GB2312" w:cs="仿宋_GB2312"/>
          <w:color w:val="000000"/>
          <w:kern w:val="0"/>
        </w:rPr>
        <w:t>65%-70%</w:t>
      </w:r>
      <w:r>
        <w:rPr>
          <w:rFonts w:hint="eastAsia" w:ascii="仿宋_GB2312" w:hAnsi="黑体" w:eastAsia="仿宋_GB2312" w:cs="仿宋_GB2312"/>
          <w:color w:val="000000"/>
          <w:kern w:val="0"/>
        </w:rPr>
        <w:t>）、重点管控企业（负债率</w:t>
      </w:r>
      <w:r>
        <w:rPr>
          <w:rFonts w:ascii="仿宋_GB2312" w:hAnsi="黑体" w:eastAsia="仿宋_GB2312" w:cs="仿宋_GB2312"/>
          <w:color w:val="000000"/>
          <w:kern w:val="0"/>
        </w:rPr>
        <w:t>60%-65%</w:t>
      </w:r>
      <w:r>
        <w:rPr>
          <w:rFonts w:hint="eastAsia" w:ascii="仿宋_GB2312" w:hAnsi="黑体" w:eastAsia="仿宋_GB2312" w:cs="仿宋_GB2312"/>
          <w:color w:val="000000"/>
          <w:kern w:val="0"/>
        </w:rPr>
        <w:t>）、一般管控企业（负债率</w:t>
      </w:r>
      <w:r>
        <w:rPr>
          <w:rFonts w:ascii="仿宋_GB2312" w:hAnsi="黑体" w:eastAsia="仿宋_GB2312" w:cs="仿宋_GB2312"/>
          <w:color w:val="000000"/>
          <w:kern w:val="0"/>
        </w:rPr>
        <w:t>60%</w:t>
      </w:r>
      <w:r>
        <w:rPr>
          <w:rFonts w:hint="eastAsia" w:ascii="仿宋_GB2312" w:hAnsi="黑体" w:eastAsia="仿宋_GB2312" w:cs="仿宋_GB2312"/>
          <w:color w:val="000000"/>
          <w:kern w:val="0"/>
        </w:rPr>
        <w:t>以下）实行四类分级管控。建立预警机制，常态化关注债券存量及</w:t>
      </w:r>
      <w:r>
        <w:rPr>
          <w:rFonts w:ascii="仿宋_GB2312" w:hAnsi="黑体" w:eastAsia="仿宋_GB2312" w:cs="仿宋_GB2312"/>
          <w:color w:val="000000"/>
          <w:kern w:val="0"/>
        </w:rPr>
        <w:t>3</w:t>
      </w:r>
      <w:r>
        <w:rPr>
          <w:rFonts w:hint="eastAsia" w:ascii="仿宋_GB2312" w:hAnsi="黑体" w:eastAsia="仿宋_GB2312" w:cs="仿宋_GB2312"/>
          <w:color w:val="000000"/>
          <w:kern w:val="0"/>
        </w:rPr>
        <w:t>个月内到期债券资金兑付安排和异地政信业务。</w:t>
      </w:r>
    </w:p>
    <w:p>
      <w:pPr>
        <w:overflowPunct w:val="0"/>
        <w:adjustRightInd w:val="0"/>
        <w:snapToGrid w:val="0"/>
        <w:spacing w:line="580" w:lineRule="exact"/>
        <w:ind w:firstLine="624" w:firstLineChars="200"/>
        <w:rPr>
          <w:rFonts w:ascii="仿宋_GB2312" w:eastAsia="仿宋_GB2312"/>
        </w:rPr>
      </w:pPr>
      <w:r>
        <w:rPr>
          <w:rFonts w:hint="eastAsia" w:ascii="楷体_GB2312" w:hAnsi="华文楷体" w:eastAsia="楷体_GB2312" w:cs="楷体_GB2312"/>
        </w:rPr>
        <w:t>（五）以加强党的建设为引领，确保沿着正确方向勇毅前行。</w:t>
      </w:r>
      <w:r>
        <w:rPr>
          <w:rFonts w:hint="eastAsia" w:ascii="仿宋_GB2312" w:eastAsia="仿宋_GB2312" w:cs="仿宋_GB2312"/>
          <w:b/>
          <w:bCs/>
        </w:rPr>
        <w:t>一是狠抓政治建设。</w:t>
      </w:r>
      <w:r>
        <w:rPr>
          <w:rFonts w:hint="eastAsia" w:ascii="仿宋_GB2312" w:eastAsia="仿宋_GB2312" w:cs="仿宋_GB2312"/>
        </w:rPr>
        <w:t>把学习宣传贯彻党的二十大精神作为当前和今后一个时期的首要政治任务，深刻领悟“两个确立”的决定性意义，增强“四个意识”、坚定“四个自信”、做到“两个维护”，在推进中国式现代化中展现国资国企新担当新作为。</w:t>
      </w:r>
      <w:r>
        <w:rPr>
          <w:rFonts w:hint="eastAsia" w:ascii="仿宋_GB2312" w:eastAsia="仿宋_GB2312" w:cs="仿宋_GB2312"/>
          <w:b/>
          <w:bCs/>
        </w:rPr>
        <w:t>二是狠抓人才强企战略。</w:t>
      </w:r>
      <w:r>
        <w:rPr>
          <w:rFonts w:hint="eastAsia" w:ascii="仿宋_GB2312" w:eastAsia="仿宋_GB2312" w:cs="仿宋_GB2312"/>
        </w:rPr>
        <w:t>坚持党管人才原则，健全人才“引用育留”机制，发挥市人才发展公司招才引智平台作用，加大高层次、高技能人才和专业化经营管理团队引进，持续实施国有企业专业化青年人才定岗特选计划，创新实施青年人才“逐浪计划”。</w:t>
      </w:r>
      <w:r>
        <w:rPr>
          <w:rFonts w:hint="eastAsia" w:ascii="仿宋_GB2312" w:eastAsia="仿宋_GB2312" w:cs="仿宋_GB2312"/>
          <w:b/>
          <w:bCs/>
        </w:rPr>
        <w:t>三是狠抓党风廉政建设和反腐败工作。</w:t>
      </w:r>
      <w:r>
        <w:rPr>
          <w:rFonts w:hint="eastAsia" w:ascii="仿宋_GB2312" w:eastAsia="仿宋_GB2312" w:cs="仿宋_GB2312"/>
        </w:rPr>
        <w:t>一体推进不敢腐、不能腐、不想腐，压紧压实全面从严治党主体责任，增强纪律意识、规矩意识，抓好巡察和审计发现问题整改。认真贯彻全市推进“敢为、敢闯、敢干、敢首创”动员会暨作风建设大会精神，精准落实“三个区分开来”要求，激励干部职工敢闯敢试、担当作为，大力营造风清气正、干事创业的良好氛围。</w:t>
      </w:r>
    </w:p>
    <w:p>
      <w:pPr>
        <w:widowControl/>
        <w:spacing w:line="580" w:lineRule="exact"/>
        <w:ind w:firstLine="624" w:firstLineChars="200"/>
        <w:jc w:val="left"/>
        <w:rPr>
          <w:rFonts w:ascii="仿宋_GB2312" w:hAnsi="仿宋_GB2312" w:eastAsia="仿宋_GB2312"/>
          <w:color w:val="000000"/>
          <w:kern w:val="0"/>
        </w:rPr>
      </w:pPr>
    </w:p>
    <w:sectPr>
      <w:footerReference r:id="rId3" w:type="default"/>
      <w:pgSz w:w="11906" w:h="16838"/>
      <w:pgMar w:top="2041" w:right="1531" w:bottom="192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文鼎CS仿宋体">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华文楷体">
    <w:altName w:val="方正楷体_GBK"/>
    <w:panose1 w:val="00000000000000000000"/>
    <w:charset w:val="86"/>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text" w:hAnchor="margin" w:xAlign="center" w:y="1"/>
      <w:rPr>
        <w:rStyle w:val="7"/>
        <w:sz w:val="32"/>
        <w:szCs w:val="32"/>
      </w:rPr>
    </w:pPr>
    <w:r>
      <w:rPr>
        <w:rStyle w:val="7"/>
        <w:sz w:val="32"/>
        <w:szCs w:val="32"/>
      </w:rPr>
      <w:fldChar w:fldCharType="begin"/>
    </w:r>
    <w:r>
      <w:rPr>
        <w:rStyle w:val="7"/>
        <w:sz w:val="32"/>
        <w:szCs w:val="32"/>
      </w:rPr>
      <w:instrText xml:space="preserve">PAGE  </w:instrText>
    </w:r>
    <w:r>
      <w:rPr>
        <w:rStyle w:val="7"/>
        <w:sz w:val="32"/>
        <w:szCs w:val="32"/>
      </w:rPr>
      <w:fldChar w:fldCharType="separate"/>
    </w:r>
    <w:r>
      <w:rPr>
        <w:rStyle w:val="7"/>
        <w:sz w:val="32"/>
        <w:szCs w:val="32"/>
      </w:rPr>
      <w:t>- 9 -</w:t>
    </w:r>
    <w:r>
      <w:rPr>
        <w:rStyle w:val="7"/>
        <w:sz w:val="32"/>
        <w:szCs w:val="32"/>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isplayBackgroundShape w:val="true"/>
  <w:embedSystemFonts/>
  <w:bordersDoNotSurroundHeader w:val="true"/>
  <w:bordersDoNotSurroundFooter w:val="true"/>
  <w:documentProtection w:enforcement="0"/>
  <w:defaultTabStop w:val="420"/>
  <w:doNotHyphenateCaps/>
  <w:drawingGridVerticalSpacing w:val="156"/>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E5NmNiY2NlMWRmNjFlMTQ3NGQ0YmQwOWJhODMwZmQifQ=="/>
  </w:docVars>
  <w:rsids>
    <w:rsidRoot w:val="4B5B5071"/>
    <w:rsid w:val="000012F5"/>
    <w:rsid w:val="00014560"/>
    <w:rsid w:val="00040577"/>
    <w:rsid w:val="00043388"/>
    <w:rsid w:val="0006147D"/>
    <w:rsid w:val="00072646"/>
    <w:rsid w:val="00083F6A"/>
    <w:rsid w:val="00084096"/>
    <w:rsid w:val="00092FF6"/>
    <w:rsid w:val="000A092D"/>
    <w:rsid w:val="000A3584"/>
    <w:rsid w:val="000B078F"/>
    <w:rsid w:val="000B18D8"/>
    <w:rsid w:val="000B60D7"/>
    <w:rsid w:val="000B6A83"/>
    <w:rsid w:val="000D2E4B"/>
    <w:rsid w:val="000D6D78"/>
    <w:rsid w:val="000E75A8"/>
    <w:rsid w:val="000F1079"/>
    <w:rsid w:val="000F47A8"/>
    <w:rsid w:val="000F686C"/>
    <w:rsid w:val="001040AA"/>
    <w:rsid w:val="00105513"/>
    <w:rsid w:val="0011456B"/>
    <w:rsid w:val="00117253"/>
    <w:rsid w:val="001204BE"/>
    <w:rsid w:val="00120D3B"/>
    <w:rsid w:val="001308BD"/>
    <w:rsid w:val="00140584"/>
    <w:rsid w:val="00143A50"/>
    <w:rsid w:val="00156C6E"/>
    <w:rsid w:val="001601A3"/>
    <w:rsid w:val="00160E13"/>
    <w:rsid w:val="0016101B"/>
    <w:rsid w:val="00165813"/>
    <w:rsid w:val="00175788"/>
    <w:rsid w:val="00182811"/>
    <w:rsid w:val="00187534"/>
    <w:rsid w:val="00190323"/>
    <w:rsid w:val="0019355B"/>
    <w:rsid w:val="001A2225"/>
    <w:rsid w:val="001A3360"/>
    <w:rsid w:val="001A4BEB"/>
    <w:rsid w:val="001B0BF2"/>
    <w:rsid w:val="001B25A5"/>
    <w:rsid w:val="001C3490"/>
    <w:rsid w:val="001C7DFD"/>
    <w:rsid w:val="001D4AB1"/>
    <w:rsid w:val="001E4A88"/>
    <w:rsid w:val="001E5CCF"/>
    <w:rsid w:val="001E6A6C"/>
    <w:rsid w:val="001E6F50"/>
    <w:rsid w:val="001F1243"/>
    <w:rsid w:val="001F2E3E"/>
    <w:rsid w:val="001F4524"/>
    <w:rsid w:val="001F5BC9"/>
    <w:rsid w:val="00200B68"/>
    <w:rsid w:val="002033EC"/>
    <w:rsid w:val="002034B9"/>
    <w:rsid w:val="002064FD"/>
    <w:rsid w:val="00223E23"/>
    <w:rsid w:val="0022650E"/>
    <w:rsid w:val="00243645"/>
    <w:rsid w:val="002506CC"/>
    <w:rsid w:val="002562BD"/>
    <w:rsid w:val="002570B0"/>
    <w:rsid w:val="00275A1C"/>
    <w:rsid w:val="00275D8C"/>
    <w:rsid w:val="00296ADF"/>
    <w:rsid w:val="00297521"/>
    <w:rsid w:val="002A4DDF"/>
    <w:rsid w:val="002B0367"/>
    <w:rsid w:val="002C1C28"/>
    <w:rsid w:val="002C1C64"/>
    <w:rsid w:val="002C70EA"/>
    <w:rsid w:val="002C7D17"/>
    <w:rsid w:val="002D7607"/>
    <w:rsid w:val="002E3FBB"/>
    <w:rsid w:val="002F07D7"/>
    <w:rsid w:val="002F3795"/>
    <w:rsid w:val="002F5C85"/>
    <w:rsid w:val="002F5C9C"/>
    <w:rsid w:val="00301166"/>
    <w:rsid w:val="00302E42"/>
    <w:rsid w:val="00304E94"/>
    <w:rsid w:val="00321BC7"/>
    <w:rsid w:val="00327CAE"/>
    <w:rsid w:val="00331F7F"/>
    <w:rsid w:val="0034765D"/>
    <w:rsid w:val="003544AA"/>
    <w:rsid w:val="003634DB"/>
    <w:rsid w:val="00366B32"/>
    <w:rsid w:val="0037163E"/>
    <w:rsid w:val="00374629"/>
    <w:rsid w:val="003806C5"/>
    <w:rsid w:val="00387986"/>
    <w:rsid w:val="00392347"/>
    <w:rsid w:val="0039657F"/>
    <w:rsid w:val="003A7D87"/>
    <w:rsid w:val="003B30A1"/>
    <w:rsid w:val="003C342B"/>
    <w:rsid w:val="003C3B19"/>
    <w:rsid w:val="003C4879"/>
    <w:rsid w:val="003C5552"/>
    <w:rsid w:val="003C73AF"/>
    <w:rsid w:val="003E0E03"/>
    <w:rsid w:val="003F4FF4"/>
    <w:rsid w:val="00401893"/>
    <w:rsid w:val="00404E99"/>
    <w:rsid w:val="00410648"/>
    <w:rsid w:val="00425AEA"/>
    <w:rsid w:val="00433F71"/>
    <w:rsid w:val="00447EFD"/>
    <w:rsid w:val="00450459"/>
    <w:rsid w:val="0045569F"/>
    <w:rsid w:val="004573B6"/>
    <w:rsid w:val="00463075"/>
    <w:rsid w:val="00471ED0"/>
    <w:rsid w:val="0047410E"/>
    <w:rsid w:val="00477E0E"/>
    <w:rsid w:val="00483FD6"/>
    <w:rsid w:val="00485EF2"/>
    <w:rsid w:val="00496C4C"/>
    <w:rsid w:val="004A184B"/>
    <w:rsid w:val="004A1902"/>
    <w:rsid w:val="004A64EB"/>
    <w:rsid w:val="004B7A5A"/>
    <w:rsid w:val="004C34CC"/>
    <w:rsid w:val="004C4BBF"/>
    <w:rsid w:val="004D00B4"/>
    <w:rsid w:val="004D5202"/>
    <w:rsid w:val="004D5DF5"/>
    <w:rsid w:val="004E2563"/>
    <w:rsid w:val="004E50D8"/>
    <w:rsid w:val="004F1781"/>
    <w:rsid w:val="0050149C"/>
    <w:rsid w:val="00504408"/>
    <w:rsid w:val="005118B4"/>
    <w:rsid w:val="005160D0"/>
    <w:rsid w:val="00516E66"/>
    <w:rsid w:val="00530D0F"/>
    <w:rsid w:val="00531429"/>
    <w:rsid w:val="00531944"/>
    <w:rsid w:val="00535133"/>
    <w:rsid w:val="00537113"/>
    <w:rsid w:val="00567406"/>
    <w:rsid w:val="00571686"/>
    <w:rsid w:val="0057430C"/>
    <w:rsid w:val="00590783"/>
    <w:rsid w:val="005A178E"/>
    <w:rsid w:val="005A7161"/>
    <w:rsid w:val="005B5B6F"/>
    <w:rsid w:val="005B76C4"/>
    <w:rsid w:val="005C137C"/>
    <w:rsid w:val="005C2BAB"/>
    <w:rsid w:val="005C3779"/>
    <w:rsid w:val="005C3E14"/>
    <w:rsid w:val="005C7DB8"/>
    <w:rsid w:val="005F5264"/>
    <w:rsid w:val="00604098"/>
    <w:rsid w:val="006062E6"/>
    <w:rsid w:val="00610D7D"/>
    <w:rsid w:val="006162F8"/>
    <w:rsid w:val="006255B6"/>
    <w:rsid w:val="00626C9B"/>
    <w:rsid w:val="00631C67"/>
    <w:rsid w:val="00645484"/>
    <w:rsid w:val="00651CD4"/>
    <w:rsid w:val="00662BE2"/>
    <w:rsid w:val="00665F70"/>
    <w:rsid w:val="00675DD4"/>
    <w:rsid w:val="00686D4A"/>
    <w:rsid w:val="00694273"/>
    <w:rsid w:val="0069530E"/>
    <w:rsid w:val="006A5883"/>
    <w:rsid w:val="006A7AE7"/>
    <w:rsid w:val="006B2C56"/>
    <w:rsid w:val="006B3A0A"/>
    <w:rsid w:val="006C079B"/>
    <w:rsid w:val="006D25CF"/>
    <w:rsid w:val="006D7B06"/>
    <w:rsid w:val="006E1463"/>
    <w:rsid w:val="006E1FD3"/>
    <w:rsid w:val="006F0186"/>
    <w:rsid w:val="007132E1"/>
    <w:rsid w:val="00732CA1"/>
    <w:rsid w:val="0073300D"/>
    <w:rsid w:val="00747F9B"/>
    <w:rsid w:val="00752D81"/>
    <w:rsid w:val="00781390"/>
    <w:rsid w:val="00782BB2"/>
    <w:rsid w:val="00786757"/>
    <w:rsid w:val="007950A2"/>
    <w:rsid w:val="007A482F"/>
    <w:rsid w:val="007C52F7"/>
    <w:rsid w:val="007D0C05"/>
    <w:rsid w:val="007D15DB"/>
    <w:rsid w:val="007D2734"/>
    <w:rsid w:val="007D2D59"/>
    <w:rsid w:val="007D3B36"/>
    <w:rsid w:val="007D48BB"/>
    <w:rsid w:val="00813847"/>
    <w:rsid w:val="00814241"/>
    <w:rsid w:val="00815ED8"/>
    <w:rsid w:val="00816663"/>
    <w:rsid w:val="008227B5"/>
    <w:rsid w:val="0083126D"/>
    <w:rsid w:val="0084092D"/>
    <w:rsid w:val="00841414"/>
    <w:rsid w:val="00844052"/>
    <w:rsid w:val="00845448"/>
    <w:rsid w:val="0084798E"/>
    <w:rsid w:val="008531B3"/>
    <w:rsid w:val="008668FF"/>
    <w:rsid w:val="00872D6A"/>
    <w:rsid w:val="0087659A"/>
    <w:rsid w:val="00884DB3"/>
    <w:rsid w:val="008857B9"/>
    <w:rsid w:val="008A2376"/>
    <w:rsid w:val="008B7EAE"/>
    <w:rsid w:val="008C7148"/>
    <w:rsid w:val="008D26C8"/>
    <w:rsid w:val="008E2614"/>
    <w:rsid w:val="008F7374"/>
    <w:rsid w:val="00902990"/>
    <w:rsid w:val="00904170"/>
    <w:rsid w:val="009054D3"/>
    <w:rsid w:val="00906E26"/>
    <w:rsid w:val="009105C3"/>
    <w:rsid w:val="009136FB"/>
    <w:rsid w:val="0092649E"/>
    <w:rsid w:val="00931924"/>
    <w:rsid w:val="00934CD2"/>
    <w:rsid w:val="00940131"/>
    <w:rsid w:val="00944062"/>
    <w:rsid w:val="00944D19"/>
    <w:rsid w:val="00946EDA"/>
    <w:rsid w:val="00960CB5"/>
    <w:rsid w:val="00963895"/>
    <w:rsid w:val="00966D7E"/>
    <w:rsid w:val="00966DA9"/>
    <w:rsid w:val="00967AC4"/>
    <w:rsid w:val="00971005"/>
    <w:rsid w:val="009734C4"/>
    <w:rsid w:val="00986DF7"/>
    <w:rsid w:val="00987AF3"/>
    <w:rsid w:val="00993CF8"/>
    <w:rsid w:val="00995F71"/>
    <w:rsid w:val="009A007D"/>
    <w:rsid w:val="009B4F67"/>
    <w:rsid w:val="009B57D7"/>
    <w:rsid w:val="009B794A"/>
    <w:rsid w:val="009C2741"/>
    <w:rsid w:val="009C51FE"/>
    <w:rsid w:val="009C5E9F"/>
    <w:rsid w:val="009D2EB1"/>
    <w:rsid w:val="009E112F"/>
    <w:rsid w:val="009E7294"/>
    <w:rsid w:val="009F5EFF"/>
    <w:rsid w:val="009F7C99"/>
    <w:rsid w:val="00A01C3A"/>
    <w:rsid w:val="00A15452"/>
    <w:rsid w:val="00A200E2"/>
    <w:rsid w:val="00A266EB"/>
    <w:rsid w:val="00A31520"/>
    <w:rsid w:val="00A33FBE"/>
    <w:rsid w:val="00A3580B"/>
    <w:rsid w:val="00A431CF"/>
    <w:rsid w:val="00A4358F"/>
    <w:rsid w:val="00A444CE"/>
    <w:rsid w:val="00A4526A"/>
    <w:rsid w:val="00A47313"/>
    <w:rsid w:val="00A55DE4"/>
    <w:rsid w:val="00A768C1"/>
    <w:rsid w:val="00A80C5B"/>
    <w:rsid w:val="00A87F4C"/>
    <w:rsid w:val="00A97BCB"/>
    <w:rsid w:val="00AA5DB5"/>
    <w:rsid w:val="00AB3700"/>
    <w:rsid w:val="00AB453F"/>
    <w:rsid w:val="00AC4D4E"/>
    <w:rsid w:val="00AD14D4"/>
    <w:rsid w:val="00AD77B1"/>
    <w:rsid w:val="00AE0620"/>
    <w:rsid w:val="00AE6F31"/>
    <w:rsid w:val="00AF3EDA"/>
    <w:rsid w:val="00B01A79"/>
    <w:rsid w:val="00B4421B"/>
    <w:rsid w:val="00B46785"/>
    <w:rsid w:val="00B4797C"/>
    <w:rsid w:val="00B520C4"/>
    <w:rsid w:val="00B55D71"/>
    <w:rsid w:val="00B56ED9"/>
    <w:rsid w:val="00B57926"/>
    <w:rsid w:val="00B6333D"/>
    <w:rsid w:val="00B65FFE"/>
    <w:rsid w:val="00B97ACA"/>
    <w:rsid w:val="00BB15E2"/>
    <w:rsid w:val="00BB5B7D"/>
    <w:rsid w:val="00BC062E"/>
    <w:rsid w:val="00BC4222"/>
    <w:rsid w:val="00BD7C84"/>
    <w:rsid w:val="00BF1DA7"/>
    <w:rsid w:val="00C004DF"/>
    <w:rsid w:val="00C060CB"/>
    <w:rsid w:val="00C1100D"/>
    <w:rsid w:val="00C20757"/>
    <w:rsid w:val="00C5464A"/>
    <w:rsid w:val="00C55955"/>
    <w:rsid w:val="00C6112B"/>
    <w:rsid w:val="00C71F3D"/>
    <w:rsid w:val="00C76149"/>
    <w:rsid w:val="00CB7E05"/>
    <w:rsid w:val="00CC5011"/>
    <w:rsid w:val="00CD451B"/>
    <w:rsid w:val="00CD5E10"/>
    <w:rsid w:val="00CF7268"/>
    <w:rsid w:val="00D037A9"/>
    <w:rsid w:val="00D1779F"/>
    <w:rsid w:val="00D23997"/>
    <w:rsid w:val="00D325A5"/>
    <w:rsid w:val="00D348CC"/>
    <w:rsid w:val="00D35C40"/>
    <w:rsid w:val="00D53BBA"/>
    <w:rsid w:val="00D557B2"/>
    <w:rsid w:val="00D5673C"/>
    <w:rsid w:val="00D6434B"/>
    <w:rsid w:val="00D73239"/>
    <w:rsid w:val="00D73353"/>
    <w:rsid w:val="00D73B44"/>
    <w:rsid w:val="00D75502"/>
    <w:rsid w:val="00D763D3"/>
    <w:rsid w:val="00D809FF"/>
    <w:rsid w:val="00D83B82"/>
    <w:rsid w:val="00DA30C3"/>
    <w:rsid w:val="00DB468D"/>
    <w:rsid w:val="00DB5744"/>
    <w:rsid w:val="00DC6AF6"/>
    <w:rsid w:val="00DD1BA5"/>
    <w:rsid w:val="00DE240A"/>
    <w:rsid w:val="00DE3B56"/>
    <w:rsid w:val="00DE5B2B"/>
    <w:rsid w:val="00DF1BC0"/>
    <w:rsid w:val="00DF7DED"/>
    <w:rsid w:val="00E0099B"/>
    <w:rsid w:val="00E349BB"/>
    <w:rsid w:val="00E36902"/>
    <w:rsid w:val="00E7541B"/>
    <w:rsid w:val="00E87B3F"/>
    <w:rsid w:val="00ED2A4A"/>
    <w:rsid w:val="00ED2E3E"/>
    <w:rsid w:val="00ED59E3"/>
    <w:rsid w:val="00ED5FED"/>
    <w:rsid w:val="00EE3431"/>
    <w:rsid w:val="00EE5BF6"/>
    <w:rsid w:val="00EF29F1"/>
    <w:rsid w:val="00EF73EF"/>
    <w:rsid w:val="00F020EA"/>
    <w:rsid w:val="00F10457"/>
    <w:rsid w:val="00F12B6C"/>
    <w:rsid w:val="00F2217A"/>
    <w:rsid w:val="00F25D26"/>
    <w:rsid w:val="00F26DD2"/>
    <w:rsid w:val="00F412FD"/>
    <w:rsid w:val="00F47CE9"/>
    <w:rsid w:val="00F57F51"/>
    <w:rsid w:val="00F6406B"/>
    <w:rsid w:val="00F73FAC"/>
    <w:rsid w:val="00F86288"/>
    <w:rsid w:val="00F870BB"/>
    <w:rsid w:val="00F90727"/>
    <w:rsid w:val="00F97F6E"/>
    <w:rsid w:val="00FA7E02"/>
    <w:rsid w:val="00FB3045"/>
    <w:rsid w:val="00FC1539"/>
    <w:rsid w:val="00FC1FA0"/>
    <w:rsid w:val="00FC6C21"/>
    <w:rsid w:val="00FD7279"/>
    <w:rsid w:val="00FE3404"/>
    <w:rsid w:val="01A12744"/>
    <w:rsid w:val="03AB4D58"/>
    <w:rsid w:val="04307E69"/>
    <w:rsid w:val="04C924C0"/>
    <w:rsid w:val="07827F40"/>
    <w:rsid w:val="08183C31"/>
    <w:rsid w:val="08B17BE1"/>
    <w:rsid w:val="0B093D05"/>
    <w:rsid w:val="0D7D2B98"/>
    <w:rsid w:val="0E8D2557"/>
    <w:rsid w:val="0E903DF5"/>
    <w:rsid w:val="0F5C4837"/>
    <w:rsid w:val="10991A16"/>
    <w:rsid w:val="17F7682E"/>
    <w:rsid w:val="18A03FA7"/>
    <w:rsid w:val="1A5B5BFF"/>
    <w:rsid w:val="1AD72C7C"/>
    <w:rsid w:val="1D183933"/>
    <w:rsid w:val="1E127C5C"/>
    <w:rsid w:val="1EC93A6C"/>
    <w:rsid w:val="22497309"/>
    <w:rsid w:val="231C18F5"/>
    <w:rsid w:val="252E042B"/>
    <w:rsid w:val="264A7253"/>
    <w:rsid w:val="26B87682"/>
    <w:rsid w:val="275567C1"/>
    <w:rsid w:val="2B0042DA"/>
    <w:rsid w:val="2BA80578"/>
    <w:rsid w:val="2E474598"/>
    <w:rsid w:val="2E4E3659"/>
    <w:rsid w:val="327955A1"/>
    <w:rsid w:val="34E27DFB"/>
    <w:rsid w:val="34EA00F5"/>
    <w:rsid w:val="3888128C"/>
    <w:rsid w:val="38AC2BDF"/>
    <w:rsid w:val="38C73B19"/>
    <w:rsid w:val="399C171C"/>
    <w:rsid w:val="3A705CBE"/>
    <w:rsid w:val="3DAC6643"/>
    <w:rsid w:val="3F3223A8"/>
    <w:rsid w:val="3FCA2093"/>
    <w:rsid w:val="40C83743"/>
    <w:rsid w:val="40F91CAB"/>
    <w:rsid w:val="41433320"/>
    <w:rsid w:val="48AE321A"/>
    <w:rsid w:val="4B5B5071"/>
    <w:rsid w:val="4F391364"/>
    <w:rsid w:val="52E066C6"/>
    <w:rsid w:val="534F1156"/>
    <w:rsid w:val="57064221"/>
    <w:rsid w:val="57D4431F"/>
    <w:rsid w:val="59EF3692"/>
    <w:rsid w:val="5C7548A4"/>
    <w:rsid w:val="60116111"/>
    <w:rsid w:val="607B5C80"/>
    <w:rsid w:val="67E73BFB"/>
    <w:rsid w:val="67F07621"/>
    <w:rsid w:val="68C50684"/>
    <w:rsid w:val="6B19231D"/>
    <w:rsid w:val="6E535B46"/>
    <w:rsid w:val="6F4F1D74"/>
    <w:rsid w:val="716F713B"/>
    <w:rsid w:val="719C7804"/>
    <w:rsid w:val="73BA5F02"/>
    <w:rsid w:val="73EF00BF"/>
    <w:rsid w:val="76A03CE6"/>
    <w:rsid w:val="76BD2059"/>
    <w:rsid w:val="78AC657F"/>
    <w:rsid w:val="795C7792"/>
    <w:rsid w:val="7E927FC5"/>
    <w:rsid w:val="F9FF00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3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locked/>
    <w:uiPriority w:val="99"/>
    <w:pPr>
      <w:ind w:left="100" w:leftChars="2500"/>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character" w:styleId="7">
    <w:name w:val="page number"/>
    <w:basedOn w:val="6"/>
    <w:qFormat/>
    <w:uiPriority w:val="99"/>
  </w:style>
  <w:style w:type="character" w:customStyle="1" w:styleId="8">
    <w:name w:val="Date Char"/>
    <w:basedOn w:val="6"/>
    <w:link w:val="2"/>
    <w:semiHidden/>
    <w:qFormat/>
    <w:locked/>
    <w:uiPriority w:val="99"/>
    <w:rPr>
      <w:rFonts w:eastAsia="文鼎CS仿宋体"/>
      <w:spacing w:val="-4"/>
      <w:sz w:val="32"/>
      <w:szCs w:val="32"/>
    </w:rPr>
  </w:style>
  <w:style w:type="character" w:customStyle="1" w:styleId="9">
    <w:name w:val="Footer Char"/>
    <w:basedOn w:val="6"/>
    <w:link w:val="3"/>
    <w:semiHidden/>
    <w:qFormat/>
    <w:locked/>
    <w:uiPriority w:val="99"/>
    <w:rPr>
      <w:rFonts w:eastAsia="文鼎CS仿宋体"/>
      <w:spacing w:val="-4"/>
      <w:sz w:val="18"/>
      <w:szCs w:val="18"/>
    </w:rPr>
  </w:style>
  <w:style w:type="character" w:customStyle="1" w:styleId="10">
    <w:name w:val="Header Char"/>
    <w:basedOn w:val="6"/>
    <w:link w:val="4"/>
    <w:semiHidden/>
    <w:qFormat/>
    <w:locked/>
    <w:uiPriority w:val="99"/>
    <w:rPr>
      <w:rFonts w:eastAsia="文鼎CS仿宋体"/>
      <w:spacing w:val="-4"/>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芳向电脑工作室</Company>
  <Pages>10</Pages>
  <Words>854</Words>
  <Characters>4869</Characters>
  <Lines>0</Lines>
  <Paragraphs>0</Paragraphs>
  <TotalTime>4902</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2022-10-12T10:54:00Z</dcterms:created>
  <dc:creator>Lenovo</dc:creator>
  <cp:lastModifiedBy>mips2107</cp:lastModifiedBy>
  <cp:lastPrinted>2023-01-16T13:13:00Z</cp:lastPrinted>
  <dcterms:modified xsi:type="dcterms:W3CDTF">2023-10-13T13:44:52Z</dcterms:modified>
  <cp:revision>273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E6DFFC6BAC72488A9AF172475AD69543</vt:lpwstr>
  </property>
</Properties>
</file>