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both"/>
        <w:rPr>
          <w:rFonts w:hint="default" w:ascii="Nimbus Roman No9 L" w:hAnsi="Nimbus Roman No9 L" w:eastAsia="仿宋_GB2312" w:cs="Nimbus Roman No9 L"/>
          <w:sz w:val="44"/>
          <w:szCs w:val="44"/>
        </w:rPr>
      </w:pPr>
      <w:bookmarkStart w:id="0" w:name="_GoBack"/>
      <w:bookmarkEnd w:id="0"/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年苏州市体育工作总结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/>
        </w:rPr>
        <w:t>2024年，</w:t>
      </w:r>
      <w:r>
        <w:rPr>
          <w:rFonts w:hint="default" w:ascii="Times New Roman" w:hAnsi="Times New Roman" w:eastAsia="仿宋_GB2312" w:cs="Times New Roman"/>
          <w:lang w:val="en-US" w:eastAsia="zh-CN"/>
        </w:rPr>
        <w:t>市体育局坚持以习近平新时代中国特色社会主义思想为指导，深入贯彻党的二十大精神和习近平总书记关于体育工作的重要论述，</w:t>
      </w:r>
      <w:r>
        <w:rPr>
          <w:rFonts w:hint="default" w:ascii="Times New Roman" w:hAnsi="Times New Roman" w:eastAsia="仿宋_GB2312" w:cs="Times New Roman"/>
          <w:lang w:val="en"/>
        </w:rPr>
        <w:t>认真</w:t>
      </w:r>
      <w:r>
        <w:rPr>
          <w:rFonts w:hint="default" w:ascii="Times New Roman" w:hAnsi="Times New Roman" w:eastAsia="仿宋_GB2312" w:cs="Times New Roman"/>
          <w:lang w:val="en" w:eastAsia="zh-CN"/>
        </w:rPr>
        <w:t>落实</w:t>
      </w:r>
      <w:r>
        <w:rPr>
          <w:rFonts w:hint="default" w:ascii="Times New Roman" w:hAnsi="Times New Roman" w:eastAsia="仿宋_GB2312" w:cs="Times New Roman"/>
          <w:lang w:val="en"/>
        </w:rPr>
        <w:t>市委、市政府决策部署，</w:t>
      </w:r>
      <w:r>
        <w:rPr>
          <w:rFonts w:hint="default" w:ascii="Times New Roman" w:hAnsi="Times New Roman" w:eastAsia="仿宋_GB2312" w:cs="Times New Roman"/>
          <w:lang w:val="en" w:eastAsia="zh-CN"/>
        </w:rPr>
        <w:t>以</w:t>
      </w:r>
      <w:r>
        <w:rPr>
          <w:rFonts w:hint="default" w:ascii="Times New Roman" w:hAnsi="Times New Roman" w:eastAsia="仿宋_GB2312" w:cs="Times New Roman"/>
          <w:lang w:val="en"/>
        </w:rPr>
        <w:t>“增强人民体质，提升城市品质”为根本任务，围绕创建全国全民运动健身模范市、打造国家体育消费活力城市、建设全国足球发展重点城市三项国家级任务，精心谋划，扎实推进</w:t>
      </w:r>
      <w:r>
        <w:rPr>
          <w:rFonts w:hint="default" w:ascii="Times New Roman" w:hAnsi="Times New Roman" w:eastAsia="仿宋_GB2312" w:cs="Times New Roman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在全民健身、竞技体育、体育产业和体育竞赛等领域取得了新进展。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  <w:t>一、创建全民</w:t>
      </w:r>
      <w:r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  <w:t>运动</w:t>
      </w:r>
      <w:r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  <w:t>健身模范市，打造群众体育活力新标杆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成功入围全民运动健身模范市创建名单，召开全市创建模范市动员部署会，成立创建工作领导小组。市政府</w:t>
      </w:r>
      <w:r>
        <w:rPr>
          <w:rFonts w:hint="default" w:ascii="Times New Roman" w:hAnsi="Times New Roman" w:eastAsia="仿宋_GB2312" w:cs="Times New Roman"/>
          <w:lang w:eastAsia="zh-CN"/>
        </w:rPr>
        <w:t>印发</w:t>
      </w:r>
      <w:r>
        <w:rPr>
          <w:rFonts w:hint="default" w:ascii="Times New Roman" w:hAnsi="Times New Roman" w:eastAsia="仿宋_GB2312" w:cs="Times New Roman"/>
        </w:rPr>
        <w:t>《关于进一步加强全市老年人体育工作的实施意见》。全年新建、改建体育公园（广场）6个，运动场地46片，新建健身步道</w:t>
      </w:r>
      <w:r>
        <w:rPr>
          <w:rFonts w:hint="eastAsia" w:eastAsia="仿宋_GB2312" w:cs="Times New Roman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</w:rPr>
        <w:t>.3公里，更新、新增健身路径器材500套。持续推进各级各类公共体育场馆低免开放。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8月8日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“全民健身日”当天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场馆免费对外开放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，累计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健身人群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超5万人次。</w:t>
      </w:r>
      <w:r>
        <w:rPr>
          <w:rFonts w:hint="default" w:ascii="Times New Roman" w:hAnsi="Times New Roman" w:eastAsia="仿宋_GB2312" w:cs="Times New Roman"/>
        </w:rPr>
        <w:t>举行“科学健身指导周”活动，开展健身指导服务130余场。</w:t>
      </w:r>
      <w:r>
        <w:rPr>
          <w:rFonts w:hint="default" w:ascii="Times New Roman" w:hAnsi="Times New Roman" w:eastAsia="仿宋_GB2312" w:cs="Times New Roman"/>
          <w:lang w:eastAsia="zh-CN"/>
        </w:rPr>
        <w:t>优化</w:t>
      </w:r>
      <w:r>
        <w:rPr>
          <w:rFonts w:hint="default" w:ascii="Times New Roman" w:hAnsi="Times New Roman" w:eastAsia="仿宋_GB2312" w:cs="Times New Roman"/>
        </w:rPr>
        <w:t>“假日体育”和“大众体育联赛”</w:t>
      </w:r>
      <w:r>
        <w:rPr>
          <w:rFonts w:hint="default" w:ascii="Times New Roman" w:hAnsi="Times New Roman" w:eastAsia="仿宋_GB2312" w:cs="Times New Roman"/>
          <w:lang w:eastAsia="zh-CN"/>
        </w:rPr>
        <w:t>等全民健身品牌</w:t>
      </w:r>
      <w:r>
        <w:rPr>
          <w:rFonts w:hint="default" w:ascii="Times New Roman" w:hAnsi="Times New Roman" w:eastAsia="仿宋_GB2312" w:cs="Times New Roman"/>
        </w:rPr>
        <w:t>赛事，举办元旦迎新跑、健步走、</w:t>
      </w:r>
      <w:r>
        <w:rPr>
          <w:rFonts w:hint="default" w:ascii="Times New Roman" w:hAnsi="Times New Roman" w:eastAsia="仿宋_GB2312" w:cs="Times New Roman"/>
          <w:lang w:eastAsia="zh-CN"/>
        </w:rPr>
        <w:t>金鸡湖端午</w:t>
      </w:r>
      <w:r>
        <w:rPr>
          <w:rFonts w:hint="default" w:ascii="Times New Roman" w:hAnsi="Times New Roman" w:eastAsia="仿宋_GB2312" w:cs="Times New Roman"/>
        </w:rPr>
        <w:t>龙舟赛等多项活动。</w:t>
      </w:r>
      <w:r>
        <w:rPr>
          <w:rFonts w:hint="default" w:ascii="Times New Roman" w:hAnsi="Times New Roman" w:eastAsia="仿宋_GB2312" w:cs="Times New Roman"/>
          <w:lang w:val="en-US" w:eastAsia="zh-CN"/>
        </w:rPr>
        <w:t>开展大众体育联赛赛事140余站，为市民提供赛事活动1500余场。全年由市属体育社会组织开展各类全民健身活动504项次，近50万人次参与，全市体育社会组织牵头开展的全民健身活动达2738项次，参与人数达102.6万人次。</w:t>
      </w:r>
      <w:r>
        <w:rPr>
          <w:rFonts w:hint="default" w:ascii="Times New Roman" w:hAnsi="Times New Roman" w:eastAsia="仿宋_GB2312" w:cs="Times New Roman"/>
        </w:rPr>
        <w:t>苏州市代表团参加第九届省全民健身运动会，获得46个第一名、38个第二名、40个第三名，并荣获体育道德风尚奖。</w:t>
      </w:r>
      <w:r>
        <w:rPr>
          <w:rFonts w:hint="default" w:ascii="Times New Roman" w:hAnsi="Times New Roman" w:eastAsia="仿宋_GB2312" w:cs="Times New Roman"/>
          <w:lang w:val="en-US" w:eastAsia="zh-CN"/>
        </w:rPr>
        <w:t>发动超300万群众参与第五届江苏省网络全民健身运动会33项比赛。</w:t>
      </w:r>
      <w:r>
        <w:rPr>
          <w:rFonts w:hint="default" w:ascii="Times New Roman" w:hAnsi="Times New Roman" w:eastAsia="仿宋_GB2312" w:cs="Times New Roman"/>
        </w:rPr>
        <w:t>实施全民健身“五进</w:t>
      </w:r>
      <w:r>
        <w:rPr>
          <w:rFonts w:hint="default" w:ascii="Times New Roman" w:hAnsi="Times New Roman" w:eastAsia="仿宋_GB2312" w:cs="Times New Roman"/>
          <w:lang w:eastAsia="zh-CN"/>
        </w:rPr>
        <w:t>活动</w:t>
      </w:r>
      <w:r>
        <w:rPr>
          <w:rFonts w:hint="default" w:ascii="Times New Roman" w:hAnsi="Times New Roman" w:eastAsia="仿宋_GB2312" w:cs="Times New Roman"/>
        </w:rPr>
        <w:t>”，为200余家单位提供</w:t>
      </w:r>
      <w:r>
        <w:rPr>
          <w:rFonts w:hint="default" w:ascii="Times New Roman" w:hAnsi="Times New Roman" w:eastAsia="仿宋_GB2312" w:cs="Times New Roman"/>
          <w:lang w:eastAsia="zh-CN"/>
        </w:rPr>
        <w:t>科学</w:t>
      </w:r>
      <w:r>
        <w:rPr>
          <w:rFonts w:hint="default" w:ascii="Times New Roman" w:hAnsi="Times New Roman" w:eastAsia="仿宋_GB2312" w:cs="Times New Roman"/>
        </w:rPr>
        <w:t>健身指导服务。</w:t>
      </w:r>
      <w:r>
        <w:rPr>
          <w:rFonts w:hint="default" w:ascii="Times New Roman" w:hAnsi="Times New Roman" w:eastAsia="仿宋_GB2312" w:cs="Times New Roman"/>
          <w:lang w:eastAsia="zh-CN"/>
        </w:rPr>
        <w:t>全年</w:t>
      </w:r>
      <w:r>
        <w:rPr>
          <w:rFonts w:hint="default" w:ascii="Times New Roman" w:hAnsi="Times New Roman" w:eastAsia="仿宋_GB2312" w:cs="Times New Roman"/>
        </w:rPr>
        <w:t>新增二级社会体育指导员1000名。为3万市民提供国民体质监测服务，完成</w:t>
      </w:r>
      <w:r>
        <w:rPr>
          <w:rFonts w:hint="default" w:ascii="Times New Roman" w:hAnsi="Times New Roman" w:eastAsia="仿宋_GB2312" w:cs="Times New Roman"/>
          <w:lang w:val="en-US" w:eastAsia="zh-CN"/>
        </w:rPr>
        <w:t>国测、省测</w:t>
      </w:r>
      <w:r>
        <w:rPr>
          <w:rFonts w:hint="default" w:ascii="Times New Roman" w:hAnsi="Times New Roman" w:eastAsia="仿宋_GB2312" w:cs="Times New Roman"/>
          <w:lang w:val="en"/>
        </w:rPr>
        <w:t>近</w:t>
      </w:r>
      <w:r>
        <w:rPr>
          <w:rFonts w:hint="default" w:ascii="Times New Roman" w:hAnsi="Times New Roman" w:eastAsia="仿宋_GB2312" w:cs="Times New Roman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lang w:val="en"/>
        </w:rPr>
        <w:t>人</w:t>
      </w:r>
      <w:r>
        <w:rPr>
          <w:rFonts w:hint="default" w:ascii="Times New Roman" w:hAnsi="Times New Roman" w:eastAsia="仿宋_GB2312" w:cs="Times New Roman"/>
          <w:lang w:val="en" w:eastAsia="zh-CN"/>
        </w:rPr>
        <w:t>，开展</w:t>
      </w:r>
      <w:r>
        <w:rPr>
          <w:rFonts w:hint="default" w:ascii="Times New Roman" w:hAnsi="Times New Roman" w:eastAsia="仿宋_GB2312" w:cs="Times New Roman"/>
          <w:lang w:val="en-US" w:eastAsia="zh-CN"/>
        </w:rPr>
        <w:t>体质检测活动报告解读与健身咨询145场。</w:t>
      </w:r>
      <w:r>
        <w:rPr>
          <w:rFonts w:hint="default" w:ascii="Times New Roman" w:hAnsi="Times New Roman" w:eastAsia="仿宋_GB2312" w:cs="Times New Roman"/>
        </w:rPr>
        <w:t>新增苏大附二院、昆山六院、黄桥街道社区卫生服务中心</w:t>
      </w:r>
      <w:r>
        <w:rPr>
          <w:rFonts w:hint="default" w:ascii="Times New Roman" w:hAnsi="Times New Roman" w:eastAsia="仿宋_GB2312" w:cs="Times New Roman"/>
          <w:lang w:eastAsia="zh-CN"/>
        </w:rPr>
        <w:t>等</w:t>
      </w:r>
      <w:r>
        <w:rPr>
          <w:rFonts w:hint="default" w:ascii="Times New Roman" w:hAnsi="Times New Roman" w:eastAsia="仿宋_GB2312" w:cs="Times New Roman"/>
        </w:rPr>
        <w:t>三家省级运动促进健康中心。</w:t>
      </w:r>
      <w:r>
        <w:rPr>
          <w:rFonts w:hint="default" w:ascii="Times New Roman" w:hAnsi="Times New Roman" w:eastAsia="仿宋_GB2312" w:cs="Times New Roman"/>
          <w:lang w:val="en-US" w:eastAsia="zh-CN"/>
        </w:rPr>
        <w:t>新增3家市属体育社团、1家民办非企业。昆山市足球协会作为全省唯一一家县级协会入选总局活力体育组织。</w:t>
      </w:r>
      <w:r>
        <w:rPr>
          <w:rFonts w:hint="eastAsia" w:ascii="Times New Roman" w:hAnsi="Times New Roman" w:eastAsia="仿宋_GB2312" w:cs="Times New Roman"/>
          <w:lang w:val="en-US" w:eastAsia="zh-CN"/>
        </w:rPr>
        <w:t>苏州市足球协会获评5A级社会团体。</w:t>
      </w:r>
      <w:r>
        <w:rPr>
          <w:rFonts w:hint="default" w:ascii="Times New Roman" w:hAnsi="Times New Roman" w:eastAsia="仿宋_GB2312" w:cs="Times New Roman"/>
          <w:lang w:val="en-US" w:eastAsia="zh-CN"/>
        </w:rPr>
        <w:t>“长三角”龙舟（昆山）邀请赛入选2024中华体育文化优秀项目推介名单。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二、竞技人才培养模式不断优化，实现竞赛成绩高水平跃升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全年新增世界冠军4项次。在第三十三届巴黎奥运会上，苏州有6名运动员入选中国体育代表团，参加射击、羽毛球、田径三个大项、7个小项的角逐，获得2枚金牌、1枚银牌、1枚铜牌以及一个第七名，创造了苏州运动员境外参加奥运会的历史最好战绩。盛李豪不仅获得射击男女10米气步枪混合团体金牌，</w:t>
      </w:r>
      <w:r>
        <w:rPr>
          <w:rFonts w:hint="default" w:ascii="Times New Roman" w:hAnsi="Times New Roman" w:eastAsia="仿宋_GB2312" w:cs="Times New Roman"/>
          <w:lang w:eastAsia="zh-CN"/>
        </w:rPr>
        <w:t>还</w:t>
      </w:r>
      <w:r>
        <w:rPr>
          <w:rFonts w:hint="default" w:ascii="Times New Roman" w:hAnsi="Times New Roman" w:eastAsia="仿宋_GB2312" w:cs="Times New Roman"/>
        </w:rPr>
        <w:t>以252.2环的成绩打破奥运会纪录夺得射击男子10米气步枪个人金牌，成为苏州首位在同一届奥运会上取得2枚金牌的运动员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</w:rPr>
        <w:t>何冰娇获得羽毛球女子单打银牌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赵杰获得田径女子链球铜牌</w:t>
      </w:r>
      <w:r>
        <w:rPr>
          <w:rFonts w:hint="default" w:ascii="Times New Roman" w:hAnsi="Times New Roman" w:eastAsia="仿宋_GB2312" w:cs="Times New Roman"/>
          <w:lang w:eastAsia="zh-CN"/>
        </w:rPr>
        <w:t>。推进省运会周期项目布局与队伍建设，与相关县市区联办网球、跳水、田径竞走、曲棍球等项目，引入社会力量参与霹雳舞、滑板、高尔夫等项目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联办运动队。新增外聘教练员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5人，向省优秀运动队输送17人。</w:t>
      </w:r>
      <w:r>
        <w:rPr>
          <w:rFonts w:hint="default" w:ascii="Times New Roman" w:hAnsi="Times New Roman" w:eastAsia="仿宋_GB2312" w:cs="Times New Roman"/>
          <w:color w:val="auto"/>
        </w:rPr>
        <w:t>晋升二级裁判员</w:t>
      </w:r>
      <w:r>
        <w:rPr>
          <w:rFonts w:hint="eastAsia" w:eastAsia="仿宋_GB2312" w:cs="Times New Roman"/>
          <w:color w:val="auto"/>
          <w:lang w:val="en-US" w:eastAsia="zh-CN"/>
        </w:rPr>
        <w:t>862</w:t>
      </w:r>
      <w:r>
        <w:rPr>
          <w:rFonts w:hint="default" w:ascii="Times New Roman" w:hAnsi="Times New Roman" w:eastAsia="仿宋_GB2312" w:cs="Times New Roman"/>
          <w:color w:val="auto"/>
        </w:rPr>
        <w:t>人，二级运动员</w:t>
      </w:r>
      <w:r>
        <w:rPr>
          <w:rFonts w:hint="eastAsia" w:eastAsia="仿宋_GB2312" w:cs="Times New Roman"/>
          <w:color w:val="auto"/>
          <w:lang w:val="en-US" w:eastAsia="zh-CN"/>
        </w:rPr>
        <w:t>495</w:t>
      </w:r>
      <w:r>
        <w:rPr>
          <w:rFonts w:hint="default" w:ascii="Times New Roman" w:hAnsi="Times New Roman" w:eastAsia="仿宋_GB2312" w:cs="Times New Roman"/>
          <w:color w:val="auto"/>
        </w:rPr>
        <w:t>人，一级运动员</w:t>
      </w:r>
      <w:r>
        <w:rPr>
          <w:rFonts w:hint="eastAsia" w:eastAsia="仿宋_GB2312" w:cs="Times New Roman"/>
          <w:color w:val="auto"/>
          <w:lang w:val="en-US" w:eastAsia="zh-CN"/>
        </w:rPr>
        <w:t>286</w:t>
      </w:r>
      <w:r>
        <w:rPr>
          <w:rFonts w:hint="default" w:ascii="Times New Roman" w:hAnsi="Times New Roman" w:eastAsia="仿宋_GB2312" w:cs="Times New Roman"/>
          <w:color w:val="auto"/>
        </w:rPr>
        <w:t>人，健将级运动员</w:t>
      </w:r>
      <w:r>
        <w:rPr>
          <w:rFonts w:hint="eastAsia" w:eastAsia="仿宋_GB2312" w:cs="Times New Roman"/>
          <w:color w:val="auto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坚持反兴奋剂工作常抓不懈，做好“纯洁体育”APP的上线学习。在全省“纯洁体育，从我做起”宣传海报设计大赛中获得1个一等奖、2个二等奖、1个三等奖，市体育局获得优秀组织奖。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会同市教育局，联合编办、人社局，研究我市学校教练员岗位设置工作。赴深圳市、中山市学习调研学校教练员岗位设置的先进经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验</w:t>
      </w:r>
      <w:r>
        <w:rPr>
          <w:rFonts w:hint="eastAsia" w:eastAsia="仿宋_GB2312" w:cs="Times New Roman"/>
          <w:color w:val="auto"/>
          <w:lang w:val="en-US" w:eastAsia="zh-CN"/>
        </w:rPr>
        <w:t>，为最终公开招聘9名学校教练员，落实开展我市学校教练员岗位设置奠定基础。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与吴县中学联办足球队获得2024年江苏省青少年校园足球联赛高中组冠军，这也是苏州校园足球历史上首个省长杯高中组冠军。与石湖中学联办的女子排球队获得第20届中国中学生排球联赛（初中组）冠军</w:t>
      </w:r>
      <w:r>
        <w:rPr>
          <w:rFonts w:hint="eastAsia" w:eastAsia="仿宋_GB2312" w:cs="Times New Roman"/>
          <w:color w:va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第19届中国中学生沙滩排球锦标赛（初中组）</w:t>
      </w:r>
      <w:r>
        <w:rPr>
          <w:rFonts w:hint="eastAsia" w:eastAsia="仿宋_GB2312" w:cs="Times New Roman"/>
          <w:color w:val="auto"/>
          <w:lang w:val="en-US" w:eastAsia="zh-CN"/>
        </w:rPr>
        <w:t>冠军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。开展名校办名队，与江苏省苏州第一中学达成田径、篮球项目合作。启动棋类项目进姑苏区幼儿园项目，在沧浪实验幼儿园试点成立“棋类项目特色基地”，与吴门桥幼儿园发展共同体的9家幼儿园达成合作意向。与姑苏区教体文旅委合作共同推进姑苏区幼儿园体适能项目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  <w:t>三、赛事引领与产业融合双向发力，构建体育产业新发展格局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/>
        </w:rPr>
        <w:t>根据《体育总局办公厅、商务部办公厅、文化和旅游部办公厅关于开展“体育赛事进景区、进街区、进商圈”活动的通知》要求，全年举办67项次活动，吸引国内外150万人次来苏旅游观光，直接拉动超10亿元体育赛事消费，带动相关经济增长25亿元。成功举办2024两个博览会，总计516家单位参展参会，超6.5万人次现场参与，线上直播观众达50万人，累计新闻报道6890余条，全网信息浏览量破2亿。展会达成意向合作258项，意向签约金额31.6亿。向市政府提交《跨越式发展现有的低空经济——以澄湖航空飞行营地为例》建议案并获市委主要领导批示。协助完成低空经济规划编制，推进光福滑翔伞运动基地、太仓华夏云翼通航飞行训练中心等项目建设。</w:t>
      </w:r>
      <w:r>
        <w:rPr>
          <w:rFonts w:hint="default" w:ascii="Times New Roman" w:hAnsi="Times New Roman" w:eastAsia="仿宋_GB2312" w:cs="Times New Roman"/>
          <w:lang w:val="en" w:eastAsia="zh-CN"/>
        </w:rPr>
        <w:t>苏州奥体中心获评智慧体育场馆创新项目。</w:t>
      </w:r>
      <w:r>
        <w:rPr>
          <w:rFonts w:hint="default" w:ascii="Times New Roman" w:hAnsi="Times New Roman" w:eastAsia="仿宋_GB2312" w:cs="Times New Roman"/>
          <w:lang w:val="en"/>
        </w:rPr>
        <w:t>捷安特（昆山）成功入选第六批国家级工业设计中心、省文化和旅游装备研发中心项目，</w:t>
      </w:r>
      <w:r>
        <w:rPr>
          <w:rFonts w:hint="default" w:ascii="Times New Roman" w:hAnsi="Times New Roman" w:eastAsia="仿宋_GB2312" w:cs="Times New Roman"/>
          <w:lang w:val="en" w:eastAsia="zh-CN"/>
        </w:rPr>
        <w:t>并与斯凯奇一同获评</w:t>
      </w:r>
      <w:r>
        <w:rPr>
          <w:rFonts w:hint="default" w:ascii="Times New Roman" w:hAnsi="Times New Roman" w:eastAsia="仿宋_GB2312" w:cs="Times New Roman"/>
          <w:lang w:val="en"/>
        </w:rPr>
        <w:t>省体育企业智能车间。成功举办苏州100城市越野赛、环太湖国际马拉松公路自行车赛等户外品牌赛事，成功利用赛事引流和文旅资源融合，带动户外运动消费升级。初步建成水上健身休闲、赛事表演、教育培训等产业门类的水上运动产业集聚区。全年举办电竞赛事500场，线上线下观赛人数达12亿人次，间接拉动相关消费超过15亿元。建成“苏工电竞”实验室，引进培育电竞企业超1000家，打造电竞产业高地。先后举办8项线上体育惠民专项活动和2场体育消费夜市，推出“穿越山水 乐享运动”体育旅游深度体验项目，累计发放定点健身场馆优惠补贴680万元，惠及健身市民10.2万人次，直接拉动体育消费8000万元。组织申报省级职业体育俱乐部发展奖补资金，29个项目获市级体育产业发展专项资金支持。依法废止《苏州市“体融通”担保贷款实施细则》，新增1个中国体育旅游精品项目、2个省级体育旅游融合发展优秀案例、1个省级体育服务综合体、2个省级体育企业智能车间、1个省级体育智慧场馆。苏州体彩累计销售66.75亿，</w:t>
      </w:r>
      <w:r>
        <w:rPr>
          <w:rFonts w:hint="default" w:ascii="Times New Roman" w:hAnsi="Times New Roman" w:eastAsia="仿宋_GB2312" w:cs="Times New Roman"/>
          <w:lang w:val="en" w:eastAsia="zh-CN"/>
        </w:rPr>
        <w:t>再创历史新高。2024年体育彩票苏州大市公益金收入5.6亿元，市本级收入2.61亿元。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四、多样化赛事提升城市吸引力，高水平办赛拉动经济增长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"/>
        </w:rPr>
      </w:pPr>
      <w:r>
        <w:rPr>
          <w:rFonts w:hint="default" w:ascii="Times New Roman" w:hAnsi="Times New Roman" w:eastAsia="仿宋_GB2312" w:cs="Times New Roman"/>
          <w:lang w:val="en" w:eastAsia="zh-CN"/>
        </w:rPr>
        <w:t>出台</w:t>
      </w:r>
      <w:r>
        <w:rPr>
          <w:rFonts w:hint="default" w:ascii="Times New Roman" w:hAnsi="Times New Roman" w:eastAsia="仿宋_GB2312" w:cs="Times New Roman"/>
          <w:lang w:val="en"/>
        </w:rPr>
        <w:t>《苏州市关于进一步加强体育赛事活动管理的指导意见》，推动体育赛事活动的制度化、标准化、规范化。选派16名体育骨干参加省级培训班，全年完成36项次赛事指导。强化监管责任与安全保障，落实属地管理和安全责任，针对高危险性赛事组织专家评审，确保赛事</w:t>
      </w:r>
      <w:r>
        <w:rPr>
          <w:rFonts w:hint="default" w:ascii="Times New Roman" w:hAnsi="Times New Roman" w:eastAsia="仿宋_GB2312" w:cs="Times New Roman"/>
          <w:lang w:val="en" w:eastAsia="zh-CN"/>
        </w:rPr>
        <w:t>安全</w:t>
      </w:r>
      <w:r>
        <w:rPr>
          <w:rFonts w:hint="default" w:ascii="Times New Roman" w:hAnsi="Times New Roman" w:eastAsia="仿宋_GB2312" w:cs="Times New Roman"/>
          <w:lang w:val="en"/>
        </w:rPr>
        <w:t>顺利进行。</w:t>
      </w:r>
      <w:r>
        <w:rPr>
          <w:rFonts w:hint="default" w:ascii="Times New Roman" w:hAnsi="Times New Roman" w:eastAsia="仿宋_GB2312" w:cs="Times New Roman"/>
          <w:lang w:val="en" w:eastAsia="zh-CN"/>
        </w:rPr>
        <w:t>承办2024长三角国际田径钻石赛（上海/苏州）、</w:t>
      </w:r>
      <w:r>
        <w:rPr>
          <w:rFonts w:hint="default" w:ascii="Times New Roman" w:hAnsi="Times New Roman" w:eastAsia="仿宋_GB2312" w:cs="Times New Roman"/>
          <w:lang w:val="en-US" w:eastAsia="zh-CN"/>
        </w:rPr>
        <w:t>2024苏州马拉松、</w:t>
      </w:r>
      <w:r>
        <w:rPr>
          <w:rFonts w:hint="default" w:ascii="Times New Roman" w:hAnsi="Times New Roman" w:eastAsia="仿宋_GB2312" w:cs="Times New Roman"/>
          <w:lang w:val="en"/>
        </w:rPr>
        <w:t>国际攀联世界杯攀岩赛、环太湖国际公路自行车赛</w:t>
      </w:r>
      <w:r>
        <w:rPr>
          <w:rFonts w:hint="default" w:ascii="Times New Roman" w:hAnsi="Times New Roman" w:eastAsia="仿宋_GB2312" w:cs="Times New Roman"/>
          <w:lang w:val="en" w:eastAsia="zh-CN"/>
        </w:rPr>
        <w:t>等高水平赛事。</w:t>
      </w:r>
      <w:r>
        <w:rPr>
          <w:rFonts w:hint="default" w:ascii="Times New Roman" w:hAnsi="Times New Roman" w:eastAsia="仿宋_GB2312" w:cs="Times New Roman"/>
          <w:lang w:val="en"/>
        </w:rPr>
        <w:t>全年成功举办省级及以上体育赛事</w:t>
      </w:r>
      <w:r>
        <w:rPr>
          <w:rFonts w:hint="default" w:ascii="Times New Roman" w:hAnsi="Times New Roman" w:eastAsia="仿宋_GB2312" w:cs="Times New Roman"/>
          <w:lang w:val="en-US" w:eastAsia="zh-CN"/>
        </w:rPr>
        <w:t>134</w:t>
      </w:r>
      <w:r>
        <w:rPr>
          <w:rFonts w:hint="default" w:ascii="Times New Roman" w:hAnsi="Times New Roman" w:eastAsia="仿宋_GB2312" w:cs="Times New Roman"/>
          <w:lang w:val="en"/>
        </w:rPr>
        <w:t>项次，其中包括国际、洲际比赛10项次，全国比赛</w:t>
      </w:r>
      <w:r>
        <w:rPr>
          <w:rFonts w:hint="default" w:ascii="Times New Roman" w:hAnsi="Times New Roman" w:eastAsia="仿宋_GB2312" w:cs="Times New Roman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lang w:val="en"/>
        </w:rPr>
        <w:t>项次和省级比赛</w:t>
      </w:r>
      <w:r>
        <w:rPr>
          <w:rFonts w:hint="default" w:ascii="Times New Roman" w:hAnsi="Times New Roman" w:eastAsia="仿宋_GB2312" w:cs="Times New Roman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lang w:val="en"/>
        </w:rPr>
        <w:t>项次，办赛数量和质量在全省始终保持领先</w:t>
      </w:r>
      <w:r>
        <w:rPr>
          <w:rFonts w:hint="default" w:ascii="Times New Roman" w:hAnsi="Times New Roman" w:eastAsia="仿宋_GB2312" w:cs="Times New Roman"/>
          <w:lang w:val="en" w:eastAsia="zh-CN"/>
        </w:rPr>
        <w:t>。2024长三角国际田径钻石赛（上海/苏州），作为世界田联下属最高水平的顶级A类田径系列赛事，采用沪苏联合办赛的形式，成为探索区域体育一体化发展的具体实践。</w:t>
      </w:r>
      <w:r>
        <w:rPr>
          <w:rFonts w:hint="default" w:ascii="Times New Roman" w:hAnsi="Times New Roman" w:eastAsia="仿宋_GB2312" w:cs="Times New Roman"/>
          <w:lang w:val="en"/>
        </w:rPr>
        <w:t>苏州市第十六届运动会为期</w:t>
      </w:r>
      <w:r>
        <w:rPr>
          <w:rFonts w:hint="eastAsia" w:eastAsia="仿宋_GB2312" w:cs="Times New Roman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lang w:val="en"/>
        </w:rPr>
        <w:t>个月，涵盖大中小学生、职工、外企员工、残疾人、老年人及退役军人等各类人群，参赛人数近2.5万人</w:t>
      </w:r>
      <w:r>
        <w:rPr>
          <w:rFonts w:hint="default" w:ascii="Times New Roman" w:hAnsi="Times New Roman" w:eastAsia="仿宋_GB2312" w:cs="Times New Roman"/>
          <w:lang w:val="en" w:eastAsia="zh-CN"/>
        </w:rPr>
        <w:t>。开展</w:t>
      </w:r>
      <w:r>
        <w:rPr>
          <w:rFonts w:hint="default" w:ascii="Times New Roman" w:hAnsi="Times New Roman" w:eastAsia="仿宋_GB2312" w:cs="Times New Roman"/>
          <w:lang w:val="en"/>
        </w:rPr>
        <w:t>“体育赛事进景区、进街区、进商圈”“跟着赛事去旅行”活动，鼓励赛事与文化、旅游等产业融合发展，扩大赛事辐射面。2024苏州100城市越野赛和一湖两州公路自行车赛苏州站将体育赛事与自然风光、历史文化与旅游体验完美融合，为用户提供一站式服务，促进体育旅游的深度结合。围绕赛事流量带动经济增量目标，2024年我市体育赛事拉动相关投资和消费超30亿元，线上线下观赛参赛人数超600万人次</w:t>
      </w:r>
      <w:r>
        <w:rPr>
          <w:rFonts w:hint="default" w:ascii="Times New Roman" w:hAnsi="Times New Roman" w:eastAsia="仿宋_GB2312" w:cs="Times New Roman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lang w:val="en"/>
        </w:rPr>
        <w:t>我市及各县级市、区共举办马拉松赛事12项，估算直接带动消费约8亿元，间接经济效益约20亿元。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五、围绕全国足球发展重点城市建设，全方位深化足球改革</w:t>
      </w:r>
    </w:p>
    <w:p>
      <w:pPr>
        <w:overflowPunct w:val="0"/>
        <w:adjustRightInd w:val="0"/>
        <w:snapToGrid w:val="0"/>
        <w:spacing w:after="0" w:line="600" w:lineRule="exact"/>
        <w:ind w:firstLine="640" w:firstLineChars="200"/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/>
        </w:rPr>
        <w:t>市委</w:t>
      </w:r>
      <w:r>
        <w:rPr>
          <w:rFonts w:hint="default" w:ascii="Times New Roman" w:hAnsi="Times New Roman" w:eastAsia="仿宋_GB2312" w:cs="Times New Roman"/>
          <w:lang w:val="en" w:eastAsia="zh-CN"/>
        </w:rPr>
        <w:t>办公室</w:t>
      </w:r>
      <w:r>
        <w:rPr>
          <w:rFonts w:hint="default" w:ascii="Times New Roman" w:hAnsi="Times New Roman" w:eastAsia="仿宋_GB2312" w:cs="Times New Roman"/>
          <w:lang w:val="en"/>
        </w:rPr>
        <w:t>、市政府</w:t>
      </w:r>
      <w:r>
        <w:rPr>
          <w:rFonts w:hint="default" w:ascii="Times New Roman" w:hAnsi="Times New Roman" w:eastAsia="仿宋_GB2312" w:cs="Times New Roman"/>
          <w:lang w:val="en" w:eastAsia="zh-CN"/>
        </w:rPr>
        <w:t>办公室</w:t>
      </w:r>
      <w:r>
        <w:rPr>
          <w:rFonts w:hint="default" w:ascii="Times New Roman" w:hAnsi="Times New Roman" w:eastAsia="仿宋_GB2312" w:cs="Times New Roman"/>
          <w:lang w:val="en"/>
        </w:rPr>
        <w:t>联合印发《苏州市足球改革发展和全国足球发展重点城市建设工作方案</w:t>
      </w:r>
      <w:r>
        <w:rPr>
          <w:rFonts w:hint="default" w:ascii="Times New Roman" w:hAnsi="Times New Roman" w:eastAsia="仿宋_GB2312" w:cs="Times New Roman"/>
          <w:lang w:val="en" w:eastAsia="zh-CN"/>
        </w:rPr>
        <w:t>（</w:t>
      </w:r>
      <w:r>
        <w:rPr>
          <w:rFonts w:hint="default" w:ascii="Times New Roman" w:hAnsi="Times New Roman" w:eastAsia="仿宋_GB2312" w:cs="Times New Roman"/>
          <w:lang w:val="en"/>
        </w:rPr>
        <w:t>2024</w:t>
      </w:r>
      <w:r>
        <w:rPr>
          <w:rFonts w:hint="default" w:ascii="Times New Roman" w:hAnsi="Times New Roman" w:eastAsia="仿宋_GB2312" w:cs="Times New Roman"/>
          <w:lang w:val="en" w:eastAsia="zh-CN"/>
        </w:rPr>
        <w:t>—</w:t>
      </w:r>
      <w:r>
        <w:rPr>
          <w:rFonts w:hint="default" w:ascii="Times New Roman" w:hAnsi="Times New Roman" w:eastAsia="仿宋_GB2312" w:cs="Times New Roman"/>
          <w:lang w:val="en"/>
        </w:rPr>
        <w:t>2027年</w:t>
      </w:r>
      <w:r>
        <w:rPr>
          <w:rFonts w:hint="default" w:ascii="Times New Roman" w:hAnsi="Times New Roman" w:eastAsia="仿宋_GB2312" w:cs="Times New Roman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lang w:val="en"/>
        </w:rPr>
        <w:t>》，成立由市政府主要负责同志任召集人的推进足球改革发展工作专班，设立苏州市足球运动管理中心</w:t>
      </w:r>
      <w:r>
        <w:rPr>
          <w:rFonts w:hint="default" w:ascii="Times New Roman" w:hAnsi="Times New Roman" w:eastAsia="仿宋_GB2312" w:cs="Times New Roman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lang w:val="en"/>
        </w:rPr>
        <w:t>中国足协青少年高水平后备人才基地（苏州）在第三届亚足联女子足球大会上获得年度青训特别奖年度青训学院（女子）。实施</w:t>
      </w:r>
      <w:r>
        <w:rPr>
          <w:rFonts w:hint="default" w:ascii="Times New Roman" w:hAnsi="Times New Roman" w:eastAsia="仿宋_GB2312" w:cs="Times New Roman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lang w:val="en"/>
        </w:rPr>
        <w:t>社区足球种子计划</w:t>
      </w:r>
      <w:r>
        <w:rPr>
          <w:rFonts w:hint="default" w:ascii="Times New Roman" w:hAnsi="Times New Roman" w:eastAsia="仿宋_GB2312" w:cs="Times New Roman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lang w:val="en"/>
        </w:rPr>
        <w:t>，向城市社区赠送三人制足球门568副、足球5000多个。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不断完善女足U8至U15、男足U8至U17市级精英梯队建设，全年参加各级各类比赛62项、340场。其中，全国性赛事43项，获得中国足协青少年足球锦标赛等3项冠军、2项亚军；省级赛事19项，获得10项冠军。建立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教育-体育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部门会商机制，召开全市青少年足球工作会议，打通运动员升学通道，破解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12岁退役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15岁退役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学训难题。推动学校体育场馆有效开放，85所中小学校足球场地通过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苏周到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APP向社会预约开放。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创新举办苏州市大学生足球联赛、苏州青少年足球联赛U系列比赛，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形成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市长杯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、青少年足球联赛（U系列）、大学生足球联赛等为重点的青少年足球联赛体系，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贝贝杯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姑苏晚报杯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太湖杯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2034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杯”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</w:rPr>
        <w:t>等为重点的传统品牌赛事体系，苏州市足球联赛、苏州市足球甲级联赛等为重点的社会足球联赛体系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val="e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在2024第一届江苏足球发展重点城市对抗赛中，苏州市代表队以1:0战胜南京市代表队获得冠军。苏州东吴参加2024赛季中甲联赛获得第7名，成功保级。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  <w:t>六、苏州体育宣传工作成效显著，多平台全媒体展现城市活力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 w:eastAsia="zh-CN"/>
        </w:rPr>
        <w:t>《人民日报》客户端、新华社、《中国体育报》等权威媒体多次发表专题报道，生动展现苏州体育发展成果。聚焦巴黎奥运会6名苏州参赛运动员，精心策划的奥运专题融媒产品多次登上全国热搜，主话题#</w:t>
      </w:r>
      <w:r>
        <w:rPr>
          <w:rFonts w:hint="default" w:ascii="仿宋" w:hAnsi="仿宋" w:eastAsia="仿宋" w:cs="仿宋"/>
          <w:szCs w:val="32"/>
          <w:lang w:val="en" w:eastAsia="zh-CN"/>
        </w:rPr>
        <w:t>倷</w:t>
      </w:r>
      <w:r>
        <w:rPr>
          <w:rFonts w:hint="default" w:ascii="Times New Roman" w:hAnsi="Times New Roman" w:eastAsia="仿宋_GB2312" w:cs="Times New Roman"/>
          <w:lang w:val="en" w:eastAsia="zh-CN"/>
        </w:rPr>
        <w:t>好巴黎#阅读数超1300万，奥运相关报道全网阅读量超过1.1亿。2024长三角国际田径钻石联赛（上海/苏州）吸引102家境内外媒体关注，CCTV5、央视频全程转播，赛事新浪微博话题近百万，公众号阅读量超10万，视频传播量近500万。两个博览会期间，媒体累计刊播新闻及视频6890余条，浏览量逾2亿次。苏州马拉松线上曝光量超2亿人次，微博话题阅读量达8691.2万，抖音阅读量1.3亿，直播观看量近500万。全年围绕体育强国和健康中国建设，助力全民运动健身模范市创建，持续宣传群众体育、竞技体育、体育产业和赛事等方面工作，组织媒体集中采访25次，全媒体策划宣传重大活动，展示苏州的赛事组织能力和城市形象。通过《运动苏州》杂志、《体育周报》电视专栏、《跃动》《魅力苏体》等宣传产品及官方新媒体平台广泛发布内容。苏州体育微信公众号全年每日不间断发布信息近900条、视频号160余条，直播赛事活动27场。苏州发布转载了苏州体育相关内容48次，苏州广电、苏州日报等市级主流媒体全年度、系统性发布报道1200余篇，其中头版、头条报道20余次，大篇幅报道100余篇。</w:t>
      </w:r>
      <w:r>
        <w:rPr>
          <w:rFonts w:hint="eastAsia" w:eastAsia="仿宋_GB2312" w:cs="Times New Roman"/>
          <w:lang w:val="en" w:eastAsia="zh-CN"/>
        </w:rPr>
        <w:t>举办</w:t>
      </w:r>
      <w:r>
        <w:rPr>
          <w:rFonts w:hint="default" w:ascii="Times New Roman" w:hAnsi="Times New Roman" w:eastAsia="仿宋_GB2312" w:cs="Times New Roman"/>
          <w:lang w:val="en" w:eastAsia="zh-CN"/>
        </w:rPr>
        <w:t>苏州市第十六届运动会体育文化展</w:t>
      </w:r>
      <w:r>
        <w:rPr>
          <w:rFonts w:hint="eastAsia" w:eastAsia="仿宋_GB2312" w:cs="Times New Roman"/>
          <w:lang w:val="en" w:eastAsia="zh-CN"/>
        </w:rPr>
        <w:t>，新增</w:t>
      </w:r>
      <w:r>
        <w:rPr>
          <w:rFonts w:hint="default" w:ascii="Times New Roman" w:hAnsi="Times New Roman" w:eastAsia="仿宋_GB2312" w:cs="Times New Roman"/>
          <w:lang w:val="en" w:eastAsia="zh-CN"/>
        </w:rPr>
        <w:t>第19届杭州亚运会纪念品、2023年苏迪曼杯吉祥物等藏品113件。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6" w:firstLineChars="200"/>
        <w:textAlignment w:val="auto"/>
        <w:rPr>
          <w:rFonts w:hint="default" w:ascii="Times New Roman" w:hAnsi="Times New Roman" w:eastAsia="黑体" w:cs="Times New Roman"/>
          <w:spacing w:val="-11"/>
          <w:sz w:val="32"/>
          <w:lang w:val="en" w:eastAsia="zh-CN"/>
        </w:rPr>
      </w:pPr>
      <w:r>
        <w:rPr>
          <w:rFonts w:hint="default" w:ascii="Times New Roman" w:hAnsi="Times New Roman" w:eastAsia="黑体" w:cs="Times New Roman"/>
          <w:spacing w:val="-11"/>
          <w:sz w:val="32"/>
          <w:lang w:val="en" w:eastAsia="zh-CN"/>
        </w:rPr>
        <w:t>七、党建引领与廉政建设双管齐下，深化体育系统全面从严治党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 w:eastAsia="zh-CN"/>
        </w:rPr>
        <w:t>印发《2024年党建工作要点》和《2024年党风廉政建设工作实施意见》，制定全面从严治党责任清单。全年组织开展中心组学习16次，学习研讨交流8次。加强党纪学习教育，举办党纪学习教育专题读书班，开展专题辅导2次，中心组学习7次，研讨交流1次，领导干部和支部书记上讲堂活动30余次。做好中国共产党纪律处分条例学习教育，把党纪学习教育、习近平总书记重要指示批示和习近平总书记视察江苏重要讲话精神、《习近平新时代中国特色社会主义思想学习摘编》等纳入支部“三会一课”学习内容，抓实“三会一课”、主题党日等组织生活制度，扎实开展批评和自我批评。</w:t>
      </w:r>
      <w:r>
        <w:rPr>
          <w:rFonts w:hint="eastAsia" w:ascii="Times New Roman" w:hAnsi="Times New Roman" w:eastAsia="仿宋_GB2312" w:cs="Times New Roman"/>
          <w:lang w:val="en" w:eastAsia="zh-CN"/>
        </w:rPr>
        <w:t>认真开展巡察整改工作，针对巡察组反馈的8个方面26个问题</w:t>
      </w:r>
      <w:r>
        <w:rPr>
          <w:rFonts w:hint="default" w:ascii="Times New Roman" w:hAnsi="Times New Roman" w:eastAsia="仿宋_GB2312" w:cs="Times New Roman"/>
          <w:lang w:val="en" w:eastAsia="zh-CN"/>
        </w:rPr>
        <w:t>制订80条整改措施，确保“事事有回应，件件有着落”。目前，</w:t>
      </w:r>
      <w:r>
        <w:rPr>
          <w:rFonts w:hint="eastAsia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lang w:val="en" w:eastAsia="zh-CN"/>
        </w:rPr>
        <w:t>条措施已整改落实到位。严格党员发展程序，储备入党积极分子6人，发展党员2人，转正党员2人。组织党员干部学习党章党规，严格落实中央八项规定，召开全面从严治党暨党风廉政建设工作会议，参观党风廉政建设警示教育基地，认真开展群众身边不正之风的集中整治。严格按照《中国共产党支部工作条例（试行）》等规定加强党员教育管理，宣传先进典型，激励党员发挥先锋模范作用。指导2家直属单位完成工会换届，协同市民健身中心开展暑托班，积极组队参加市级机关工委组织的各类体育活动。共有11个单位、35名党员干部参加无偿献血活动，连续第二十五年超额完成任务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  <w:t>八、法治保障与数字创新双轮驱动，加速体育领域现代化进程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" w:eastAsia="zh-CN"/>
        </w:rPr>
        <w:t>严格履行党政主要负责人法治建设第一责任人职责，通过智慧党建、学习强国等平台深入学习“习近平法治思想”系列论述，重点学习法律法规。编制《苏州市“综合查一次”场景清单—体育场馆执法检查一件事》，推行体育系统涉企“免罚轻罚”清单4.0版。</w:t>
      </w:r>
      <w:r>
        <w:rPr>
          <w:rFonts w:hint="default" w:ascii="Times New Roman" w:hAnsi="Times New Roman" w:eastAsia="仿宋_GB2312" w:cs="Times New Roman"/>
          <w:lang w:val="en-US" w:eastAsia="zh-CN"/>
        </w:rPr>
        <w:t>本年度新发布</w:t>
      </w:r>
      <w:r>
        <w:rPr>
          <w:rFonts w:hint="default" w:ascii="Times New Roman" w:hAnsi="Times New Roman" w:eastAsia="仿宋_GB2312" w:cs="Times New Roman"/>
          <w:lang w:val="en" w:eastAsia="zh-CN"/>
        </w:rPr>
        <w:t>规范性文件</w:t>
      </w:r>
      <w:r>
        <w:rPr>
          <w:rFonts w:hint="default" w:ascii="Times New Roman" w:hAnsi="Times New Roman" w:eastAsia="仿宋_GB2312" w:cs="Times New Roman"/>
          <w:lang w:val="en-US" w:eastAsia="zh-CN"/>
        </w:rPr>
        <w:t>1项，废止1项。</w:t>
      </w:r>
      <w:r>
        <w:rPr>
          <w:rFonts w:hint="default" w:ascii="Times New Roman" w:hAnsi="Times New Roman" w:eastAsia="仿宋_GB2312" w:cs="Times New Roman"/>
          <w:lang w:val="en" w:eastAsia="zh-CN"/>
        </w:rPr>
        <w:t>组织全局干部综合素能提升、教练员法治教育等综合培训班，《公平竞争审查条例》《宪法》等专题培训班。通过局官网、微信公众号、“苏州体育”A</w:t>
      </w:r>
      <w:r>
        <w:rPr>
          <w:rFonts w:hint="default" w:ascii="Times New Roman" w:hAnsi="Times New Roman" w:eastAsia="仿宋_GB2312" w:cs="Times New Roman"/>
          <w:lang w:val="en-US" w:eastAsia="zh-CN"/>
        </w:rPr>
        <w:t>PP</w:t>
      </w:r>
      <w:r>
        <w:rPr>
          <w:rFonts w:hint="default" w:ascii="Times New Roman" w:hAnsi="Times New Roman" w:eastAsia="仿宋_GB2312" w:cs="Times New Roman"/>
          <w:lang w:val="en" w:eastAsia="zh-CN"/>
        </w:rPr>
        <w:t>、《运动苏州》刊物等宣传载体发布普法信息。坚持“三管三必须”要求，压实责任，全年未发生重大安全责任事故。对全市冰雪场所和高危体育项目经营单位进行全面检查，强化大型赛事活动的安全监管，确保赛事组织、安全保卫、应急预案的落实。组织开展局系统安全生产月、消防宣传月活动，举办医疗急救专题培训，指导直属单位组织安全演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" w:eastAsia="zh-CN"/>
        </w:rPr>
        <w:t>全市</w:t>
      </w:r>
      <w:r>
        <w:rPr>
          <w:rFonts w:hint="eastAsia" w:eastAsia="仿宋_GB2312" w:cs="Times New Roman"/>
          <w:b w:val="0"/>
          <w:bCs w:val="0"/>
          <w:color w:val="auto"/>
          <w:lang w:val="en" w:eastAsia="zh-CN"/>
        </w:rPr>
        <w:t>公共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" w:eastAsia="zh-CN"/>
        </w:rPr>
        <w:t>体</w:t>
      </w:r>
      <w:r>
        <w:rPr>
          <w:rFonts w:hint="default" w:ascii="Times New Roman" w:hAnsi="Times New Roman" w:eastAsia="仿宋_GB2312" w:cs="Times New Roman"/>
          <w:lang w:val="en" w:eastAsia="zh-CN"/>
        </w:rPr>
        <w:t>育场馆已全部配备AED，并组织使用培训。加强电动自行车集中充电管理，防范各类风险事件的发生。持续推进体育数字化改革和数字体育建设，体育产业一体化管理服务平台上线试运行，形成开放共享的数据目录清单，对接省市公共数据一体化底座。优化“运动苏州”全民健身数字平台，914家场馆信息已上线，平台功能模块不断完善，用户数创新高，并入选“2024年江苏省数字消费创新场景”。成功举办“迎奥运”数字体育嘉年华和第二届数字运动会、第四届网络文明建设暨网络安全月活动。</w:t>
      </w:r>
      <w:r>
        <w:rPr>
          <w:rFonts w:hint="default" w:ascii="Times New Roman" w:hAnsi="Times New Roman" w:eastAsia="仿宋_GB2312" w:cs="Times New Roman"/>
          <w:lang w:val="en-US" w:eastAsia="zh-CN"/>
        </w:rPr>
        <w:t>围绕“大型体育赛事活动、体育类机构（协会、体育俱乐部、校外体育培训机构）、体育场馆设施”等体育行业领域重点部位，实施网络数据安全常态化检查和指导监督。</w:t>
      </w:r>
      <w:r>
        <w:rPr>
          <w:rFonts w:hint="default" w:ascii="Times New Roman" w:hAnsi="Times New Roman" w:eastAsia="仿宋_GB2312" w:cs="Times New Roman"/>
          <w:lang w:val="en" w:eastAsia="zh-CN"/>
        </w:rPr>
        <w:t>不断完善网站和新媒体管理机制，深化数字人民币在体育领域的应用。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lang w:val="en" w:eastAsia="zh-CN"/>
        </w:rPr>
        <w:t>九、</w:t>
      </w:r>
      <w:r>
        <w:rPr>
          <w:rFonts w:hint="default" w:ascii="Times New Roman" w:hAnsi="Times New Roman" w:eastAsia="黑体" w:cs="Times New Roman"/>
          <w:spacing w:val="-6"/>
          <w:sz w:val="32"/>
          <w:lang w:val="en-US" w:eastAsia="zh-CN"/>
        </w:rPr>
        <w:t>扎实推进干部队伍管理建设，促进体育管理效能持续提升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全年共召开局党组会议3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次，研究议题1</w:t>
      </w:r>
      <w:r>
        <w:rPr>
          <w:rFonts w:hint="eastAsia" w:eastAsia="仿宋_GB2312" w:cs="Times New Roman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lang w:val="en-US" w:eastAsia="zh-CN"/>
        </w:rPr>
        <w:t>项，</w:t>
      </w:r>
      <w:r>
        <w:rPr>
          <w:rFonts w:hint="default" w:ascii="Times New Roman" w:hAnsi="Times New Roman" w:eastAsia="仿宋_GB2312" w:cs="Times New Roman"/>
          <w:lang w:val="en"/>
        </w:rPr>
        <w:t>局长办公会</w:t>
      </w:r>
      <w:r>
        <w:rPr>
          <w:rFonts w:hint="eastAsia" w:eastAsia="仿宋_GB2312" w:cs="Times New Roman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lang w:val="en"/>
        </w:rPr>
        <w:t>次，研究议题</w:t>
      </w:r>
      <w:r>
        <w:rPr>
          <w:rFonts w:hint="eastAsia" w:eastAsia="仿宋_GB2312" w:cs="Times New Roman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lang w:val="en"/>
        </w:rPr>
        <w:t>项。</w:t>
      </w:r>
      <w:r>
        <w:rPr>
          <w:rFonts w:hint="default" w:ascii="Times New Roman" w:hAnsi="Times New Roman" w:eastAsia="仿宋_GB2312" w:cs="Times New Roman"/>
          <w:lang w:val="en-US" w:eastAsia="zh-CN"/>
        </w:rPr>
        <w:t>完成党组理论学习中心组集中学习1</w:t>
      </w:r>
      <w:r>
        <w:rPr>
          <w:rFonts w:hint="eastAsia" w:eastAsia="仿宋_GB2312" w:cs="Times New Roman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lang w:val="en-US" w:eastAsia="zh-CN"/>
        </w:rPr>
        <w:t>次，强化“三重一大”事项集体决策制度。规范处级干部社团兼职情况，严格按照规定办理了5人次的社团兼职审批。完成3名直属事业单位工作人员公开招聘、5名科职干部考察提拔、11名科职干部轮岗交流、5名科职干部试用期满考核工作，配合市委组织部做好1名副处职干部考察提拔、1名二级巡视员和1名二级调研员职级晋升工作。举办2024年苏州市体育局干部综合素能提升培训班，选派多名干部参加各类市级培训，并通过线上线下结合的方式进行了113人次的“菜单式”讲座学习。落实《姑苏体育人才计划实施细则》，为特聘人才和分层培养对象发放补贴总计320万元。组织2024年度全市初、中级教练员职称评审工作，5人通过中级教练资格初审、3人通过初级教练资格初审。接收</w:t>
      </w:r>
      <w:r>
        <w:rPr>
          <w:rFonts w:hint="eastAsia" w:ascii="Times New Roman" w:hAnsi="Times New Roman" w:eastAsia="仿宋_GB2312" w:cs="Times New Roman"/>
          <w:lang w:val="en-US" w:eastAsia="zh-CN"/>
        </w:rPr>
        <w:t>安置军转干部</w:t>
      </w:r>
      <w:r>
        <w:rPr>
          <w:rFonts w:hint="default" w:ascii="Times New Roman" w:hAnsi="Times New Roman" w:eastAsia="仿宋_GB2312" w:cs="Times New Roman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安置省优秀运动队退役运动员6名。成功接待3批次来访团，组织7批次出访任务。印发《2024年度市体育局高质量发展绩效评价考核指标细则》《2024年度市体育局党的建设成效和满意度评价考核指标细则》《加减分项计分规则》，有序推进年度综合考核和内部建设工作。组织局机关离退休干部党支部主题党日活动2次，支部书记参加专题培训班1次</w:t>
      </w:r>
      <w:r>
        <w:rPr>
          <w:rFonts w:hint="eastAsia" w:eastAsia="仿宋_GB2312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2025年，苏州市体育局将以实际行动响应加快建设体育强国的号召，优化全民健身公共服务体系，提升竞技体育实力，进一步激发体育市场活力，提高体育服务水平，</w:t>
      </w:r>
      <w:r>
        <w:rPr>
          <w:rFonts w:hint="eastAsia" w:ascii="Times New Roman" w:hAnsi="Times New Roman" w:eastAsia="仿宋_GB2312" w:cs="Times New Roman"/>
          <w:lang w:val="en-US" w:eastAsia="zh-CN"/>
        </w:rPr>
        <w:t>为全面推进中国式现代化苏州新实践</w:t>
      </w:r>
      <w:r>
        <w:rPr>
          <w:rFonts w:hint="default" w:ascii="Times New Roman" w:hAnsi="Times New Roman" w:eastAsia="仿宋_GB2312" w:cs="Times New Roman"/>
          <w:lang w:val="en-US" w:eastAsia="zh-CN"/>
        </w:rPr>
        <w:t>贡献更多体育力量。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560"/>
      <w:jc w:val="right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right="56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right="560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59"/>
    <w:rsid w:val="000059D2"/>
    <w:rsid w:val="0002150B"/>
    <w:rsid w:val="000224C8"/>
    <w:rsid w:val="0008601A"/>
    <w:rsid w:val="000971B5"/>
    <w:rsid w:val="000A56D5"/>
    <w:rsid w:val="000D3110"/>
    <w:rsid w:val="000F454A"/>
    <w:rsid w:val="00134BDC"/>
    <w:rsid w:val="00184678"/>
    <w:rsid w:val="00185FD3"/>
    <w:rsid w:val="001C7D5D"/>
    <w:rsid w:val="00206685"/>
    <w:rsid w:val="002341E0"/>
    <w:rsid w:val="00235A2C"/>
    <w:rsid w:val="0033079F"/>
    <w:rsid w:val="00367D50"/>
    <w:rsid w:val="00370637"/>
    <w:rsid w:val="0039277B"/>
    <w:rsid w:val="003A17CB"/>
    <w:rsid w:val="003C6787"/>
    <w:rsid w:val="00415EA6"/>
    <w:rsid w:val="00426CEF"/>
    <w:rsid w:val="00436212"/>
    <w:rsid w:val="004463F8"/>
    <w:rsid w:val="004502D5"/>
    <w:rsid w:val="004562BD"/>
    <w:rsid w:val="00486A40"/>
    <w:rsid w:val="004C460A"/>
    <w:rsid w:val="004C73C1"/>
    <w:rsid w:val="004E0048"/>
    <w:rsid w:val="004E22DF"/>
    <w:rsid w:val="005203AC"/>
    <w:rsid w:val="00530809"/>
    <w:rsid w:val="005B338A"/>
    <w:rsid w:val="005C336B"/>
    <w:rsid w:val="005C3E14"/>
    <w:rsid w:val="005D3C57"/>
    <w:rsid w:val="005D6869"/>
    <w:rsid w:val="00601319"/>
    <w:rsid w:val="00606A0C"/>
    <w:rsid w:val="00620174"/>
    <w:rsid w:val="00657488"/>
    <w:rsid w:val="006930C5"/>
    <w:rsid w:val="006F62DD"/>
    <w:rsid w:val="00716069"/>
    <w:rsid w:val="00732236"/>
    <w:rsid w:val="00743A98"/>
    <w:rsid w:val="00747874"/>
    <w:rsid w:val="007A7862"/>
    <w:rsid w:val="007B214E"/>
    <w:rsid w:val="007F36F0"/>
    <w:rsid w:val="00827E00"/>
    <w:rsid w:val="00831A5A"/>
    <w:rsid w:val="00844C07"/>
    <w:rsid w:val="00850313"/>
    <w:rsid w:val="0085713F"/>
    <w:rsid w:val="008968E1"/>
    <w:rsid w:val="008D1C41"/>
    <w:rsid w:val="008F0C29"/>
    <w:rsid w:val="00901DA3"/>
    <w:rsid w:val="00945342"/>
    <w:rsid w:val="00966A83"/>
    <w:rsid w:val="00973AC2"/>
    <w:rsid w:val="009A09F3"/>
    <w:rsid w:val="009D10BD"/>
    <w:rsid w:val="009F1320"/>
    <w:rsid w:val="009F44FD"/>
    <w:rsid w:val="00A13CB0"/>
    <w:rsid w:val="00A22F66"/>
    <w:rsid w:val="00A25A32"/>
    <w:rsid w:val="00A345DB"/>
    <w:rsid w:val="00A47421"/>
    <w:rsid w:val="00A83437"/>
    <w:rsid w:val="00A86759"/>
    <w:rsid w:val="00A95D89"/>
    <w:rsid w:val="00A9797C"/>
    <w:rsid w:val="00AE2687"/>
    <w:rsid w:val="00B62C3C"/>
    <w:rsid w:val="00B86C56"/>
    <w:rsid w:val="00BD1565"/>
    <w:rsid w:val="00BD5C90"/>
    <w:rsid w:val="00C26CBC"/>
    <w:rsid w:val="00C30E72"/>
    <w:rsid w:val="00C71E20"/>
    <w:rsid w:val="00C85051"/>
    <w:rsid w:val="00D1271C"/>
    <w:rsid w:val="00D16149"/>
    <w:rsid w:val="00D16B0B"/>
    <w:rsid w:val="00D30B22"/>
    <w:rsid w:val="00D60267"/>
    <w:rsid w:val="00D65008"/>
    <w:rsid w:val="00DA4F0C"/>
    <w:rsid w:val="00DB7E90"/>
    <w:rsid w:val="00DD4097"/>
    <w:rsid w:val="00DF72A8"/>
    <w:rsid w:val="00E139A6"/>
    <w:rsid w:val="00E4095A"/>
    <w:rsid w:val="00E71591"/>
    <w:rsid w:val="00E77E75"/>
    <w:rsid w:val="00EB3CDA"/>
    <w:rsid w:val="00EF67E0"/>
    <w:rsid w:val="00F006F7"/>
    <w:rsid w:val="00F11437"/>
    <w:rsid w:val="00F2256E"/>
    <w:rsid w:val="00F278FF"/>
    <w:rsid w:val="00F33D73"/>
    <w:rsid w:val="00F6488E"/>
    <w:rsid w:val="00F6779D"/>
    <w:rsid w:val="00F7228A"/>
    <w:rsid w:val="00F828EB"/>
    <w:rsid w:val="00F83064"/>
    <w:rsid w:val="00FB6869"/>
    <w:rsid w:val="03FD78A2"/>
    <w:rsid w:val="07CF0F01"/>
    <w:rsid w:val="0FE65D6B"/>
    <w:rsid w:val="144EFB1F"/>
    <w:rsid w:val="19BBE3E7"/>
    <w:rsid w:val="1AAF3F4F"/>
    <w:rsid w:val="1B0B99CC"/>
    <w:rsid w:val="1B7121C0"/>
    <w:rsid w:val="1BFB3FA8"/>
    <w:rsid w:val="1DB5B627"/>
    <w:rsid w:val="1DBE2BAC"/>
    <w:rsid w:val="1EBBA113"/>
    <w:rsid w:val="1ED8EC72"/>
    <w:rsid w:val="1FBE74E6"/>
    <w:rsid w:val="1FEEC1BA"/>
    <w:rsid w:val="1FFDC56F"/>
    <w:rsid w:val="23E7507F"/>
    <w:rsid w:val="2BFED028"/>
    <w:rsid w:val="2DFE2EC8"/>
    <w:rsid w:val="2FBDE2C2"/>
    <w:rsid w:val="2FBFD4EB"/>
    <w:rsid w:val="30C1041C"/>
    <w:rsid w:val="35B5372D"/>
    <w:rsid w:val="3741514E"/>
    <w:rsid w:val="37A7FF4E"/>
    <w:rsid w:val="37EF4DF2"/>
    <w:rsid w:val="37FB50AD"/>
    <w:rsid w:val="39FD876C"/>
    <w:rsid w:val="39FEC283"/>
    <w:rsid w:val="3BBC46A7"/>
    <w:rsid w:val="3BFF414E"/>
    <w:rsid w:val="3CAF76DE"/>
    <w:rsid w:val="3D993AAE"/>
    <w:rsid w:val="3DAEF727"/>
    <w:rsid w:val="3DBBB779"/>
    <w:rsid w:val="3DBFFCFD"/>
    <w:rsid w:val="3DFFEEFF"/>
    <w:rsid w:val="3E7BDDA8"/>
    <w:rsid w:val="3EBEC0EF"/>
    <w:rsid w:val="3EFCBB19"/>
    <w:rsid w:val="3EFFDD76"/>
    <w:rsid w:val="3F7B495E"/>
    <w:rsid w:val="3F9D7EC8"/>
    <w:rsid w:val="3FAB7FDA"/>
    <w:rsid w:val="3FDF93F9"/>
    <w:rsid w:val="3FEE557E"/>
    <w:rsid w:val="4D967755"/>
    <w:rsid w:val="4F3F1A6E"/>
    <w:rsid w:val="4FEBC2D3"/>
    <w:rsid w:val="537F5B46"/>
    <w:rsid w:val="57D6FF0B"/>
    <w:rsid w:val="57E758E1"/>
    <w:rsid w:val="583729A6"/>
    <w:rsid w:val="59AF4F24"/>
    <w:rsid w:val="5B5DE2B6"/>
    <w:rsid w:val="5C4E76E2"/>
    <w:rsid w:val="5CAEF1D8"/>
    <w:rsid w:val="5CF6188B"/>
    <w:rsid w:val="5D352E14"/>
    <w:rsid w:val="5DCD2696"/>
    <w:rsid w:val="5DDE5B1D"/>
    <w:rsid w:val="5EB703CF"/>
    <w:rsid w:val="5EF0CA96"/>
    <w:rsid w:val="5EFF5E73"/>
    <w:rsid w:val="5F9E227A"/>
    <w:rsid w:val="5FAD2A93"/>
    <w:rsid w:val="5FBBB682"/>
    <w:rsid w:val="5FBE99BC"/>
    <w:rsid w:val="5FC38197"/>
    <w:rsid w:val="5FDB9B42"/>
    <w:rsid w:val="5FDF3D3A"/>
    <w:rsid w:val="5FDF76ED"/>
    <w:rsid w:val="5FDF9356"/>
    <w:rsid w:val="5FEBF45C"/>
    <w:rsid w:val="5FF5A2D9"/>
    <w:rsid w:val="5FFFB3DE"/>
    <w:rsid w:val="64CFD98B"/>
    <w:rsid w:val="65EF0077"/>
    <w:rsid w:val="66FF6CC9"/>
    <w:rsid w:val="66FF7D7B"/>
    <w:rsid w:val="6B734264"/>
    <w:rsid w:val="6B7F108C"/>
    <w:rsid w:val="6BFA4D68"/>
    <w:rsid w:val="6D6EABD8"/>
    <w:rsid w:val="6DBAB765"/>
    <w:rsid w:val="6EAF4D91"/>
    <w:rsid w:val="6EB0D0B8"/>
    <w:rsid w:val="6EBB23BE"/>
    <w:rsid w:val="6EE37E35"/>
    <w:rsid w:val="6EF34186"/>
    <w:rsid w:val="6EFF2C05"/>
    <w:rsid w:val="6F5F54C1"/>
    <w:rsid w:val="6FFB5286"/>
    <w:rsid w:val="6FFDED9C"/>
    <w:rsid w:val="6FFE092F"/>
    <w:rsid w:val="736EB153"/>
    <w:rsid w:val="73CDB633"/>
    <w:rsid w:val="73DF1D14"/>
    <w:rsid w:val="750204FE"/>
    <w:rsid w:val="757E04AF"/>
    <w:rsid w:val="765BA722"/>
    <w:rsid w:val="7677363D"/>
    <w:rsid w:val="76BFAA65"/>
    <w:rsid w:val="76FD8AB8"/>
    <w:rsid w:val="77A9BBA2"/>
    <w:rsid w:val="77BFC100"/>
    <w:rsid w:val="791BE6DB"/>
    <w:rsid w:val="79AE4AD0"/>
    <w:rsid w:val="7AEDEE93"/>
    <w:rsid w:val="7AFB74C2"/>
    <w:rsid w:val="7B375D88"/>
    <w:rsid w:val="7B9FC435"/>
    <w:rsid w:val="7BF4C4E9"/>
    <w:rsid w:val="7CDE3BCB"/>
    <w:rsid w:val="7CDE9B4E"/>
    <w:rsid w:val="7D76024B"/>
    <w:rsid w:val="7D7BD5D3"/>
    <w:rsid w:val="7D7F64F1"/>
    <w:rsid w:val="7DAF0671"/>
    <w:rsid w:val="7DCF8C06"/>
    <w:rsid w:val="7DDC1571"/>
    <w:rsid w:val="7DFB4D80"/>
    <w:rsid w:val="7DFFB112"/>
    <w:rsid w:val="7DFFE5CF"/>
    <w:rsid w:val="7DFFF4B7"/>
    <w:rsid w:val="7E3CBE7F"/>
    <w:rsid w:val="7EA7AE90"/>
    <w:rsid w:val="7EF72D67"/>
    <w:rsid w:val="7EF9E2D8"/>
    <w:rsid w:val="7EFB357C"/>
    <w:rsid w:val="7EFD82E0"/>
    <w:rsid w:val="7EFF4ED5"/>
    <w:rsid w:val="7F2F9035"/>
    <w:rsid w:val="7F5B7CC2"/>
    <w:rsid w:val="7F5E5992"/>
    <w:rsid w:val="7F677185"/>
    <w:rsid w:val="7F7682D8"/>
    <w:rsid w:val="7F7D3CA9"/>
    <w:rsid w:val="7F7DA593"/>
    <w:rsid w:val="7F9DF1D3"/>
    <w:rsid w:val="7F9DF7F9"/>
    <w:rsid w:val="7FA71220"/>
    <w:rsid w:val="7FB6CB54"/>
    <w:rsid w:val="7FB6DC75"/>
    <w:rsid w:val="7FB8508B"/>
    <w:rsid w:val="7FB95DF8"/>
    <w:rsid w:val="7FBB85E6"/>
    <w:rsid w:val="7FBF5853"/>
    <w:rsid w:val="7FBFA8E7"/>
    <w:rsid w:val="7FC6EABF"/>
    <w:rsid w:val="7FD687B9"/>
    <w:rsid w:val="7FDEA723"/>
    <w:rsid w:val="7FE7F412"/>
    <w:rsid w:val="7FEF85A1"/>
    <w:rsid w:val="7FF79097"/>
    <w:rsid w:val="7FFC3254"/>
    <w:rsid w:val="7FFD438B"/>
    <w:rsid w:val="7FFF9EC2"/>
    <w:rsid w:val="83BFC3D0"/>
    <w:rsid w:val="85FDA066"/>
    <w:rsid w:val="87F3F80C"/>
    <w:rsid w:val="8EFDB1C6"/>
    <w:rsid w:val="8FCBD62A"/>
    <w:rsid w:val="92FF66FA"/>
    <w:rsid w:val="94FD71D5"/>
    <w:rsid w:val="94FFDB5B"/>
    <w:rsid w:val="9EF4EF62"/>
    <w:rsid w:val="9F3F493F"/>
    <w:rsid w:val="9FF6DA0F"/>
    <w:rsid w:val="9FF71975"/>
    <w:rsid w:val="9FFA471F"/>
    <w:rsid w:val="AADB8C13"/>
    <w:rsid w:val="AADFCC25"/>
    <w:rsid w:val="ABBE8019"/>
    <w:rsid w:val="AE5DEE6D"/>
    <w:rsid w:val="AEFE5E4B"/>
    <w:rsid w:val="AFDE6BF6"/>
    <w:rsid w:val="AFFC7658"/>
    <w:rsid w:val="B7DF6510"/>
    <w:rsid w:val="B7DFAF20"/>
    <w:rsid w:val="BBBF9D5C"/>
    <w:rsid w:val="BBF7025D"/>
    <w:rsid w:val="BBFFB7A7"/>
    <w:rsid w:val="BEFF8E91"/>
    <w:rsid w:val="BF6BAFC4"/>
    <w:rsid w:val="BF6D99D2"/>
    <w:rsid w:val="BF91F402"/>
    <w:rsid w:val="BFD914A9"/>
    <w:rsid w:val="BFDE9298"/>
    <w:rsid w:val="BFDF02AC"/>
    <w:rsid w:val="BFEF3752"/>
    <w:rsid w:val="BFF3509A"/>
    <w:rsid w:val="C9633244"/>
    <w:rsid w:val="CFFFE12A"/>
    <w:rsid w:val="D1BBD7D1"/>
    <w:rsid w:val="D25FF7D1"/>
    <w:rsid w:val="D54DBC07"/>
    <w:rsid w:val="D579AC96"/>
    <w:rsid w:val="D5DE72D7"/>
    <w:rsid w:val="D77DFC7D"/>
    <w:rsid w:val="D7BE67BE"/>
    <w:rsid w:val="D7FFFB15"/>
    <w:rsid w:val="D9D79324"/>
    <w:rsid w:val="DA712D95"/>
    <w:rsid w:val="DAED17D8"/>
    <w:rsid w:val="DBBE80E4"/>
    <w:rsid w:val="DBDE9442"/>
    <w:rsid w:val="DBFFF731"/>
    <w:rsid w:val="DCB66192"/>
    <w:rsid w:val="DCF431ED"/>
    <w:rsid w:val="DD777CBB"/>
    <w:rsid w:val="DDFF3CE6"/>
    <w:rsid w:val="DE830BDC"/>
    <w:rsid w:val="DEDF7AD1"/>
    <w:rsid w:val="DEFECA8D"/>
    <w:rsid w:val="DF3FE9B2"/>
    <w:rsid w:val="DF75106F"/>
    <w:rsid w:val="DFB6E002"/>
    <w:rsid w:val="DFDED7F8"/>
    <w:rsid w:val="DFDFE868"/>
    <w:rsid w:val="DFE9E854"/>
    <w:rsid w:val="DFF51C23"/>
    <w:rsid w:val="DFF771B1"/>
    <w:rsid w:val="DFFB3279"/>
    <w:rsid w:val="E35F6A15"/>
    <w:rsid w:val="E3B7348F"/>
    <w:rsid w:val="E76DC851"/>
    <w:rsid w:val="E7EB175C"/>
    <w:rsid w:val="E7F7927F"/>
    <w:rsid w:val="E92F5BFF"/>
    <w:rsid w:val="E9FFB669"/>
    <w:rsid w:val="EBB7092E"/>
    <w:rsid w:val="EBFB2821"/>
    <w:rsid w:val="ECB948C3"/>
    <w:rsid w:val="ECEB8B63"/>
    <w:rsid w:val="ED7366B2"/>
    <w:rsid w:val="EDFB1FEC"/>
    <w:rsid w:val="EEEEAA57"/>
    <w:rsid w:val="EF5E889C"/>
    <w:rsid w:val="EF7ED042"/>
    <w:rsid w:val="EFBD4D4F"/>
    <w:rsid w:val="EFBE0820"/>
    <w:rsid w:val="EFC7CA35"/>
    <w:rsid w:val="EFD74C76"/>
    <w:rsid w:val="EFFE0D10"/>
    <w:rsid w:val="F17D0175"/>
    <w:rsid w:val="F17E5466"/>
    <w:rsid w:val="F3FECF06"/>
    <w:rsid w:val="F4F92FF2"/>
    <w:rsid w:val="F5BF6DB2"/>
    <w:rsid w:val="F5F7C524"/>
    <w:rsid w:val="F63F91B5"/>
    <w:rsid w:val="F6AF8C8F"/>
    <w:rsid w:val="F6CB8294"/>
    <w:rsid w:val="F6FF5BF9"/>
    <w:rsid w:val="F72510AC"/>
    <w:rsid w:val="F72DEC4F"/>
    <w:rsid w:val="F79FDB1A"/>
    <w:rsid w:val="F7A1FA49"/>
    <w:rsid w:val="F7BDF55A"/>
    <w:rsid w:val="F7BF9422"/>
    <w:rsid w:val="F7CF41A3"/>
    <w:rsid w:val="F7D76CF6"/>
    <w:rsid w:val="F7DACBF9"/>
    <w:rsid w:val="F7E769D4"/>
    <w:rsid w:val="F7F82D00"/>
    <w:rsid w:val="F7FD8723"/>
    <w:rsid w:val="F8FEE317"/>
    <w:rsid w:val="F91797D5"/>
    <w:rsid w:val="F9F142FA"/>
    <w:rsid w:val="FABBF3B3"/>
    <w:rsid w:val="FBCD2D67"/>
    <w:rsid w:val="FBE7CB10"/>
    <w:rsid w:val="FBFF0B35"/>
    <w:rsid w:val="FCFA3231"/>
    <w:rsid w:val="FCFBA58D"/>
    <w:rsid w:val="FCFFA7E6"/>
    <w:rsid w:val="FD36556D"/>
    <w:rsid w:val="FD3F791B"/>
    <w:rsid w:val="FDBF9DC5"/>
    <w:rsid w:val="FDC7736A"/>
    <w:rsid w:val="FDD99AAB"/>
    <w:rsid w:val="FDDBD4AB"/>
    <w:rsid w:val="FDEE8D67"/>
    <w:rsid w:val="FDF9D916"/>
    <w:rsid w:val="FDFB18E8"/>
    <w:rsid w:val="FE9F0148"/>
    <w:rsid w:val="FEDE5B79"/>
    <w:rsid w:val="FEEF5C23"/>
    <w:rsid w:val="FF5FD52A"/>
    <w:rsid w:val="FF7500EE"/>
    <w:rsid w:val="FF970CAD"/>
    <w:rsid w:val="FF9F21EC"/>
    <w:rsid w:val="FFA61425"/>
    <w:rsid w:val="FFB9EA53"/>
    <w:rsid w:val="FFC9531E"/>
    <w:rsid w:val="FFD58B38"/>
    <w:rsid w:val="FFDB9926"/>
    <w:rsid w:val="FFDF509F"/>
    <w:rsid w:val="FFDF8D63"/>
    <w:rsid w:val="FFEDE402"/>
    <w:rsid w:val="FFEF5037"/>
    <w:rsid w:val="FFF1B6C6"/>
    <w:rsid w:val="FFF7D16D"/>
    <w:rsid w:val="FFFB6FCA"/>
    <w:rsid w:val="FFFE384E"/>
    <w:rsid w:val="FFFE49FA"/>
    <w:rsid w:val="FFFF03A1"/>
    <w:rsid w:val="FFFF4E86"/>
    <w:rsid w:val="FFFF91C3"/>
    <w:rsid w:val="FFFFD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 w:line="240" w:lineRule="auto"/>
      <w:ind w:firstLine="420" w:firstLineChars="100"/>
      <w:jc w:val="both"/>
    </w:pPr>
  </w:style>
  <w:style w:type="paragraph" w:customStyle="1" w:styleId="3">
    <w:name w:val="BodyText"/>
    <w:basedOn w:val="1"/>
    <w:qFormat/>
    <w:uiPriority w:val="0"/>
    <w:pPr>
      <w:spacing w:after="120" w:line="240" w:lineRule="auto"/>
      <w:jc w:val="both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99"/>
    <w:pPr>
      <w:spacing w:line="360" w:lineRule="auto"/>
      <w:ind w:firstLine="480"/>
    </w:pPr>
    <w:rPr>
      <w:kern w:val="0"/>
      <w:sz w:val="20"/>
    </w:rPr>
  </w:style>
  <w:style w:type="paragraph" w:styleId="8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szCs w:val="21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"/>
    <w:qFormat/>
    <w:uiPriority w:val="99"/>
    <w:pPr>
      <w:ind w:firstLine="420" w:firstLineChars="100"/>
    </w:pPr>
    <w:rPr>
      <w:rFonts w:ascii="Times New Roman"/>
      <w:kern w:val="0"/>
      <w:sz w:val="20"/>
    </w:rPr>
  </w:style>
  <w:style w:type="paragraph" w:styleId="16">
    <w:name w:val="Body Text First Indent 2"/>
    <w:basedOn w:val="7"/>
    <w:next w:val="15"/>
    <w:qFormat/>
    <w:uiPriority w:val="0"/>
    <w:pPr>
      <w:ind w:left="420" w:leftChars="200" w:firstLine="420" w:firstLineChars="200"/>
    </w:pPr>
    <w:rPr>
      <w:sz w:val="21"/>
    </w:rPr>
  </w:style>
  <w:style w:type="character" w:styleId="19">
    <w:name w:val="Strong"/>
    <w:basedOn w:val="18"/>
    <w:qFormat/>
    <w:uiPriority w:val="22"/>
    <w:rPr>
      <w:b/>
    </w:r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21">
    <w:name w:val="日期 Char"/>
    <w:basedOn w:val="18"/>
    <w:link w:val="8"/>
    <w:semiHidden/>
    <w:qFormat/>
    <w:uiPriority w:val="99"/>
    <w:rPr>
      <w:rFonts w:eastAsia="仿宋"/>
    </w:rPr>
  </w:style>
  <w:style w:type="character" w:customStyle="1" w:styleId="22">
    <w:name w:val="页眉 Char"/>
    <w:basedOn w:val="18"/>
    <w:link w:val="11"/>
    <w:semiHidden/>
    <w:qFormat/>
    <w:uiPriority w:val="99"/>
    <w:rPr>
      <w:rFonts w:eastAsia="仿宋"/>
      <w:sz w:val="18"/>
      <w:szCs w:val="18"/>
    </w:rPr>
  </w:style>
  <w:style w:type="character" w:customStyle="1" w:styleId="23">
    <w:name w:val="页脚 Char"/>
    <w:basedOn w:val="18"/>
    <w:link w:val="10"/>
    <w:qFormat/>
    <w:uiPriority w:val="99"/>
    <w:rPr>
      <w:rFonts w:eastAsia="仿宋"/>
      <w:sz w:val="18"/>
      <w:szCs w:val="18"/>
    </w:rPr>
  </w:style>
  <w:style w:type="character" w:customStyle="1" w:styleId="24">
    <w:name w:val="批注框文本 Char"/>
    <w:basedOn w:val="18"/>
    <w:link w:val="9"/>
    <w:semiHidden/>
    <w:qFormat/>
    <w:uiPriority w:val="99"/>
    <w:rPr>
      <w:rFonts w:eastAsia="仿宋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808</Words>
  <Characters>4608</Characters>
  <Lines>38</Lines>
  <Paragraphs>10</Paragraphs>
  <TotalTime>12</TotalTime>
  <ScaleCrop>false</ScaleCrop>
  <LinksUpToDate>false</LinksUpToDate>
  <CharactersWithSpaces>5406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2019-02-03T01:53:00Z</dcterms:created>
  <dc:creator>NTKO</dc:creator>
  <cp:lastModifiedBy>sz</cp:lastModifiedBy>
  <cp:lastPrinted>2025-02-11T01:29:00Z</cp:lastPrinted>
  <dcterms:modified xsi:type="dcterms:W3CDTF">2025-03-20T14:09:32Z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