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55A7D6">
      <w:pPr>
        <w:spacing w:line="590" w:lineRule="exact"/>
        <w:jc w:val="center"/>
        <w:rPr>
          <w:rFonts w:ascii="Times New Roman" w:hAnsi="Times New Roman" w:eastAsia="方正小标宋_GBK" w:cs="Times New Roman"/>
          <w:bCs/>
          <w:sz w:val="32"/>
          <w:szCs w:val="32"/>
        </w:rPr>
      </w:pPr>
    </w:p>
    <w:p w14:paraId="034E3F0C">
      <w:pPr>
        <w:spacing w:line="590" w:lineRule="exact"/>
        <w:jc w:val="center"/>
        <w:rPr>
          <w:rFonts w:hint="eastAsia"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苏州科技创新工作</w:t>
      </w:r>
    </w:p>
    <w:p w14:paraId="6CE2379D">
      <w:pPr>
        <w:spacing w:line="590" w:lineRule="exact"/>
        <w:jc w:val="center"/>
        <w:rPr>
          <w:rFonts w:hint="eastAsia" w:ascii="华文中宋" w:hAnsi="华文中宋" w:eastAsia="华文中宋"/>
          <w:sz w:val="44"/>
          <w:szCs w:val="44"/>
        </w:rPr>
      </w:pPr>
      <w:bookmarkStart w:id="3" w:name="_GoBack"/>
      <w:bookmarkEnd w:id="3"/>
      <w:r>
        <w:rPr>
          <w:rFonts w:hint="eastAsia" w:ascii="华文中宋" w:hAnsi="华文中宋" w:eastAsia="华文中宋"/>
          <w:sz w:val="44"/>
          <w:szCs w:val="44"/>
        </w:rPr>
        <w:t>2024年总结及2025年计划</w:t>
      </w:r>
    </w:p>
    <w:p w14:paraId="744E683E">
      <w:pPr>
        <w:spacing w:line="590" w:lineRule="exact"/>
        <w:rPr>
          <w:rFonts w:hint="eastAsia" w:ascii="仿宋_GB2312" w:eastAsia="仿宋_GB2312"/>
          <w:sz w:val="32"/>
          <w:szCs w:val="32"/>
        </w:rPr>
      </w:pPr>
    </w:p>
    <w:p w14:paraId="46466167">
      <w:pPr>
        <w:spacing w:line="590" w:lineRule="exact"/>
        <w:ind w:firstLine="640" w:firstLineChars="200"/>
        <w:outlineLvl w:val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</w:t>
      </w:r>
      <w:r>
        <w:rPr>
          <w:rFonts w:ascii="Times New Roman" w:hAnsi="Times New Roman" w:eastAsia="黑体" w:cs="Times New Roman"/>
          <w:sz w:val="32"/>
          <w:szCs w:val="32"/>
        </w:rPr>
        <w:t>202</w:t>
      </w:r>
      <w:r>
        <w:rPr>
          <w:rFonts w:hint="eastAsia" w:ascii="Times New Roman" w:hAnsi="Times New Roman" w:eastAsia="黑体" w:cs="Times New Roman"/>
          <w:sz w:val="32"/>
          <w:szCs w:val="32"/>
        </w:rPr>
        <w:t>4</w:t>
      </w:r>
      <w:r>
        <w:rPr>
          <w:rFonts w:ascii="黑体" w:hAnsi="黑体" w:eastAsia="黑体"/>
          <w:sz w:val="32"/>
          <w:szCs w:val="32"/>
        </w:rPr>
        <w:t>年全市科技</w:t>
      </w:r>
      <w:r>
        <w:rPr>
          <w:rFonts w:hint="eastAsia" w:ascii="黑体" w:hAnsi="黑体" w:eastAsia="黑体"/>
          <w:sz w:val="32"/>
          <w:szCs w:val="32"/>
        </w:rPr>
        <w:t>创新</w:t>
      </w:r>
      <w:r>
        <w:rPr>
          <w:rFonts w:ascii="黑体" w:hAnsi="黑体" w:eastAsia="黑体"/>
          <w:sz w:val="32"/>
          <w:szCs w:val="32"/>
        </w:rPr>
        <w:t>工作</w:t>
      </w:r>
      <w:r>
        <w:rPr>
          <w:rFonts w:hint="eastAsia" w:ascii="黑体" w:hAnsi="黑体" w:eastAsia="黑体"/>
          <w:sz w:val="32"/>
          <w:szCs w:val="32"/>
        </w:rPr>
        <w:t>回顾</w:t>
      </w:r>
    </w:p>
    <w:p w14:paraId="513C9C66">
      <w:pPr>
        <w:spacing w:line="59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4</w:t>
      </w:r>
      <w:r>
        <w:rPr>
          <w:rFonts w:ascii="Times New Roman" w:hAnsi="Times New Roman" w:eastAsia="仿宋_GB2312" w:cs="Times New Roman"/>
          <w:sz w:val="32"/>
          <w:szCs w:val="32"/>
        </w:rPr>
        <w:t>年，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在市委、市政府的坚强领导下，全市科技系统</w:t>
      </w:r>
      <w:r>
        <w:rPr>
          <w:rFonts w:hint="eastAsia" w:ascii="仿宋_GB2312" w:eastAsia="仿宋_GB2312"/>
          <w:sz w:val="32"/>
          <w:szCs w:val="32"/>
        </w:rPr>
        <w:t>加快建设具有全球影响力的产业科技创新中心主承载区，推进科技自立自强，科技创新在顶层设计、重大载体、科技攻关、成果转化、深化改革、环境营造等方面做了大量卓有成效的工作，各板块克难攻坚，加压奋进，取得了来之不易的成绩。</w:t>
      </w:r>
      <w:r>
        <w:rPr>
          <w:rFonts w:hint="eastAsia" w:ascii="仿宋_GB2312" w:eastAsia="仿宋_GB2312"/>
          <w:b/>
          <w:bCs/>
          <w:sz w:val="32"/>
          <w:szCs w:val="32"/>
        </w:rPr>
        <w:t>张家港市</w:t>
      </w:r>
      <w:r>
        <w:rPr>
          <w:rFonts w:hint="eastAsia" w:ascii="仿宋_GB2312" w:eastAsia="仿宋_GB2312"/>
          <w:sz w:val="32"/>
          <w:szCs w:val="32"/>
        </w:rPr>
        <w:t>加快主体培育，近三年高企申报复合增长率全市最高，</w:t>
      </w:r>
      <w:r>
        <w:rPr>
          <w:rFonts w:hint="eastAsia" w:ascii="仿宋_GB2312" w:eastAsia="仿宋_GB2312"/>
          <w:b/>
          <w:bCs/>
          <w:sz w:val="32"/>
          <w:szCs w:val="32"/>
        </w:rPr>
        <w:t>常熟市</w:t>
      </w:r>
      <w:r>
        <w:rPr>
          <w:rFonts w:hint="eastAsia" w:ascii="仿宋_GB2312" w:eastAsia="仿宋_GB2312"/>
          <w:sz w:val="32"/>
          <w:szCs w:val="32"/>
        </w:rPr>
        <w:t>新增建有研发机构的规上工业企业全市第一，</w:t>
      </w:r>
      <w:r>
        <w:rPr>
          <w:rFonts w:hint="eastAsia" w:ascii="仿宋_GB2312" w:eastAsia="仿宋_GB2312"/>
          <w:b/>
          <w:bCs/>
          <w:sz w:val="32"/>
          <w:szCs w:val="32"/>
        </w:rPr>
        <w:t>太仓市</w:t>
      </w:r>
      <w:r>
        <w:rPr>
          <w:rFonts w:hint="eastAsia" w:ascii="仿宋_GB2312" w:eastAsia="仿宋_GB2312"/>
          <w:sz w:val="32"/>
          <w:szCs w:val="32"/>
        </w:rPr>
        <w:t>提升科技金融赋能成效，苏州首单“科创指数”线上贷落地太仓，</w:t>
      </w:r>
      <w:r>
        <w:rPr>
          <w:rFonts w:hint="eastAsia" w:ascii="仿宋_GB2312" w:eastAsia="仿宋_GB2312"/>
          <w:b/>
          <w:bCs/>
          <w:sz w:val="32"/>
          <w:szCs w:val="32"/>
        </w:rPr>
        <w:t>昆山市</w:t>
      </w:r>
      <w:r>
        <w:rPr>
          <w:rFonts w:hint="eastAsia" w:ascii="仿宋_GB2312" w:eastAsia="仿宋_GB2312"/>
          <w:sz w:val="32"/>
          <w:szCs w:val="32"/>
        </w:rPr>
        <w:t>高新技术产业、科技服务业增速全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市领先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b/>
          <w:bCs/>
          <w:sz w:val="32"/>
          <w:szCs w:val="32"/>
        </w:rPr>
        <w:t>吴江区</w:t>
      </w:r>
      <w:r>
        <w:rPr>
          <w:rFonts w:hint="eastAsia" w:ascii="仿宋_GB2312" w:eastAsia="仿宋_GB2312"/>
          <w:sz w:val="32"/>
          <w:szCs w:val="32"/>
        </w:rPr>
        <w:t>在低空经济、人行机器人等未来产业加速布局，</w:t>
      </w:r>
      <w:r>
        <w:rPr>
          <w:rFonts w:hint="eastAsia" w:ascii="仿宋_GB2312" w:eastAsia="仿宋_GB2312"/>
          <w:b/>
          <w:bCs/>
          <w:sz w:val="32"/>
          <w:szCs w:val="32"/>
        </w:rPr>
        <w:t>吴中区</w:t>
      </w:r>
      <w:r>
        <w:rPr>
          <w:rFonts w:hint="eastAsia" w:ascii="仿宋_GB2312" w:eastAsia="仿宋_GB2312"/>
          <w:sz w:val="32"/>
          <w:szCs w:val="32"/>
        </w:rPr>
        <w:t>积极招才引智，姑苏领军人才立项数进入全市第一方阵，</w:t>
      </w:r>
      <w:r>
        <w:rPr>
          <w:rFonts w:hint="eastAsia" w:ascii="仿宋_GB2312" w:eastAsia="仿宋_GB2312"/>
          <w:b/>
          <w:bCs/>
          <w:sz w:val="32"/>
          <w:szCs w:val="32"/>
        </w:rPr>
        <w:t>相城区</w:t>
      </w:r>
      <w:r>
        <w:rPr>
          <w:rFonts w:hint="eastAsia" w:ascii="仿宋_GB2312" w:eastAsia="仿宋_GB2312"/>
          <w:sz w:val="32"/>
          <w:szCs w:val="32"/>
        </w:rPr>
        <w:t>技术合同填报数较去年翻番，</w:t>
      </w:r>
      <w:r>
        <w:rPr>
          <w:rFonts w:hint="eastAsia" w:ascii="仿宋_GB2312" w:eastAsia="仿宋_GB2312"/>
          <w:b/>
          <w:bCs/>
          <w:sz w:val="32"/>
          <w:szCs w:val="32"/>
        </w:rPr>
        <w:t>姑苏区</w:t>
      </w:r>
      <w:r>
        <w:rPr>
          <w:rFonts w:hint="eastAsia" w:ascii="仿宋_GB2312" w:eastAsia="仿宋_GB2312"/>
          <w:sz w:val="32"/>
          <w:szCs w:val="32"/>
        </w:rPr>
        <w:t>市级独角兽培育企业实现突破，</w:t>
      </w:r>
      <w:r>
        <w:rPr>
          <w:rFonts w:hint="eastAsia" w:ascii="仿宋_GB2312" w:eastAsia="仿宋_GB2312"/>
          <w:b/>
          <w:bCs/>
          <w:sz w:val="32"/>
          <w:szCs w:val="32"/>
        </w:rPr>
        <w:t>苏州工业园区</w:t>
      </w:r>
      <w:r>
        <w:rPr>
          <w:rFonts w:hint="eastAsia" w:ascii="仿宋_GB2312" w:eastAsia="仿宋_GB2312"/>
          <w:sz w:val="32"/>
          <w:szCs w:val="32"/>
        </w:rPr>
        <w:t>综合排名保持全国第四，</w:t>
      </w:r>
      <w:r>
        <w:rPr>
          <w:rFonts w:hint="eastAsia" w:ascii="仿宋_GB2312" w:eastAsia="仿宋_GB2312"/>
          <w:b/>
          <w:bCs/>
          <w:sz w:val="32"/>
          <w:szCs w:val="32"/>
        </w:rPr>
        <w:t>苏州高新区、昆山高新区、常熟高新区</w:t>
      </w:r>
      <w:r>
        <w:rPr>
          <w:rFonts w:hint="eastAsia" w:ascii="仿宋_GB2312" w:eastAsia="仿宋_GB2312"/>
          <w:sz w:val="32"/>
          <w:szCs w:val="32"/>
        </w:rPr>
        <w:t>均实现进位。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在各板块的共同努力下，</w:t>
      </w:r>
      <w:r>
        <w:rPr>
          <w:rFonts w:hint="eastAsia" w:ascii="仿宋_GB2312" w:eastAsia="仿宋_GB2312"/>
          <w:sz w:val="32"/>
          <w:szCs w:val="32"/>
        </w:rPr>
        <w:t>全市全社会研发投入、技术成果成交额两个超千亿，</w:t>
      </w:r>
      <w:r>
        <w:rPr>
          <w:rFonts w:ascii="Times New Roman" w:hAnsi="Times New Roman" w:eastAsia="仿宋_GB2312" w:cs="Times New Roman"/>
          <w:sz w:val="32"/>
          <w:szCs w:val="32"/>
        </w:rPr>
        <w:t>研发强度预计4.15%左右，高新技术产业产值占规上工业总产值比重54%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，全面完成市委、市政府下达的各项目标任务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</w:rPr>
        <w:t>位列中国城市科技创新发展指数第四，上海—苏州科技集群蝉联全球第五。主要工作包括以下五个方面。</w:t>
      </w:r>
    </w:p>
    <w:p w14:paraId="0B2EB2B0">
      <w:pPr>
        <w:overflowPunct w:val="0"/>
        <w:topLinePunct/>
        <w:adjustRightInd w:val="0"/>
        <w:snapToGrid w:val="0"/>
        <w:spacing w:line="590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一是强统筹，推进工作体系协同发力。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组建市委科技委，统筹资源力量，加强科技创新全链条管理，全面构建更加高效的组织体系和创新体系。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出台苏州科创“18条”，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明确26项改革任务清单，列出路线图、时间表，加快科技体制机制改革向纵深推进。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实施科技创新“八大工程”及配套政策，强化科技创新对接产业创新的导向，集成政策支持科创企业培育、人才团队引进、平台载体建设和核心技术攻关。</w:t>
      </w:r>
    </w:p>
    <w:p w14:paraId="4FD46002">
      <w:pPr>
        <w:spacing w:line="590" w:lineRule="exact"/>
        <w:ind w:firstLine="640" w:firstLineChars="200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二是强主体，推进企业创新能级提升。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运用“科创指数”，分层分类构建企业培育体系，</w:t>
      </w:r>
      <w:r>
        <w:rPr>
          <w:rFonts w:ascii="Times New Roman" w:hAnsi="Times New Roman" w:eastAsia="仿宋_GB2312" w:cs="Times New Roman"/>
          <w:sz w:val="32"/>
          <w:szCs w:val="32"/>
        </w:rPr>
        <w:t>国家科技型中小企业2.43万家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全国第一；潜在独角兽企业108家、全国第三；国家高新技术企业1.74万家、全国第四；独角兽企业18家、全国第六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。在国内率先实施外资企业创新专项，开展规上工业企业研发机构全覆盖行动，新增建有研发机构的规上工业企业2800家左右、建有率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达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80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%，提高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20.3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个百分点。落实企业科技税收优惠政策，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全市企业科技税收减免额432亿元、同比增长7.7%，有效激发企业创新活力。</w:t>
      </w:r>
    </w:p>
    <w:p w14:paraId="21741CAC">
      <w:pPr>
        <w:spacing w:line="59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三是强融合，推进科技产业深度对接。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聚焦产业需求，立项支持180项关键核心技术攻关和重大科技成果转化项目，加快技术研发突破。创新攻关机制，首次实施面向全球“揭榜挂帅”项目，发布41项需求榜单，总投入超50亿元。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突出龙头带动，累计培育建设创新联合体235家。英诺赛科全球首条8英寸硅基氮化镓量产线、芯三代碳化硅外延设备填补空白、乐聚全省首条人形机器人产线等一批重大成果涌现。5项通用项目获2023年度国家科学技术奖，58个项目（人）获2023年度江苏省科学技术奖，其中省企业技术创新奖全省第一。</w:t>
      </w:r>
    </w:p>
    <w:p w14:paraId="7E7CB431">
      <w:pPr>
        <w:spacing w:line="590" w:lineRule="exact"/>
        <w:ind w:firstLine="640" w:firstLineChars="200"/>
        <w:rPr>
          <w:rFonts w:hint="eastAsia" w:eastAsia="仿宋_GB2312"/>
          <w:snapToGrid w:val="0"/>
          <w:spacing w:val="-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四是强赋能，推进研发机构服务产业。</w:t>
      </w:r>
      <w:r>
        <w:rPr>
          <w:rFonts w:hint="eastAsia" w:eastAsia="仿宋_GB2312"/>
          <w:snapToGrid w:val="0"/>
          <w:spacing w:val="-2"/>
          <w:sz w:val="32"/>
          <w:szCs w:val="32"/>
        </w:rPr>
        <w:t>强化源头供给，服务保障苏州实验室“去筹攻坚”；高水平建设生物药、第三代半导体国家技术创新中心，获批省数字金融重点实验室、省机器人技术创新中心，牵头类全国重点实验室实现零的突破。启动建设首个全国高校区域技术转移转化中心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出台推进研发机构发展意见，</w:t>
      </w:r>
      <w:r>
        <w:rPr>
          <w:rFonts w:hint="eastAsia" w:eastAsia="仿宋_GB2312"/>
          <w:snapToGrid w:val="0"/>
          <w:spacing w:val="-2"/>
          <w:sz w:val="32"/>
          <w:szCs w:val="32"/>
        </w:rPr>
        <w:t>组建新能源、光子、新型显示等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8个</w:t>
      </w:r>
      <w:r>
        <w:rPr>
          <w:rFonts w:hint="eastAsia" w:eastAsia="仿宋_GB2312"/>
          <w:snapToGrid w:val="0"/>
          <w:spacing w:val="-2"/>
          <w:sz w:val="32"/>
          <w:szCs w:val="32"/>
        </w:rPr>
        <w:t>产业科创联盟，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推进400余家研发机构提升可持续发展能力</w:t>
      </w:r>
      <w:r>
        <w:rPr>
          <w:rFonts w:hint="eastAsia" w:eastAsia="仿宋_GB2312"/>
          <w:snapToGrid w:val="0"/>
          <w:spacing w:val="-2"/>
          <w:sz w:val="32"/>
          <w:szCs w:val="32"/>
        </w:rPr>
        <w:t>。</w:t>
      </w:r>
    </w:p>
    <w:p w14:paraId="1119C778">
      <w:pPr>
        <w:spacing w:line="59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五是强生态，推进创新资源加速集聚。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在清华大学等一流高校周边建立科创飞地，海外布局26家离岸创新中心，</w:t>
      </w:r>
      <w:r>
        <w:rPr>
          <w:rFonts w:hint="eastAsia" w:eastAsia="仿宋_GB2312"/>
          <w:snapToGrid w:val="0"/>
          <w:spacing w:val="-2"/>
          <w:sz w:val="32"/>
          <w:szCs w:val="32"/>
        </w:rPr>
        <w:t>招引科创项目超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1万</w:t>
      </w:r>
      <w:r>
        <w:rPr>
          <w:rFonts w:hint="eastAsia" w:eastAsia="仿宋_GB2312"/>
          <w:snapToGrid w:val="0"/>
          <w:spacing w:val="-2"/>
          <w:sz w:val="32"/>
          <w:szCs w:val="32"/>
        </w:rPr>
        <w:t>个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。以姑苏人才计划为牵引，紧贴产业需求靶向引育，累计支持顶尖人才（团队）10个，重大创新团队62个，</w:t>
      </w:r>
      <w:r>
        <w:rPr>
          <w:rFonts w:hint="eastAsia" w:eastAsia="仿宋_GB2312"/>
          <w:snapToGrid w:val="0"/>
          <w:spacing w:val="-2"/>
          <w:sz w:val="32"/>
          <w:szCs w:val="32"/>
        </w:rPr>
        <w:t>姑苏创新创业领军人才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3832人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eastAsia="仿宋_GB2312"/>
          <w:snapToGrid w:val="0"/>
          <w:spacing w:val="-2"/>
          <w:sz w:val="32"/>
          <w:szCs w:val="32"/>
        </w:rPr>
        <w:t>国家级、省级人才核心指标保持全国、全省前列。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4家国家高新区综合排名“一保持三提升”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。</w:t>
      </w:r>
      <w:r>
        <w:rPr>
          <w:rFonts w:hint="eastAsia" w:eastAsia="仿宋_GB2312"/>
          <w:snapToGrid w:val="0"/>
          <w:spacing w:val="-2"/>
          <w:sz w:val="32"/>
          <w:szCs w:val="32"/>
        </w:rPr>
        <w:t>推广“科创指数贷”，首创重大科技攻关综合保险，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支持1.6万家科技企业融资超3000亿元。</w:t>
      </w:r>
    </w:p>
    <w:p w14:paraId="3181D943">
      <w:pPr>
        <w:spacing w:line="59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这些成绩的取得，是市委、市政府正确领导、科学决策的结果，也是全市科技战线奋力争先、真抓实干的结果。在此，我谨代表苏州市科技局向大家表示衷心的感谢!</w:t>
      </w:r>
    </w:p>
    <w:p w14:paraId="6938F0DB">
      <w:pPr>
        <w:spacing w:line="59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在看到优势、坚定信心的同时，也要清醒地看到，虽然我们的研发投入、国家级人才、企业孵化器等指标都位居全国前列，但是从产出看，与主要城市相比差距较大。</w:t>
      </w:r>
      <w:r>
        <w:rPr>
          <w:rFonts w:hint="eastAsia" w:ascii="楷体_GB2312" w:eastAsia="楷体_GB2312"/>
          <w:sz w:val="32"/>
          <w:szCs w:val="32"/>
        </w:rPr>
        <w:t>一是企业创新能力还不够强，</w:t>
      </w:r>
      <w:r>
        <w:rPr>
          <w:rFonts w:hint="eastAsia" w:ascii="仿宋_GB2312" w:eastAsia="仿宋_GB2312"/>
          <w:sz w:val="32"/>
          <w:szCs w:val="32"/>
        </w:rPr>
        <w:t>企业研发投入相对不足</w:t>
      </w:r>
      <w:r>
        <w:rPr>
          <w:rFonts w:ascii="Times New Roman" w:hAnsi="Times New Roman" w:eastAsia="仿宋_GB2312" w:cs="Times New Roman"/>
          <w:sz w:val="32"/>
          <w:szCs w:val="32"/>
        </w:rPr>
        <w:t>，2023年苏州全社会研发投入规模约为深圳的1/2、北京的1/3。我市没有企业上榜全国民营企业研发投入前十，仅有2家投入超10亿元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hint="eastAsia" w:ascii="楷体_GB2312" w:eastAsia="楷体_GB2312"/>
          <w:sz w:val="32"/>
          <w:szCs w:val="32"/>
        </w:rPr>
        <w:t>二是科研产出效率还不够高，</w:t>
      </w:r>
      <w:r>
        <w:rPr>
          <w:rFonts w:hint="eastAsia" w:ascii="仿宋_GB2312" w:eastAsia="仿宋_GB2312"/>
          <w:sz w:val="32"/>
          <w:szCs w:val="32"/>
        </w:rPr>
        <w:t>“十三五”至今，我市两级政府重点支持的、尚在共建期的非市属高校及重大科创平台有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35家，预计总投入超900亿元，但科研产出效率不高，2024年技术合同成交额约为上海的1/5。</w:t>
      </w:r>
      <w:r>
        <w:rPr>
          <w:rFonts w:hint="eastAsia" w:ascii="楷体_GB2312" w:eastAsia="楷体_GB2312"/>
          <w:sz w:val="32"/>
          <w:szCs w:val="32"/>
        </w:rPr>
        <w:t>三是标志性顶尖人才还不够多，</w:t>
      </w:r>
      <w:r>
        <w:rPr>
          <w:rFonts w:hint="eastAsia" w:ascii="仿宋_GB2312" w:eastAsia="仿宋_GB2312"/>
          <w:sz w:val="32"/>
          <w:szCs w:val="32"/>
        </w:rPr>
        <w:t>目前苏州有全职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两院院士13人，而深圳有49人、另外还有科技发达国家院士49人，大院大所等创新平台对高端人才的吸引力不足。</w:t>
      </w:r>
    </w:p>
    <w:p w14:paraId="4246238A">
      <w:pPr>
        <w:pStyle w:val="37"/>
        <w:spacing w:line="590" w:lineRule="exact"/>
        <w:ind w:firstLine="640"/>
        <w:outlineLvl w:val="0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二、</w:t>
      </w:r>
      <w:r>
        <w:rPr>
          <w:rFonts w:ascii="Times New Roman" w:hAnsi="Times New Roman" w:eastAsia="黑体"/>
          <w:sz w:val="32"/>
          <w:szCs w:val="32"/>
        </w:rPr>
        <w:t>202</w:t>
      </w:r>
      <w:r>
        <w:rPr>
          <w:rFonts w:hint="eastAsia" w:ascii="Times New Roman" w:hAnsi="Times New Roman" w:eastAsia="黑体"/>
          <w:sz w:val="32"/>
          <w:szCs w:val="32"/>
        </w:rPr>
        <w:t>5</w:t>
      </w:r>
      <w:r>
        <w:rPr>
          <w:rFonts w:ascii="黑体" w:hAnsi="黑体" w:eastAsia="黑体" w:cs="仿宋_GB2312"/>
          <w:sz w:val="32"/>
          <w:szCs w:val="32"/>
        </w:rPr>
        <w:t>年工作打算</w:t>
      </w:r>
    </w:p>
    <w:p w14:paraId="41CC3F78">
      <w:pPr>
        <w:spacing w:line="59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2025年，全市科技工作将坚持以习近平新时代中国特色社会主义思想为指导，全面贯彻落实全国、全省科技大会精神，认真落实市委、市政府部署要求，</w:t>
      </w:r>
      <w:r>
        <w:rPr>
          <w:rFonts w:hint="eastAsia" w:ascii="黑体" w:hAnsi="黑体" w:eastAsia="黑体"/>
          <w:sz w:val="32"/>
          <w:szCs w:val="32"/>
          <w:lang w:bidi="ar"/>
        </w:rPr>
        <w:t>以打造全球科创新高地为总目标，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突出“</w:t>
      </w:r>
      <w:r>
        <w:rPr>
          <w:rFonts w:hint="eastAsia" w:ascii="黑体" w:hAnsi="黑体" w:eastAsia="黑体"/>
          <w:sz w:val="32"/>
          <w:szCs w:val="32"/>
          <w:lang w:bidi="ar"/>
        </w:rPr>
        <w:t>企业能级提升、关键技术攻关、研发机构赋能产业、人才引领发展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”</w:t>
      </w:r>
      <w:r>
        <w:rPr>
          <w:rFonts w:hint="eastAsia" w:ascii="黑体" w:hAnsi="黑体" w:eastAsia="黑体"/>
          <w:sz w:val="32"/>
          <w:szCs w:val="32"/>
          <w:lang w:bidi="ar"/>
        </w:rPr>
        <w:t>四条主线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，深入</w:t>
      </w:r>
      <w:r>
        <w:rPr>
          <w:rFonts w:hint="eastAsia" w:ascii="黑体" w:hAnsi="黑体" w:eastAsia="黑体"/>
          <w:sz w:val="32"/>
          <w:szCs w:val="32"/>
          <w:lang w:bidi="ar"/>
        </w:rPr>
        <w:t>实施五大行动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，加快完善以市场为导向、企业为主体、产品为核心的创新体系，加速</w:t>
      </w:r>
      <w:r>
        <w:rPr>
          <w:rFonts w:hint="eastAsia" w:ascii="仿宋_GB2312" w:eastAsia="仿宋_GB2312"/>
          <w:sz w:val="32"/>
          <w:szCs w:val="32"/>
          <w:lang w:bidi="ar"/>
        </w:rPr>
        <w:t>集聚一批海内外高层次人才，形成一批标志性创新成果，打造一批具有国际影响力的科技领军企业，</w:t>
      </w:r>
      <w:r>
        <w:rPr>
          <w:rFonts w:hint="eastAsia" w:eastAsia="仿宋_GB2312"/>
          <w:snapToGrid w:val="0"/>
          <w:spacing w:val="-4"/>
          <w:kern w:val="0"/>
          <w:sz w:val="32"/>
        </w:rPr>
        <w:t>全方位“提质增效”，激发新活力，实现新突破。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力争2025年</w:t>
      </w:r>
      <w:r>
        <w:rPr>
          <w:rFonts w:ascii="Times New Roman" w:hAnsi="Times New Roman" w:eastAsia="仿宋_GB2312" w:cs="Times New Roman"/>
          <w:sz w:val="32"/>
          <w:szCs w:val="32"/>
        </w:rPr>
        <w:t>全社会研发投入占GDP比重4.2%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左右</w:t>
      </w:r>
      <w:r>
        <w:rPr>
          <w:rFonts w:ascii="Times New Roman" w:hAnsi="Times New Roman" w:eastAsia="仿宋_GB2312" w:cs="Times New Roman"/>
          <w:sz w:val="32"/>
          <w:szCs w:val="32"/>
        </w:rPr>
        <w:t>，高新技术产业产值占规上工业总产值的比重5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%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，各类创新性指标力争保持10%左右增长。</w:t>
      </w:r>
    </w:p>
    <w:p w14:paraId="3FA77AAA">
      <w:pPr>
        <w:spacing w:line="590" w:lineRule="exact"/>
        <w:ind w:firstLine="640" w:firstLineChars="200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（一）实施科技企业领航行动，提升企业竞争力。</w:t>
      </w:r>
      <w:r>
        <w:rPr>
          <w:rFonts w:hint="eastAsia" w:ascii="仿宋_GB2312" w:eastAsia="仿宋_GB2312"/>
          <w:b/>
          <w:bCs/>
          <w:sz w:val="32"/>
          <w:szCs w:val="32"/>
        </w:rPr>
        <w:t>一是壮大创新型企业集群，</w:t>
      </w:r>
      <w:r>
        <w:rPr>
          <w:rFonts w:hint="eastAsia" w:ascii="仿宋_GB2312" w:eastAsia="仿宋_GB2312"/>
          <w:sz w:val="32"/>
          <w:szCs w:val="32"/>
        </w:rPr>
        <w:t>市县（区）联动加大科技招商力度，构建“企业+”科创矩阵，加强科技领军企业、独角兽、瞪羚、高企等创新型企业梯度培育，力争</w:t>
      </w:r>
      <w:r>
        <w:rPr>
          <w:rFonts w:ascii="Times New Roman" w:hAnsi="Times New Roman" w:eastAsia="仿宋_GB2312" w:cs="Times New Roman"/>
          <w:sz w:val="32"/>
          <w:szCs w:val="32"/>
        </w:rPr>
        <w:t>新增科技项目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超</w:t>
      </w:r>
      <w:r>
        <w:rPr>
          <w:rFonts w:ascii="Times New Roman" w:hAnsi="Times New Roman" w:eastAsia="仿宋_GB2312" w:cs="Times New Roman"/>
          <w:sz w:val="32"/>
          <w:szCs w:val="32"/>
        </w:rPr>
        <w:t>1万个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高</w:t>
      </w:r>
      <w:r>
        <w:rPr>
          <w:rFonts w:ascii="Times New Roman" w:hAnsi="Times New Roman" w:eastAsia="仿宋_GB2312" w:cs="Times New Roman"/>
          <w:sz w:val="32"/>
          <w:szCs w:val="32"/>
        </w:rPr>
        <w:t>企超1.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9</w:t>
      </w:r>
      <w:r>
        <w:rPr>
          <w:rFonts w:ascii="Times New Roman" w:hAnsi="Times New Roman" w:eastAsia="仿宋_GB2312" w:cs="Times New Roman"/>
          <w:sz w:val="32"/>
          <w:szCs w:val="32"/>
        </w:rPr>
        <w:t>万家，科技型中小企业超2.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7</w:t>
      </w:r>
      <w:r>
        <w:rPr>
          <w:rFonts w:ascii="Times New Roman" w:hAnsi="Times New Roman" w:eastAsia="仿宋_GB2312" w:cs="Times New Roman"/>
          <w:sz w:val="32"/>
          <w:szCs w:val="32"/>
        </w:rPr>
        <w:t>万家，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市“独角兽”培育企业280家。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二是提升企业创新能力，</w:t>
      </w:r>
      <w:r>
        <w:rPr>
          <w:rFonts w:hint="eastAsia" w:ascii="仿宋_GB2312" w:eastAsia="仿宋_GB2312"/>
          <w:sz w:val="32"/>
          <w:szCs w:val="32"/>
        </w:rPr>
        <w:t>深入实施外资企业科技创新专项，推动规上工业企业建设研发机构，支持</w:t>
      </w:r>
      <w:r>
        <w:rPr>
          <w:rFonts w:ascii="Times New Roman" w:hAnsi="Times New Roman" w:eastAsia="仿宋_GB2312" w:cs="Times New Roman"/>
          <w:sz w:val="32"/>
          <w:szCs w:val="32"/>
        </w:rPr>
        <w:t>龙头企业牵头组建任务型创新联合体</w:t>
      </w:r>
      <w:r>
        <w:rPr>
          <w:rFonts w:hint="eastAsia" w:ascii="仿宋_GB2312" w:eastAsia="仿宋_GB2312"/>
          <w:sz w:val="32"/>
          <w:szCs w:val="32"/>
        </w:rPr>
        <w:t>，共同开展联合攻关，力争</w:t>
      </w:r>
      <w:r>
        <w:rPr>
          <w:rFonts w:ascii="Times New Roman" w:hAnsi="Times New Roman" w:eastAsia="仿宋_GB2312" w:cs="Times New Roman"/>
          <w:sz w:val="32"/>
          <w:szCs w:val="32"/>
        </w:rPr>
        <w:t>规上工业研发机构建有率超90%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，创新联合体</w:t>
      </w:r>
      <w:r>
        <w:rPr>
          <w:rFonts w:ascii="Times New Roman" w:hAnsi="Times New Roman" w:eastAsia="仿宋_GB2312" w:cs="Times New Roman"/>
          <w:sz w:val="32"/>
          <w:szCs w:val="32"/>
        </w:rPr>
        <w:t>超300家。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三是优化企业发展环境，</w:t>
      </w:r>
      <w:bookmarkStart w:id="0" w:name="OLE_LINK1"/>
      <w:r>
        <w:rPr>
          <w:rFonts w:hint="eastAsia" w:ascii="仿宋_GB2312" w:eastAsia="仿宋_GB2312"/>
          <w:sz w:val="32"/>
          <w:szCs w:val="32"/>
        </w:rPr>
        <w:t>制定“科创指数惠”政策支持体系，集成各类惠企政策支持企业创新，实现惠企资金集中兑付、直达快享</w:t>
      </w:r>
      <w:bookmarkEnd w:id="0"/>
      <w:r>
        <w:rPr>
          <w:rFonts w:hint="eastAsia" w:ascii="仿宋_GB2312" w:eastAsia="仿宋_GB2312"/>
          <w:sz w:val="32"/>
          <w:szCs w:val="32"/>
        </w:rPr>
        <w:t>；高水平建设企业孵化器，力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争规上企业研发投入增幅10%，国家级科技企业孵化器超90家，省级以上孵化器保持全省第一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5BC48B6C">
      <w:pPr>
        <w:spacing w:line="59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（二）实施关键技术攻关突破行动，提升产业创新力。</w:t>
      </w:r>
      <w:r>
        <w:rPr>
          <w:rFonts w:hint="eastAsia" w:ascii="仿宋_GB2312" w:eastAsia="仿宋_GB2312"/>
          <w:b/>
          <w:bCs/>
          <w:sz w:val="32"/>
          <w:szCs w:val="32"/>
        </w:rPr>
        <w:t>一是聚焦产业需求，</w:t>
      </w:r>
      <w:r>
        <w:rPr>
          <w:rFonts w:hint="eastAsia" w:ascii="仿宋_GB2312" w:eastAsia="仿宋_GB2312"/>
          <w:sz w:val="32"/>
          <w:szCs w:val="32"/>
        </w:rPr>
        <w:t>围绕“</w:t>
      </w:r>
      <w:r>
        <w:rPr>
          <w:rFonts w:ascii="Times New Roman" w:hAnsi="Times New Roman" w:eastAsia="仿宋_GB2312" w:cs="Times New Roman"/>
          <w:sz w:val="32"/>
          <w:szCs w:val="32"/>
        </w:rPr>
        <w:t>1030</w:t>
      </w:r>
      <w:r>
        <w:rPr>
          <w:rFonts w:hint="eastAsia" w:ascii="仿宋_GB2312" w:eastAsia="仿宋_GB2312"/>
          <w:sz w:val="32"/>
          <w:szCs w:val="32"/>
        </w:rPr>
        <w:t>产业”，深入开展产业技术研究，一体化编制产业图谱、人才图谱、招商图谱，统筹做好技术攻关、人才引进、科技招商指引，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力争实现</w:t>
      </w:r>
      <w:r>
        <w:rPr>
          <w:rFonts w:hint="eastAsia" w:ascii="仿宋_GB2312" w:eastAsia="仿宋_GB2312"/>
          <w:sz w:val="32"/>
          <w:szCs w:val="32"/>
        </w:rPr>
        <w:t>重点领域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产</w:t>
      </w:r>
      <w:r>
        <w:rPr>
          <w:rFonts w:hint="eastAsia" w:ascii="仿宋_GB2312" w:eastAsia="仿宋_GB2312"/>
          <w:sz w:val="32"/>
          <w:szCs w:val="32"/>
        </w:rPr>
        <w:t>业技术图谱全覆盖。</w:t>
      </w:r>
      <w:r>
        <w:rPr>
          <w:rFonts w:hint="eastAsia" w:ascii="仿宋_GB2312" w:eastAsia="仿宋_GB2312"/>
          <w:b/>
          <w:bCs/>
          <w:sz w:val="32"/>
          <w:szCs w:val="32"/>
        </w:rPr>
        <w:t>二是聚焦技术突破，</w:t>
      </w:r>
      <w:r>
        <w:rPr>
          <w:rFonts w:hint="eastAsia" w:ascii="仿宋_GB2312" w:eastAsia="仿宋_GB2312"/>
          <w:sz w:val="32"/>
          <w:szCs w:val="32"/>
        </w:rPr>
        <w:t>推动科研平台与企业共同凝练关键技术清单，项目化推动联合攻关，力争实施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100项重</w:t>
      </w:r>
      <w:r>
        <w:rPr>
          <w:rFonts w:hint="eastAsia" w:ascii="仿宋_GB2312" w:eastAsia="仿宋_GB2312"/>
          <w:sz w:val="32"/>
          <w:szCs w:val="32"/>
        </w:rPr>
        <w:t>大技术攻关项目，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在GPU芯</w:t>
      </w:r>
      <w:r>
        <w:rPr>
          <w:rFonts w:hint="eastAsia" w:ascii="仿宋_GB2312" w:eastAsia="仿宋_GB2312"/>
          <w:sz w:val="32"/>
          <w:szCs w:val="32"/>
        </w:rPr>
        <w:t>片、合成生物、精密高效增材制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造、EUV光</w:t>
      </w:r>
      <w:r>
        <w:rPr>
          <w:rFonts w:hint="eastAsia" w:ascii="仿宋_GB2312" w:eastAsia="仿宋_GB2312"/>
          <w:sz w:val="32"/>
          <w:szCs w:val="32"/>
        </w:rPr>
        <w:t>源等关键环节取得重大突破。</w:t>
      </w:r>
      <w:r>
        <w:rPr>
          <w:rFonts w:hint="eastAsia" w:ascii="仿宋_GB2312" w:eastAsia="仿宋_GB2312"/>
          <w:b/>
          <w:bCs/>
          <w:sz w:val="32"/>
          <w:szCs w:val="32"/>
        </w:rPr>
        <w:t>三是聚焦机制创新，</w:t>
      </w:r>
      <w:r>
        <w:rPr>
          <w:rFonts w:hint="eastAsia" w:ascii="仿宋_GB2312" w:eastAsia="仿宋_GB2312"/>
          <w:sz w:val="32"/>
          <w:szCs w:val="32"/>
        </w:rPr>
        <w:t>优化全球“揭榜挂帅”组织方式，常态化征集企业技术需求，支持行业领军企业牵头实施“揭榜挂帅”重大攻关项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目20</w:t>
      </w:r>
      <w:r>
        <w:rPr>
          <w:rFonts w:hint="eastAsia" w:ascii="仿宋_GB2312" w:eastAsia="仿宋_GB2312"/>
          <w:sz w:val="32"/>
          <w:szCs w:val="32"/>
        </w:rPr>
        <w:t>项左右，加快推出更多具有竞争力的产品。</w:t>
      </w:r>
    </w:p>
    <w:p w14:paraId="23E30005">
      <w:pPr>
        <w:spacing w:line="590" w:lineRule="exact"/>
        <w:ind w:firstLine="640" w:firstLineChars="200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（三）实施创新平台赋能行动，提升平台引领力。</w:t>
      </w:r>
      <w:r>
        <w:rPr>
          <w:rFonts w:hint="eastAsia" w:ascii="仿宋_GB2312" w:eastAsia="仿宋_GB2312"/>
          <w:b/>
          <w:bCs/>
          <w:sz w:val="32"/>
          <w:szCs w:val="32"/>
        </w:rPr>
        <w:t>一是强化实验室体系建设，</w:t>
      </w:r>
      <w:r>
        <w:rPr>
          <w:rFonts w:hint="eastAsia" w:ascii="仿宋_GB2312" w:eastAsia="仿宋_GB2312"/>
          <w:sz w:val="32"/>
          <w:szCs w:val="32"/>
        </w:rPr>
        <w:t>全力服务保障苏州实验室建设，争取材料综合研究设施纳入国家“十五五”重大科技基础设施，推动企业与苏州实验室共建联合实验室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</w:rPr>
        <w:t>围绕核损伤防治、半导体等领域争创全国重点实验室，在高端材料、能源环保等领域参与省重点实验室重组。力争累计获批省级及以上重点实验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室20家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hint="eastAsia" w:ascii="仿宋_GB2312" w:eastAsia="仿宋_GB2312"/>
          <w:b/>
          <w:bCs/>
          <w:sz w:val="32"/>
          <w:szCs w:val="32"/>
        </w:rPr>
        <w:t>二是强化重大平台源头创新，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高标准建设</w:t>
      </w:r>
      <w:r>
        <w:rPr>
          <w:rFonts w:hint="eastAsia" w:ascii="仿宋_GB2312" w:eastAsia="仿宋_GB2312"/>
          <w:sz w:val="32"/>
          <w:szCs w:val="32"/>
        </w:rPr>
        <w:t>“一区两中心”等平台，支持中科院苏州医工所建设生物医学工程人工智能研究院，支持哈尔滨工业大学、西安交通大学、河海大学、湖南大学建设高等研究院，加快创新产出，集聚一流人才，引领产业创新。</w:t>
      </w:r>
      <w:r>
        <w:rPr>
          <w:rFonts w:hint="eastAsia" w:ascii="仿宋_GB2312" w:eastAsia="仿宋_GB2312"/>
          <w:b/>
          <w:bCs/>
          <w:sz w:val="32"/>
          <w:szCs w:val="32"/>
        </w:rPr>
        <w:t>三是强化研发机构赋能产业，</w:t>
      </w:r>
      <w:r>
        <w:rPr>
          <w:rFonts w:hint="eastAsia" w:ascii="仿宋_GB2312" w:eastAsia="仿宋_GB2312"/>
          <w:sz w:val="32"/>
          <w:szCs w:val="32"/>
        </w:rPr>
        <w:t>实施研发机构赋能十大举措，做实做强产业科创联盟，建设一批专业化产业技术服务平台，开发行业垂直大模型，推动研发机构与龙头企业结对发展，共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建300家</w:t>
      </w:r>
      <w:r>
        <w:rPr>
          <w:rFonts w:hint="eastAsia" w:ascii="仿宋_GB2312" w:eastAsia="仿宋_GB2312"/>
          <w:sz w:val="32"/>
          <w:szCs w:val="32"/>
        </w:rPr>
        <w:t>联合研发中心，面向企业提供高质量技术供给。</w:t>
      </w:r>
    </w:p>
    <w:p w14:paraId="33B83BE7">
      <w:pPr>
        <w:spacing w:line="590" w:lineRule="exact"/>
        <w:ind w:firstLine="640" w:firstLineChars="200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（四）实施创新人才引领行动，提升人才集聚力。</w:t>
      </w:r>
      <w:r>
        <w:rPr>
          <w:rFonts w:hint="eastAsia" w:ascii="仿宋_GB2312" w:eastAsia="仿宋_GB2312"/>
          <w:b/>
          <w:bCs/>
          <w:sz w:val="32"/>
          <w:szCs w:val="32"/>
        </w:rPr>
        <w:t>一是拓展引人聚才网络，</w:t>
      </w:r>
      <w:r>
        <w:rPr>
          <w:rFonts w:hint="eastAsia" w:ascii="仿宋_GB2312" w:eastAsia="仿宋_GB2312"/>
          <w:sz w:val="32"/>
          <w:szCs w:val="32"/>
        </w:rPr>
        <w:t>推动人才招引与科技招商深度融合，国内在一流高校周边建设“科创飞地”，国外布局海外离岸创新中心，持续拓展招引网络，做强苏州国际路演中心功能，组织“赢在苏州”全球创新创业大赛，“以赛代引”推进人才落户。</w:t>
      </w:r>
      <w:r>
        <w:rPr>
          <w:rFonts w:hint="eastAsia" w:ascii="仿宋_GB2312" w:eastAsia="仿宋_GB2312"/>
          <w:b/>
          <w:bCs/>
          <w:sz w:val="32"/>
          <w:szCs w:val="32"/>
        </w:rPr>
        <w:t>二是集聚全球高端人才，</w:t>
      </w:r>
      <w:r>
        <w:rPr>
          <w:rFonts w:hint="eastAsia" w:ascii="仿宋_GB2312" w:eastAsia="仿宋_GB2312"/>
          <w:sz w:val="32"/>
          <w:szCs w:val="32"/>
        </w:rPr>
        <w:t>加快建设科技人才信息中心，构建“情报信息、跟踪对接、引进落地”三大体系，“成建制”引进一批产业创新高端人才。优化姑苏领军人才计划，实施“海外、未落户”专项，力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争新增姑苏领军人才350人左右，</w:t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t>入选HJ40人左右，入选省SC创新类80人左右，位列全国全省前列。</w:t>
      </w:r>
      <w:r>
        <w:rPr>
          <w:rFonts w:hint="eastAsia" w:ascii="仿宋_GB2312" w:eastAsia="仿宋_GB2312"/>
          <w:b/>
          <w:bCs/>
          <w:sz w:val="32"/>
          <w:szCs w:val="32"/>
        </w:rPr>
        <w:t>三是建强青年科技人才队伍，</w:t>
      </w:r>
      <w:r>
        <w:rPr>
          <w:rFonts w:hint="eastAsia" w:ascii="仿宋_GB2312" w:eastAsia="仿宋_GB2312"/>
          <w:sz w:val="32"/>
          <w:szCs w:val="32"/>
        </w:rPr>
        <w:t>鼓励青年人才创新创业，推动筹建李政道教育和科学基金会，面向全球评选青年科学家，举办全球青年科学家峰会。力</w:t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t>争新增青年科技领军人才项目100个，评选青年科学家30人。</w:t>
      </w:r>
      <w:r>
        <w:rPr>
          <w:rFonts w:hint="eastAsia" w:ascii="仿宋_GB2312" w:eastAsia="仿宋_GB2312"/>
          <w:b/>
          <w:bCs/>
          <w:sz w:val="32"/>
          <w:szCs w:val="32"/>
        </w:rPr>
        <w:t>四是强化人才服务保障，</w:t>
      </w:r>
      <w:r>
        <w:rPr>
          <w:rFonts w:hint="eastAsia" w:ascii="仿宋_GB2312" w:eastAsia="仿宋_GB2312"/>
          <w:sz w:val="32"/>
          <w:szCs w:val="32"/>
        </w:rPr>
        <w:t>加快建设科技商学院，打造科创企业家服务生态圈，推动人才、金融、产业、技术、市场等要素对接，促进人才企业加速发展</w:t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t>，力争服务覆盖人才企业超1000家次。</w:t>
      </w:r>
    </w:p>
    <w:p w14:paraId="61D6E001">
      <w:pPr>
        <w:spacing w:line="590" w:lineRule="exact"/>
        <w:ind w:firstLine="640" w:firstLineChars="200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（五）实施创新生态优化行动，提升环境吸引力。</w:t>
      </w:r>
      <w:r>
        <w:rPr>
          <w:rFonts w:hint="eastAsia" w:ascii="仿宋_GB2312" w:eastAsia="仿宋_GB2312"/>
          <w:b/>
          <w:bCs/>
          <w:sz w:val="32"/>
          <w:szCs w:val="32"/>
        </w:rPr>
        <w:t>一是提升科技成果转化水平，</w:t>
      </w:r>
      <w:r>
        <w:rPr>
          <w:rFonts w:hint="eastAsia" w:ascii="仿宋_GB2312" w:eastAsia="仿宋_GB2312"/>
          <w:sz w:val="32"/>
          <w:szCs w:val="32"/>
        </w:rPr>
        <w:t>出台专项支持政策，推进全国高校区域技术转移转化中心建设，引导科研平台、企业牵头建设概念验证中心和中试工程化服务平台；持续推进科技成果转化机制改革，加强技术经理人队伍建设，力争技术合同成交</w:t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t>额1250亿</w:t>
      </w:r>
      <w:r>
        <w:rPr>
          <w:rFonts w:hint="eastAsia" w:ascii="仿宋_GB2312" w:eastAsia="仿宋_GB2312"/>
          <w:sz w:val="32"/>
          <w:szCs w:val="32"/>
        </w:rPr>
        <w:t>元。</w:t>
      </w:r>
      <w:r>
        <w:rPr>
          <w:rFonts w:hint="eastAsia" w:ascii="仿宋_GB2312" w:eastAsia="仿宋_GB2312"/>
          <w:b/>
          <w:bCs/>
          <w:sz w:val="32"/>
          <w:szCs w:val="32"/>
        </w:rPr>
        <w:t>二是提升国际科技合作水平，</w:t>
      </w:r>
      <w:r>
        <w:rPr>
          <w:rFonts w:hint="eastAsia" w:ascii="仿宋_GB2312" w:eastAsia="仿宋_GB2312"/>
          <w:sz w:val="32"/>
          <w:szCs w:val="32"/>
        </w:rPr>
        <w:t>巩固拓展与新加坡、德国等国家和港澳地区的科技创新合作。深入推动深时数字地球国际大科学计划实施，积极参加国际大科学计划和大科学工程。鼓励设立发展国际科技组织。</w:t>
      </w:r>
      <w:r>
        <w:rPr>
          <w:rFonts w:hint="eastAsia" w:ascii="仿宋_GB2312" w:eastAsia="仿宋_GB2312"/>
          <w:b/>
          <w:bCs/>
          <w:sz w:val="32"/>
          <w:szCs w:val="32"/>
        </w:rPr>
        <w:t>三是提升高新园区发展水平，</w:t>
      </w:r>
      <w:r>
        <w:rPr>
          <w:rFonts w:hint="eastAsia" w:ascii="仿宋_GB2312" w:eastAsia="仿宋_GB2312"/>
          <w:sz w:val="32"/>
          <w:szCs w:val="32"/>
        </w:rPr>
        <w:t>推动高新区加快发展新质生产力，做大做优国家创新型产业集群，加强新赛道前瞻布局。支持汾湖高新区、太仓高新区升级为国家高新区；支持吴中高新区、吴江高新区、常熟虞山高新</w:t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t>区3个</w:t>
      </w:r>
      <w:r>
        <w:rPr>
          <w:rFonts w:hint="eastAsia" w:ascii="仿宋_GB2312" w:eastAsia="仿宋_GB2312"/>
          <w:sz w:val="32"/>
          <w:szCs w:val="32"/>
        </w:rPr>
        <w:t>省级高新区去筹。</w:t>
      </w:r>
      <w:r>
        <w:rPr>
          <w:rFonts w:hint="eastAsia" w:ascii="仿宋_GB2312" w:eastAsia="仿宋_GB2312"/>
          <w:b/>
          <w:bCs/>
          <w:sz w:val="32"/>
          <w:szCs w:val="32"/>
        </w:rPr>
        <w:t>四是提升</w:t>
      </w:r>
      <w:bookmarkStart w:id="1" w:name="OLE_LINK2"/>
      <w:r>
        <w:rPr>
          <w:rFonts w:hint="eastAsia" w:ascii="仿宋_GB2312" w:eastAsia="仿宋_GB2312"/>
          <w:b/>
          <w:bCs/>
          <w:sz w:val="32"/>
          <w:szCs w:val="32"/>
        </w:rPr>
        <w:t>科技金融服务水平，</w:t>
      </w:r>
      <w:bookmarkEnd w:id="1"/>
      <w:r>
        <w:rPr>
          <w:rFonts w:hint="eastAsia" w:ascii="仿宋_GB2312" w:eastAsia="仿宋_GB2312"/>
          <w:sz w:val="32"/>
          <w:szCs w:val="32"/>
        </w:rPr>
        <w:t>拓展“科创指数”应用场景，构建基于“科创指数”的投、贷、保、担科技金融服务体系，力争</w:t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t>“科创指数贷”支持中小科技企业超2万家，科技贷款余额超7000亿元。</w:t>
      </w:r>
    </w:p>
    <w:p w14:paraId="0B5DD36F">
      <w:pPr>
        <w:spacing w:line="59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今年，我市科技创新任务艰巨，市委市政府对科技指标提出了更高要求，全市科技系统要进一步改进工作作风，提高工作效能和服务水平，确保取得扎扎实实的成效。</w:t>
      </w:r>
      <w:r>
        <w:rPr>
          <w:rFonts w:hint="eastAsia" w:ascii="楷体_GB2312" w:hAnsi="Times New Roman" w:eastAsia="楷体_GB2312" w:cs="Times New Roman"/>
          <w:sz w:val="32"/>
          <w:szCs w:val="32"/>
        </w:rPr>
        <w:t>要进一步强化科技创新实干担当。</w:t>
      </w:r>
      <w:r>
        <w:rPr>
          <w:rFonts w:hint="eastAsia" w:ascii="仿宋_GB2312" w:eastAsia="仿宋_GB2312"/>
          <w:sz w:val="32"/>
          <w:szCs w:val="32"/>
        </w:rPr>
        <w:t>今天的会议就是一次工作动员会、部署会，各板块要全面落实责任措施，把目标任务分解到处室、具体到项目、量化到个人，确保工作上落实到位，政策上配套到位，力量上配备到位，督查上跟踪到位。</w:t>
      </w:r>
      <w:r>
        <w:rPr>
          <w:rFonts w:hint="eastAsia" w:ascii="楷体_GB2312" w:hAnsi="Times New Roman" w:eastAsia="楷体_GB2312" w:cs="Times New Roman"/>
          <w:sz w:val="32"/>
          <w:szCs w:val="32"/>
        </w:rPr>
        <w:t>要进一步加大对上争取力度。</w:t>
      </w:r>
      <w:bookmarkStart w:id="2" w:name="OLE_LINK4"/>
      <w:r>
        <w:rPr>
          <w:rFonts w:hint="eastAsia" w:ascii="仿宋_GB2312" w:eastAsia="仿宋_GB2312"/>
          <w:sz w:val="32"/>
          <w:szCs w:val="32"/>
        </w:rPr>
        <w:t>积极跟踪研究国家、省级改革动向、政策举措，围绕平台载体、“两重”、“两新”、央地协同、人才服务等方面，争取重大项目试点、改革试点在苏州落地。</w:t>
      </w:r>
      <w:bookmarkEnd w:id="2"/>
      <w:r>
        <w:rPr>
          <w:rFonts w:hint="eastAsia" w:ascii="楷体_GB2312" w:hAnsi="Times New Roman" w:eastAsia="楷体_GB2312" w:cs="Times New Roman"/>
          <w:sz w:val="32"/>
          <w:szCs w:val="32"/>
        </w:rPr>
        <w:t>要进一步提升企业服务成效。</w:t>
      </w:r>
      <w:r>
        <w:rPr>
          <w:rFonts w:hint="eastAsia" w:ascii="仿宋_GB2312" w:eastAsia="仿宋_GB2312"/>
          <w:sz w:val="32"/>
          <w:szCs w:val="32"/>
        </w:rPr>
        <w:t>以服务科技企业为基本出发点，坚持问需于企、问计于企、问效于企，组织系列品牌活动，每月针对细分领域，在政策宣传、项目申报、资金兑现等方面提供专业服务，提高科技影响力。</w:t>
      </w:r>
      <w:r>
        <w:rPr>
          <w:rFonts w:hint="eastAsia" w:ascii="楷体_GB2312" w:hAnsi="Times New Roman" w:eastAsia="楷体_GB2312" w:cs="Times New Roman"/>
          <w:sz w:val="32"/>
          <w:szCs w:val="32"/>
        </w:rPr>
        <w:t>要进一步锻造高素质干部队伍。</w:t>
      </w:r>
      <w:r>
        <w:rPr>
          <w:rFonts w:hint="eastAsia" w:ascii="仿宋_GB2312" w:eastAsia="仿宋_GB2312"/>
          <w:sz w:val="32"/>
          <w:szCs w:val="32"/>
        </w:rPr>
        <w:t>加强实践锻炼、专业训练，不断增强干部推动高水平科技自立自强本领、服务高质量发展本领、防范化解风险本领。聚焦重点任务部署，整合力量，专班化推进，确保各项工作贯通融合、高效协作。</w:t>
      </w:r>
      <w:r>
        <w:rPr>
          <w:rFonts w:hint="eastAsia" w:ascii="楷体_GB2312" w:hAnsi="Times New Roman" w:eastAsia="楷体_GB2312" w:cs="Times New Roman"/>
          <w:sz w:val="32"/>
          <w:szCs w:val="32"/>
        </w:rPr>
        <w:t>要进一步营造清正廉洁干事氛围。</w:t>
      </w:r>
      <w:r>
        <w:rPr>
          <w:rFonts w:hint="eastAsia" w:ascii="仿宋_GB2312" w:eastAsia="仿宋_GB2312"/>
          <w:sz w:val="32"/>
          <w:szCs w:val="32"/>
        </w:rPr>
        <w:t>加强科技创新重点领域和关键环节的廉政风险防控，坚持用制度管权管事管人。加强对年轻干部的教育管理，抓住苗头性、倾向性问题开展重点整治。</w:t>
      </w:r>
    </w:p>
    <w:p w14:paraId="3D1321CA">
      <w:pPr>
        <w:spacing w:line="59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2025年</w:t>
      </w:r>
      <w:r>
        <w:rPr>
          <w:rFonts w:hint="eastAsia" w:ascii="仿宋_GB2312" w:eastAsia="仿宋_GB2312"/>
          <w:sz w:val="32"/>
          <w:szCs w:val="32"/>
        </w:rPr>
        <w:t>是“十四五”规划的收官之年，打造全球科创新高地意义重大、使命光荣，要以习近平新时代中国特色社会主义思想引领航向，坚决贯彻落实市委、市政府的决策部署要求，不断展现新作为、创造新业绩，为苏州在中国式现代化走在前作出更大贡献！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1C4D92F-A057-41A9-B8BC-D4E2EB44123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2" w:fontKey="{C74FAC60-1E76-4C6D-A552-354715E69AB0}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9EC28FE6-D913-42AC-9F30-64CF5CFB5D28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4" w:fontKey="{735A92F4-F714-4986-BDD8-977F19CC1C1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3906D9AC-F989-46C2-B082-DADD61BF832D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AEF1D324-1453-4AB9-B24C-1EB540C611CE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Calibri" w:hAnsi="Calibri" w:eastAsia="宋体" w:cs="Times New Roman"/>
        <w:sz w:val="32"/>
        <w:szCs w:val="32"/>
      </w:rPr>
      <w:id w:val="-1291596457"/>
      <w:docPartObj>
        <w:docPartGallery w:val="autotext"/>
      </w:docPartObj>
    </w:sdtPr>
    <w:sdtEndPr>
      <w:rPr>
        <w:rFonts w:ascii="宋体" w:hAnsi="宋体" w:eastAsia="宋体" w:cs="Times New Roman"/>
        <w:sz w:val="32"/>
        <w:szCs w:val="32"/>
      </w:rPr>
    </w:sdtEndPr>
    <w:sdtContent>
      <w:p w14:paraId="5508226D">
        <w:pPr>
          <w:tabs>
            <w:tab w:val="center" w:pos="4153"/>
            <w:tab w:val="right" w:pos="8306"/>
          </w:tabs>
          <w:snapToGrid w:val="0"/>
          <w:jc w:val="center"/>
          <w:rPr>
            <w:rFonts w:hint="eastAsia" w:ascii="宋体" w:hAnsi="宋体" w:eastAsia="宋体" w:cs="Times New Roman"/>
            <w:sz w:val="32"/>
            <w:szCs w:val="32"/>
          </w:rPr>
        </w:pPr>
        <w:r>
          <w:rPr>
            <w:rFonts w:ascii="宋体" w:hAnsi="宋体" w:eastAsia="宋体" w:cs="Times New Roman"/>
            <w:sz w:val="32"/>
            <w:szCs w:val="32"/>
          </w:rPr>
          <w:t>—</w:t>
        </w:r>
        <w:r>
          <w:rPr>
            <w:rFonts w:hint="eastAsia" w:ascii="宋体" w:hAnsi="宋体" w:eastAsia="宋体" w:cs="Times New Roman"/>
            <w:sz w:val="32"/>
            <w:szCs w:val="32"/>
          </w:rPr>
          <w:t xml:space="preserve"> </w:t>
        </w:r>
        <w:r>
          <w:rPr>
            <w:rFonts w:ascii="Times New Roman" w:hAnsi="Times New Roman" w:eastAsia="宋体" w:cs="Times New Roman"/>
            <w:sz w:val="32"/>
            <w:szCs w:val="32"/>
          </w:rPr>
          <w:fldChar w:fldCharType="begin"/>
        </w:r>
        <w:r>
          <w:rPr>
            <w:rFonts w:ascii="Times New Roman" w:hAnsi="Times New Roman" w:eastAsia="宋体" w:cs="Times New Roman"/>
            <w:sz w:val="32"/>
            <w:szCs w:val="32"/>
          </w:rPr>
          <w:instrText xml:space="preserve">PAGE   \* MERGEFORMAT</w:instrText>
        </w:r>
        <w:r>
          <w:rPr>
            <w:rFonts w:ascii="Times New Roman" w:hAnsi="Times New Roman" w:eastAsia="宋体" w:cs="Times New Roman"/>
            <w:sz w:val="32"/>
            <w:szCs w:val="32"/>
          </w:rPr>
          <w:fldChar w:fldCharType="separate"/>
        </w:r>
        <w:r>
          <w:rPr>
            <w:rFonts w:ascii="Times New Roman" w:hAnsi="Times New Roman" w:eastAsia="宋体" w:cs="Times New Roman"/>
            <w:sz w:val="32"/>
            <w:szCs w:val="32"/>
          </w:rPr>
          <w:t>4</w:t>
        </w:r>
        <w:r>
          <w:rPr>
            <w:rFonts w:ascii="Times New Roman" w:hAnsi="Times New Roman" w:eastAsia="宋体" w:cs="Times New Roman"/>
            <w:sz w:val="32"/>
            <w:szCs w:val="32"/>
          </w:rPr>
          <w:fldChar w:fldCharType="end"/>
        </w:r>
        <w:r>
          <w:rPr>
            <w:rFonts w:hint="eastAsia" w:ascii="宋体" w:hAnsi="宋体" w:eastAsia="宋体" w:cs="Times New Roman"/>
            <w:sz w:val="32"/>
            <w:szCs w:val="32"/>
          </w:rPr>
          <w:t xml:space="preserve"> </w:t>
        </w:r>
        <w:r>
          <w:rPr>
            <w:rFonts w:ascii="宋体" w:hAnsi="宋体" w:eastAsia="宋体" w:cs="Times New Roman"/>
            <w:sz w:val="32"/>
            <w:szCs w:val="32"/>
          </w:rPr>
          <w:t>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9C4"/>
    <w:rsid w:val="000016AE"/>
    <w:rsid w:val="000042C2"/>
    <w:rsid w:val="0001370F"/>
    <w:rsid w:val="0001641A"/>
    <w:rsid w:val="00023358"/>
    <w:rsid w:val="00035233"/>
    <w:rsid w:val="00044D55"/>
    <w:rsid w:val="00063323"/>
    <w:rsid w:val="00085F25"/>
    <w:rsid w:val="0009623F"/>
    <w:rsid w:val="000A08BE"/>
    <w:rsid w:val="000A76DB"/>
    <w:rsid w:val="000B019D"/>
    <w:rsid w:val="000B2A75"/>
    <w:rsid w:val="000B2C93"/>
    <w:rsid w:val="000B3E45"/>
    <w:rsid w:val="000B5154"/>
    <w:rsid w:val="000B5AC3"/>
    <w:rsid w:val="000D2B40"/>
    <w:rsid w:val="000E49BF"/>
    <w:rsid w:val="000F05B4"/>
    <w:rsid w:val="001031EC"/>
    <w:rsid w:val="00104281"/>
    <w:rsid w:val="00106ECF"/>
    <w:rsid w:val="0012713A"/>
    <w:rsid w:val="001420CB"/>
    <w:rsid w:val="00153EF9"/>
    <w:rsid w:val="001564B7"/>
    <w:rsid w:val="001754FC"/>
    <w:rsid w:val="001809DC"/>
    <w:rsid w:val="00182FE1"/>
    <w:rsid w:val="00194D13"/>
    <w:rsid w:val="00196A96"/>
    <w:rsid w:val="00196BCE"/>
    <w:rsid w:val="00197BF6"/>
    <w:rsid w:val="001A1951"/>
    <w:rsid w:val="001A33FE"/>
    <w:rsid w:val="001A516B"/>
    <w:rsid w:val="001A5812"/>
    <w:rsid w:val="001C0F4F"/>
    <w:rsid w:val="001C315F"/>
    <w:rsid w:val="001C68E2"/>
    <w:rsid w:val="001C7175"/>
    <w:rsid w:val="001E0F28"/>
    <w:rsid w:val="0020128B"/>
    <w:rsid w:val="00213CFF"/>
    <w:rsid w:val="00215DEA"/>
    <w:rsid w:val="0022179A"/>
    <w:rsid w:val="00224C2C"/>
    <w:rsid w:val="00225BA7"/>
    <w:rsid w:val="00226968"/>
    <w:rsid w:val="002310F1"/>
    <w:rsid w:val="00231FE4"/>
    <w:rsid w:val="00234DF8"/>
    <w:rsid w:val="002452E1"/>
    <w:rsid w:val="00251060"/>
    <w:rsid w:val="00257D3D"/>
    <w:rsid w:val="002638F9"/>
    <w:rsid w:val="00273325"/>
    <w:rsid w:val="00286EF8"/>
    <w:rsid w:val="002873B4"/>
    <w:rsid w:val="002874D1"/>
    <w:rsid w:val="002943F1"/>
    <w:rsid w:val="002B0AF1"/>
    <w:rsid w:val="002D6663"/>
    <w:rsid w:val="002E6E7B"/>
    <w:rsid w:val="002E7A9D"/>
    <w:rsid w:val="00303A58"/>
    <w:rsid w:val="00314D5B"/>
    <w:rsid w:val="00317E79"/>
    <w:rsid w:val="00327A41"/>
    <w:rsid w:val="003314A7"/>
    <w:rsid w:val="00336A84"/>
    <w:rsid w:val="003457DE"/>
    <w:rsid w:val="00345D28"/>
    <w:rsid w:val="00354CF1"/>
    <w:rsid w:val="0036143F"/>
    <w:rsid w:val="00363922"/>
    <w:rsid w:val="003746AA"/>
    <w:rsid w:val="00377335"/>
    <w:rsid w:val="00380FF0"/>
    <w:rsid w:val="00393489"/>
    <w:rsid w:val="00394B2E"/>
    <w:rsid w:val="003A3017"/>
    <w:rsid w:val="003B6A6F"/>
    <w:rsid w:val="003F4A16"/>
    <w:rsid w:val="004056F9"/>
    <w:rsid w:val="0041217A"/>
    <w:rsid w:val="00417A4A"/>
    <w:rsid w:val="004358D5"/>
    <w:rsid w:val="00436374"/>
    <w:rsid w:val="00441789"/>
    <w:rsid w:val="004426EA"/>
    <w:rsid w:val="00460B5E"/>
    <w:rsid w:val="00461645"/>
    <w:rsid w:val="004750B5"/>
    <w:rsid w:val="004764F9"/>
    <w:rsid w:val="00485403"/>
    <w:rsid w:val="00493D86"/>
    <w:rsid w:val="00494199"/>
    <w:rsid w:val="004A2544"/>
    <w:rsid w:val="004A60DC"/>
    <w:rsid w:val="004C32F3"/>
    <w:rsid w:val="004D2EB5"/>
    <w:rsid w:val="004E6893"/>
    <w:rsid w:val="004E7BC7"/>
    <w:rsid w:val="005043AF"/>
    <w:rsid w:val="00512A5B"/>
    <w:rsid w:val="0052336F"/>
    <w:rsid w:val="005238CD"/>
    <w:rsid w:val="00524DC8"/>
    <w:rsid w:val="005262B7"/>
    <w:rsid w:val="00530C85"/>
    <w:rsid w:val="005403E7"/>
    <w:rsid w:val="00541EB8"/>
    <w:rsid w:val="00563CEA"/>
    <w:rsid w:val="00575D0F"/>
    <w:rsid w:val="005762D6"/>
    <w:rsid w:val="005A0C56"/>
    <w:rsid w:val="005A2F2E"/>
    <w:rsid w:val="005A4E43"/>
    <w:rsid w:val="005B3721"/>
    <w:rsid w:val="005C4E33"/>
    <w:rsid w:val="005C4F66"/>
    <w:rsid w:val="005D5098"/>
    <w:rsid w:val="005E1DC1"/>
    <w:rsid w:val="005F588E"/>
    <w:rsid w:val="006057DE"/>
    <w:rsid w:val="00605C62"/>
    <w:rsid w:val="006229E0"/>
    <w:rsid w:val="00623D61"/>
    <w:rsid w:val="006253B6"/>
    <w:rsid w:val="00630236"/>
    <w:rsid w:val="0064697D"/>
    <w:rsid w:val="00655742"/>
    <w:rsid w:val="0068286D"/>
    <w:rsid w:val="00690172"/>
    <w:rsid w:val="0069110F"/>
    <w:rsid w:val="00693FAA"/>
    <w:rsid w:val="006A4060"/>
    <w:rsid w:val="006B2628"/>
    <w:rsid w:val="006D197B"/>
    <w:rsid w:val="006D5C2C"/>
    <w:rsid w:val="006D5D0B"/>
    <w:rsid w:val="006F0370"/>
    <w:rsid w:val="006F2B68"/>
    <w:rsid w:val="006F35E7"/>
    <w:rsid w:val="006F3A37"/>
    <w:rsid w:val="006F3C59"/>
    <w:rsid w:val="0070341A"/>
    <w:rsid w:val="00704D9A"/>
    <w:rsid w:val="00710AA2"/>
    <w:rsid w:val="00712912"/>
    <w:rsid w:val="00717B7D"/>
    <w:rsid w:val="00724486"/>
    <w:rsid w:val="00724EAF"/>
    <w:rsid w:val="00725460"/>
    <w:rsid w:val="0073111B"/>
    <w:rsid w:val="00731133"/>
    <w:rsid w:val="00732AB3"/>
    <w:rsid w:val="00737751"/>
    <w:rsid w:val="00745FDA"/>
    <w:rsid w:val="00750C40"/>
    <w:rsid w:val="0075180D"/>
    <w:rsid w:val="00766C55"/>
    <w:rsid w:val="00766CBE"/>
    <w:rsid w:val="00773B29"/>
    <w:rsid w:val="007815F4"/>
    <w:rsid w:val="00782930"/>
    <w:rsid w:val="007A3BEE"/>
    <w:rsid w:val="007A4D89"/>
    <w:rsid w:val="007A5C52"/>
    <w:rsid w:val="007B3778"/>
    <w:rsid w:val="007C2D67"/>
    <w:rsid w:val="007E048D"/>
    <w:rsid w:val="007E1418"/>
    <w:rsid w:val="007E5432"/>
    <w:rsid w:val="007E7195"/>
    <w:rsid w:val="007F2630"/>
    <w:rsid w:val="00805AEE"/>
    <w:rsid w:val="00817C38"/>
    <w:rsid w:val="00825B7D"/>
    <w:rsid w:val="0083085B"/>
    <w:rsid w:val="008366BF"/>
    <w:rsid w:val="008421C3"/>
    <w:rsid w:val="00846148"/>
    <w:rsid w:val="008510AC"/>
    <w:rsid w:val="00871252"/>
    <w:rsid w:val="00875D5F"/>
    <w:rsid w:val="00892217"/>
    <w:rsid w:val="00895A93"/>
    <w:rsid w:val="00896097"/>
    <w:rsid w:val="00896486"/>
    <w:rsid w:val="00897F7F"/>
    <w:rsid w:val="008A06F2"/>
    <w:rsid w:val="008A0741"/>
    <w:rsid w:val="008A6E9D"/>
    <w:rsid w:val="008B6503"/>
    <w:rsid w:val="008D2B0D"/>
    <w:rsid w:val="008D70FE"/>
    <w:rsid w:val="008E0BD2"/>
    <w:rsid w:val="008E7AEC"/>
    <w:rsid w:val="008E7B20"/>
    <w:rsid w:val="00904735"/>
    <w:rsid w:val="00906B27"/>
    <w:rsid w:val="0091030E"/>
    <w:rsid w:val="00920796"/>
    <w:rsid w:val="009220B4"/>
    <w:rsid w:val="0092577A"/>
    <w:rsid w:val="00931382"/>
    <w:rsid w:val="009319CC"/>
    <w:rsid w:val="00934643"/>
    <w:rsid w:val="00935FD1"/>
    <w:rsid w:val="00945214"/>
    <w:rsid w:val="00955A29"/>
    <w:rsid w:val="00993D05"/>
    <w:rsid w:val="00995CA3"/>
    <w:rsid w:val="009B22A0"/>
    <w:rsid w:val="009B26CF"/>
    <w:rsid w:val="009C1824"/>
    <w:rsid w:val="009E362F"/>
    <w:rsid w:val="009E4738"/>
    <w:rsid w:val="009F1269"/>
    <w:rsid w:val="009F32A5"/>
    <w:rsid w:val="00A05546"/>
    <w:rsid w:val="00A32D3B"/>
    <w:rsid w:val="00A6379B"/>
    <w:rsid w:val="00A918BB"/>
    <w:rsid w:val="00A94B76"/>
    <w:rsid w:val="00A95519"/>
    <w:rsid w:val="00A95A0E"/>
    <w:rsid w:val="00AA0CB0"/>
    <w:rsid w:val="00AC2A03"/>
    <w:rsid w:val="00AC6888"/>
    <w:rsid w:val="00AD4835"/>
    <w:rsid w:val="00AD501A"/>
    <w:rsid w:val="00AD50E5"/>
    <w:rsid w:val="00AD68F4"/>
    <w:rsid w:val="00AE0EC5"/>
    <w:rsid w:val="00AF3866"/>
    <w:rsid w:val="00AF4EFA"/>
    <w:rsid w:val="00AF7F48"/>
    <w:rsid w:val="00B05003"/>
    <w:rsid w:val="00B104D2"/>
    <w:rsid w:val="00B164F9"/>
    <w:rsid w:val="00B27BBE"/>
    <w:rsid w:val="00B27E19"/>
    <w:rsid w:val="00B3128F"/>
    <w:rsid w:val="00B3546A"/>
    <w:rsid w:val="00B37B67"/>
    <w:rsid w:val="00B408BC"/>
    <w:rsid w:val="00B4444C"/>
    <w:rsid w:val="00B44E61"/>
    <w:rsid w:val="00B53DA4"/>
    <w:rsid w:val="00B61360"/>
    <w:rsid w:val="00B63399"/>
    <w:rsid w:val="00B64AFC"/>
    <w:rsid w:val="00B65485"/>
    <w:rsid w:val="00B65C7A"/>
    <w:rsid w:val="00B666A0"/>
    <w:rsid w:val="00B81E74"/>
    <w:rsid w:val="00B822E7"/>
    <w:rsid w:val="00B83113"/>
    <w:rsid w:val="00B87572"/>
    <w:rsid w:val="00B90DDC"/>
    <w:rsid w:val="00BA6D11"/>
    <w:rsid w:val="00BB5650"/>
    <w:rsid w:val="00BB6CEE"/>
    <w:rsid w:val="00BC16F6"/>
    <w:rsid w:val="00BC4343"/>
    <w:rsid w:val="00BC7021"/>
    <w:rsid w:val="00BF077F"/>
    <w:rsid w:val="00BF6ACC"/>
    <w:rsid w:val="00C02BD4"/>
    <w:rsid w:val="00C0327B"/>
    <w:rsid w:val="00C03B57"/>
    <w:rsid w:val="00C056E7"/>
    <w:rsid w:val="00C158CA"/>
    <w:rsid w:val="00C22019"/>
    <w:rsid w:val="00C25C9F"/>
    <w:rsid w:val="00C301D0"/>
    <w:rsid w:val="00C31E6B"/>
    <w:rsid w:val="00C33E2B"/>
    <w:rsid w:val="00C40F9F"/>
    <w:rsid w:val="00C6648D"/>
    <w:rsid w:val="00C847C4"/>
    <w:rsid w:val="00C91B77"/>
    <w:rsid w:val="00CA044F"/>
    <w:rsid w:val="00CA1EA7"/>
    <w:rsid w:val="00CA2C56"/>
    <w:rsid w:val="00CA3081"/>
    <w:rsid w:val="00CA7DB5"/>
    <w:rsid w:val="00CB0E9A"/>
    <w:rsid w:val="00CB29C4"/>
    <w:rsid w:val="00CB5C74"/>
    <w:rsid w:val="00CC0A71"/>
    <w:rsid w:val="00CC53B6"/>
    <w:rsid w:val="00CC62D1"/>
    <w:rsid w:val="00CD1B8D"/>
    <w:rsid w:val="00CD6BA4"/>
    <w:rsid w:val="00CF11B7"/>
    <w:rsid w:val="00D04C7F"/>
    <w:rsid w:val="00D076DC"/>
    <w:rsid w:val="00D14257"/>
    <w:rsid w:val="00D1574D"/>
    <w:rsid w:val="00D1755D"/>
    <w:rsid w:val="00D204BA"/>
    <w:rsid w:val="00D21B72"/>
    <w:rsid w:val="00D23DD3"/>
    <w:rsid w:val="00D3353C"/>
    <w:rsid w:val="00D44858"/>
    <w:rsid w:val="00D546EE"/>
    <w:rsid w:val="00D570F3"/>
    <w:rsid w:val="00D615A6"/>
    <w:rsid w:val="00D631AB"/>
    <w:rsid w:val="00D7216A"/>
    <w:rsid w:val="00D90129"/>
    <w:rsid w:val="00D942F0"/>
    <w:rsid w:val="00DA4968"/>
    <w:rsid w:val="00DB064C"/>
    <w:rsid w:val="00DB4DB2"/>
    <w:rsid w:val="00DB5DD8"/>
    <w:rsid w:val="00DB667E"/>
    <w:rsid w:val="00DC230D"/>
    <w:rsid w:val="00DD2D71"/>
    <w:rsid w:val="00DD6802"/>
    <w:rsid w:val="00DF1463"/>
    <w:rsid w:val="00DF2285"/>
    <w:rsid w:val="00DF3CA3"/>
    <w:rsid w:val="00E054D0"/>
    <w:rsid w:val="00E125A0"/>
    <w:rsid w:val="00E21469"/>
    <w:rsid w:val="00E341F4"/>
    <w:rsid w:val="00E51042"/>
    <w:rsid w:val="00E621EF"/>
    <w:rsid w:val="00E65176"/>
    <w:rsid w:val="00E71BC7"/>
    <w:rsid w:val="00E83AAA"/>
    <w:rsid w:val="00E87E03"/>
    <w:rsid w:val="00E95551"/>
    <w:rsid w:val="00E9564E"/>
    <w:rsid w:val="00EA2F9A"/>
    <w:rsid w:val="00EA6AB1"/>
    <w:rsid w:val="00EB0724"/>
    <w:rsid w:val="00EC2802"/>
    <w:rsid w:val="00EE098F"/>
    <w:rsid w:val="00EE583E"/>
    <w:rsid w:val="00EE6385"/>
    <w:rsid w:val="00EE7147"/>
    <w:rsid w:val="00EF3860"/>
    <w:rsid w:val="00EF6F08"/>
    <w:rsid w:val="00F0078F"/>
    <w:rsid w:val="00F02866"/>
    <w:rsid w:val="00F04AA4"/>
    <w:rsid w:val="00F10CC1"/>
    <w:rsid w:val="00F130F1"/>
    <w:rsid w:val="00F30392"/>
    <w:rsid w:val="00F42B3B"/>
    <w:rsid w:val="00F533BE"/>
    <w:rsid w:val="00F54517"/>
    <w:rsid w:val="00F560DD"/>
    <w:rsid w:val="00F73F4C"/>
    <w:rsid w:val="00F80E18"/>
    <w:rsid w:val="00F8327B"/>
    <w:rsid w:val="00F85457"/>
    <w:rsid w:val="00FA70BD"/>
    <w:rsid w:val="00FA7B43"/>
    <w:rsid w:val="00FB237A"/>
    <w:rsid w:val="00FC0DE6"/>
    <w:rsid w:val="00FC5CF5"/>
    <w:rsid w:val="00FC70AD"/>
    <w:rsid w:val="00FD09D2"/>
    <w:rsid w:val="00FD2735"/>
    <w:rsid w:val="00FE031E"/>
    <w:rsid w:val="00FE1960"/>
    <w:rsid w:val="00FE3C63"/>
    <w:rsid w:val="00FE4E51"/>
    <w:rsid w:val="00FE517C"/>
    <w:rsid w:val="00FE5550"/>
    <w:rsid w:val="00FF0239"/>
    <w:rsid w:val="00FF492D"/>
    <w:rsid w:val="0DF51707"/>
    <w:rsid w:val="398B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  <w:style w:type="paragraph" w:customStyle="1" w:styleId="37">
    <w:name w:val="179"/>
    <w:basedOn w:val="1"/>
    <w:qFormat/>
    <w:uiPriority w:val="0"/>
    <w:pPr>
      <w:widowControl/>
      <w:ind w:firstLine="420" w:firstLineChars="200"/>
      <w:textAlignment w:val="baseline"/>
    </w:pPr>
    <w:rPr>
      <w:rFonts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4704</Words>
  <Characters>4859</Characters>
  <Lines>34</Lines>
  <Paragraphs>9</Paragraphs>
  <TotalTime>761</TotalTime>
  <ScaleCrop>false</ScaleCrop>
  <LinksUpToDate>false</LinksUpToDate>
  <CharactersWithSpaces>4859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2025-01-19T02:11:00Z</dcterms:created>
  <dc:creator>魏 晶</dc:creator>
  <cp:lastModifiedBy>劳二猪</cp:lastModifiedBy>
  <dcterms:modified xsi:type="dcterms:W3CDTF">2025-08-27T01:38:54Z</dcterms:modified>
  <cp:revision>357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eyJoZGlkIjoiYTIwMTJlODM4ZDA3ZTA2MmMwNDA1NGQ5ZTMxNmNjMzgiLCJ1c2VySWQiOiIyNzg0MDkzMTQifQ==</vt:lpwstr>
  </property>
  <property fmtid="{D5CDD505-2E9C-101B-9397-08002B2CF9AE}" pid="3" name="KSOProductBuildVer">
    <vt:lpwstr>2052-12.1.0.22529</vt:lpwstr>
  </property>
  <property fmtid="{D5CDD505-2E9C-101B-9397-08002B2CF9AE}" pid="4" name="ICV">
    <vt:lpwstr>D09ECB5DB946494BB13B3C0537758931_13</vt:lpwstr>
  </property>
</Properties>
</file>