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EE039">
      <w:pPr>
        <w:spacing w:line="576" w:lineRule="exact"/>
        <w:jc w:val="distribute"/>
        <w:rPr>
          <w:rFonts w:hint="eastAsia" w:ascii="方正小标宋_GBK" w:hAnsi="黑体" w:eastAsia="方正小标宋_GBK" w:cs="Times New Roman"/>
          <w:w w:val="80"/>
          <w:sz w:val="44"/>
          <w:szCs w:val="44"/>
          <w:lang w:val="en" w:eastAsia="zh-CN"/>
        </w:rPr>
      </w:pPr>
      <w:r>
        <w:rPr>
          <w:rFonts w:hint="default" w:ascii="Times New Roman" w:hAnsi="Times New Roman" w:eastAsia="方正小标宋_GBK" w:cs="Times New Roman"/>
          <w:w w:val="80"/>
          <w:sz w:val="44"/>
          <w:szCs w:val="44"/>
        </w:rPr>
        <w:t>202</w:t>
      </w:r>
      <w:r>
        <w:rPr>
          <w:rFonts w:hint="default" w:ascii="Times New Roman" w:hAnsi="Times New Roman" w:eastAsia="方正小标宋_GBK" w:cs="Times New Roman"/>
          <w:w w:val="80"/>
          <w:sz w:val="44"/>
          <w:szCs w:val="44"/>
          <w:lang w:val="en-US" w:eastAsia="zh-CN"/>
        </w:rPr>
        <w:t>4</w:t>
      </w:r>
      <w:r>
        <w:rPr>
          <w:rFonts w:hint="eastAsia" w:ascii="Times New Roman" w:hAnsi="Times New Roman" w:eastAsia="方正小标宋_GBK" w:cs="Times New Roman"/>
          <w:w w:val="80"/>
          <w:sz w:val="44"/>
          <w:szCs w:val="44"/>
          <w:lang w:val="en-US" w:eastAsia="zh-CN"/>
        </w:rPr>
        <w:t>年</w:t>
      </w:r>
      <w:r>
        <w:rPr>
          <w:rFonts w:hint="eastAsia" w:ascii="方正小标宋_GBK" w:hAnsi="黑体" w:eastAsia="方正小标宋_GBK"/>
          <w:w w:val="80"/>
          <w:sz w:val="44"/>
          <w:szCs w:val="44"/>
        </w:rPr>
        <w:t>苏州</w:t>
      </w:r>
      <w:r>
        <w:rPr>
          <w:rFonts w:hint="eastAsia" w:ascii="方正小标宋_GBK" w:hAnsi="黑体" w:eastAsia="方正小标宋_GBK"/>
          <w:w w:val="80"/>
          <w:sz w:val="44"/>
          <w:szCs w:val="44"/>
          <w:lang w:eastAsia="zh-CN"/>
        </w:rPr>
        <w:t>“三农”工作总结</w:t>
      </w:r>
      <w:r>
        <w:rPr>
          <w:rFonts w:hint="eastAsia" w:ascii="方正小标宋_GBK" w:hAnsi="黑体" w:eastAsia="方正小标宋_GBK"/>
          <w:w w:val="80"/>
          <w:sz w:val="44"/>
          <w:szCs w:val="44"/>
          <w:lang w:val="en" w:eastAsia="zh-CN"/>
        </w:rPr>
        <w:t>及</w:t>
      </w:r>
      <w:r>
        <w:rPr>
          <w:rFonts w:hint="eastAsia" w:ascii="方正小标宋_GBK" w:hAnsi="黑体" w:eastAsia="方正小标宋_GBK"/>
          <w:w w:val="80"/>
          <w:sz w:val="44"/>
          <w:szCs w:val="44"/>
          <w:lang w:val="en-US" w:eastAsia="zh-CN"/>
        </w:rPr>
        <w:t>2025</w:t>
      </w:r>
      <w:r>
        <w:rPr>
          <w:rFonts w:hint="eastAsia" w:ascii="方正小标宋_GBK" w:hAnsi="黑体" w:eastAsia="方正小标宋_GBK"/>
          <w:w w:val="80"/>
          <w:sz w:val="44"/>
          <w:szCs w:val="44"/>
          <w:lang w:val="en" w:eastAsia="zh-CN"/>
        </w:rPr>
        <w:t>年工作</w:t>
      </w:r>
      <w:r>
        <w:rPr>
          <w:rFonts w:hint="eastAsia" w:ascii="方正小标宋_GBK" w:hAnsi="黑体" w:eastAsia="方正小标宋_GBK" w:cs="Times New Roman"/>
          <w:w w:val="80"/>
          <w:sz w:val="44"/>
          <w:szCs w:val="44"/>
          <w:lang w:eastAsia="zh-CN"/>
        </w:rPr>
        <w:t>打</w:t>
      </w:r>
      <w:r>
        <w:rPr>
          <w:rFonts w:hint="eastAsia" w:ascii="方正小标宋_GBK" w:hAnsi="黑体" w:eastAsia="方正小标宋_GBK" w:cs="Times New Roman"/>
          <w:w w:val="80"/>
          <w:sz w:val="44"/>
          <w:szCs w:val="44"/>
          <w:lang w:eastAsia="zh-CN"/>
        </w:rPr>
        <w:t>算</w:t>
      </w:r>
    </w:p>
    <w:p w14:paraId="01429766">
      <w:pPr>
        <w:tabs>
          <w:tab w:val="left" w:pos="1851"/>
        </w:tabs>
        <w:adjustRightInd w:val="0"/>
        <w:snapToGrid w:val="0"/>
        <w:spacing w:line="576" w:lineRule="exact"/>
        <w:jc w:val="center"/>
        <w:rPr>
          <w:rFonts w:hint="default" w:ascii="Times New Roman" w:hAnsi="Times New Roman" w:eastAsia="楷体_GB2312" w:cs="Times New Roman"/>
          <w:szCs w:val="32"/>
          <w:lang w:val="en-US" w:eastAsia="zh-CN"/>
        </w:rPr>
      </w:pPr>
      <w:r>
        <w:rPr>
          <w:rFonts w:hint="eastAsia" w:ascii="Times New Roman" w:hAnsi="Times New Roman" w:eastAsia="楷体_GB2312" w:cs="Times New Roman"/>
          <w:szCs w:val="32"/>
          <w:lang w:val="en-US" w:eastAsia="zh-CN"/>
        </w:rPr>
        <w:t>市委农办 市农业农村局</w:t>
      </w:r>
    </w:p>
    <w:p w14:paraId="528006BF">
      <w:pPr>
        <w:keepNext w:val="0"/>
        <w:keepLines w:val="0"/>
        <w:pageBreakBefore w:val="0"/>
        <w:widowControl w:val="0"/>
        <w:tabs>
          <w:tab w:val="left" w:pos="1851"/>
        </w:tabs>
        <w:kinsoku/>
        <w:wordWrap/>
        <w:overflowPunct/>
        <w:topLinePunct w:val="0"/>
        <w:autoSpaceDE/>
        <w:autoSpaceDN/>
        <w:bidi w:val="0"/>
        <w:adjustRightInd w:val="0"/>
        <w:snapToGrid w:val="0"/>
        <w:spacing w:line="576" w:lineRule="exact"/>
        <w:ind w:firstLine="640" w:firstLineChars="200"/>
        <w:textAlignment w:val="auto"/>
        <w:rPr>
          <w:rFonts w:hint="eastAsia"/>
          <w:szCs w:val="32"/>
        </w:rPr>
      </w:pPr>
      <w:bookmarkStart w:id="0" w:name="_GoBack"/>
      <w:bookmarkEnd w:id="0"/>
    </w:p>
    <w:p w14:paraId="7ECA8A2C">
      <w:pPr>
        <w:keepNext w:val="0"/>
        <w:keepLines w:val="0"/>
        <w:pageBreakBefore w:val="0"/>
        <w:widowControl w:val="0"/>
        <w:tabs>
          <w:tab w:val="left" w:pos="1851"/>
        </w:tabs>
        <w:kinsoku/>
        <w:wordWrap/>
        <w:overflowPunct/>
        <w:topLinePunct w:val="0"/>
        <w:autoSpaceDE/>
        <w:autoSpaceDN/>
        <w:bidi w:val="0"/>
        <w:adjustRightInd w:val="0"/>
        <w:snapToGrid w:val="0"/>
        <w:spacing w:line="576" w:lineRule="exact"/>
        <w:ind w:firstLine="640" w:firstLineChars="200"/>
        <w:textAlignment w:val="auto"/>
        <w:rPr>
          <w:rFonts w:hint="eastAsia"/>
          <w:szCs w:val="32"/>
        </w:rPr>
      </w:pPr>
      <w:r>
        <w:rPr>
          <w:rFonts w:hint="eastAsia"/>
          <w:szCs w:val="32"/>
        </w:rPr>
        <w:t>今年以来，苏州深入学习贯彻习近平总书记关于“三农”工作</w:t>
      </w:r>
      <w:r>
        <w:rPr>
          <w:rFonts w:hint="eastAsia"/>
          <w:szCs w:val="32"/>
          <w:lang w:eastAsia="zh-CN"/>
        </w:rPr>
        <w:t>的</w:t>
      </w:r>
      <w:r>
        <w:rPr>
          <w:rFonts w:hint="eastAsia"/>
          <w:szCs w:val="32"/>
        </w:rPr>
        <w:t>重要论述</w:t>
      </w:r>
      <w:r>
        <w:rPr>
          <w:rFonts w:hint="eastAsia"/>
          <w:szCs w:val="32"/>
          <w:lang w:eastAsia="zh-CN"/>
        </w:rPr>
        <w:t>和</w:t>
      </w:r>
      <w:r>
        <w:rPr>
          <w:rFonts w:hint="eastAsia"/>
          <w:szCs w:val="32"/>
        </w:rPr>
        <w:t>党</w:t>
      </w:r>
      <w:r>
        <w:rPr>
          <w:rFonts w:hint="eastAsia"/>
          <w:szCs w:val="32"/>
          <w:lang w:eastAsia="zh-CN"/>
        </w:rPr>
        <w:t>的二十届三中全会精神，全面落实党中央、国务院和省委、省政府关于实施乡村振兴战略的各项决策部署</w:t>
      </w:r>
      <w:r>
        <w:rPr>
          <w:rFonts w:hint="eastAsia"/>
          <w:szCs w:val="32"/>
        </w:rPr>
        <w:t>，</w:t>
      </w:r>
      <w:r>
        <w:rPr>
          <w:rFonts w:hint="eastAsia"/>
          <w:szCs w:val="32"/>
          <w:lang w:eastAsia="zh-CN"/>
        </w:rPr>
        <w:t>以学习运用“千万工程”经验为引领，聚焦“三基三主”（</w:t>
      </w:r>
      <w:r>
        <w:rPr>
          <w:rFonts w:hint="eastAsia" w:ascii="楷体_GB2312" w:hAnsi="楷体_GB2312" w:eastAsia="楷体_GB2312" w:cs="楷体_GB2312"/>
          <w:color w:val="000000"/>
          <w:kern w:val="0"/>
          <w:sz w:val="32"/>
          <w:szCs w:val="24"/>
          <w:lang w:val="en-US" w:eastAsia="zh-CN" w:bidi="ar-SA"/>
        </w:rPr>
        <w:t>基层组织、基础设施、基本公共服务、主导产业、主体风貌、主题文化</w:t>
      </w:r>
      <w:r>
        <w:rPr>
          <w:rFonts w:hint="eastAsia"/>
          <w:szCs w:val="32"/>
          <w:lang w:eastAsia="zh-CN"/>
        </w:rPr>
        <w:t>）核心内容，有力有效推进乡村全面振兴，奋力推动农业农村现代化走在前、做示范</w:t>
      </w:r>
      <w:r>
        <w:rPr>
          <w:rFonts w:hint="eastAsia"/>
          <w:kern w:val="0"/>
          <w:szCs w:val="32"/>
          <w:lang w:bidi="ar"/>
        </w:rPr>
        <w:t>。</w:t>
      </w:r>
      <w:r>
        <w:rPr>
          <w:rFonts w:hint="eastAsia" w:ascii="Times New Roman" w:hAnsi="Times New Roman" w:eastAsia="仿宋_GB2312" w:cs="Times New Roman"/>
          <w:color w:val="000000"/>
          <w:kern w:val="2"/>
          <w:sz w:val="32"/>
          <w:szCs w:val="32"/>
          <w:lang w:val="en-US" w:eastAsia="zh-CN" w:bidi="ar-SA"/>
        </w:rPr>
        <w:t>全省宜居宜业和美乡村片区现场推进会</w:t>
      </w:r>
      <w:r>
        <w:rPr>
          <w:rFonts w:hint="eastAsia" w:ascii="Times New Roman" w:hAnsi="Times New Roman" w:cs="Times New Roman"/>
          <w:color w:val="000000"/>
          <w:kern w:val="2"/>
          <w:sz w:val="32"/>
          <w:szCs w:val="32"/>
          <w:lang w:val="en-US" w:eastAsia="zh-CN" w:bidi="ar-SA"/>
        </w:rPr>
        <w:t>在苏州召开</w:t>
      </w:r>
      <w:r>
        <w:rPr>
          <w:rFonts w:hint="eastAsia" w:ascii="Times New Roman" w:hAnsi="Times New Roman" w:eastAsia="仿宋_GB2312" w:cs="Times New Roman"/>
          <w:color w:val="000000"/>
          <w:kern w:val="2"/>
          <w:sz w:val="32"/>
          <w:szCs w:val="32"/>
          <w:lang w:val="en-US" w:eastAsia="zh-CN" w:bidi="ar-SA"/>
        </w:rPr>
        <w:t>，全市4个片区列入省级宜居宜业和美乡村片区培育名录，数量全省第一。</w:t>
      </w:r>
      <w:r>
        <w:rPr>
          <w:rFonts w:hint="eastAsia"/>
          <w:szCs w:val="32"/>
        </w:rPr>
        <w:t>连续</w:t>
      </w:r>
      <w:r>
        <w:rPr>
          <w:rFonts w:hint="eastAsia"/>
          <w:szCs w:val="32"/>
          <w:lang w:eastAsia="zh-CN"/>
        </w:rPr>
        <w:t>四</w:t>
      </w:r>
      <w:r>
        <w:rPr>
          <w:rFonts w:hint="eastAsia"/>
          <w:szCs w:val="32"/>
        </w:rPr>
        <w:t>年获评省乡村振兴实绩考核综合排名第一等次。</w:t>
      </w:r>
      <w:r>
        <w:rPr>
          <w:rFonts w:hint="eastAsia"/>
          <w:kern w:val="0"/>
          <w:szCs w:val="32"/>
          <w:lang w:bidi="ar"/>
        </w:rPr>
        <w:t>太仓市东林村获“中国零碳乡村”认定</w:t>
      </w:r>
      <w:r>
        <w:rPr>
          <w:rFonts w:hint="eastAsia"/>
          <w:kern w:val="0"/>
          <w:szCs w:val="32"/>
          <w:lang w:eastAsia="zh-CN" w:bidi="ar"/>
        </w:rPr>
        <w:t>，昆山市入选全国传统村落集中连片保护利用示范县。</w:t>
      </w:r>
    </w:p>
    <w:p w14:paraId="1B70DD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一、稳产保供基础夯实</w:t>
      </w:r>
    </w:p>
    <w:p w14:paraId="283EEBBE">
      <w:pPr>
        <w:keepNext w:val="0"/>
        <w:keepLines w:val="0"/>
        <w:pageBreakBefore w:val="0"/>
        <w:widowControl w:val="0"/>
        <w:kinsoku/>
        <w:wordWrap/>
        <w:overflowPunct/>
        <w:topLinePunct w:val="0"/>
        <w:autoSpaceDE/>
        <w:autoSpaceDN/>
        <w:bidi w:val="0"/>
        <w:spacing w:line="576" w:lineRule="exact"/>
        <w:ind w:firstLine="640"/>
        <w:textAlignment w:val="auto"/>
        <w:rPr>
          <w:rFonts w:hint="eastAsia" w:ascii="Times New Roman" w:hAnsi="Times New Roman"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深入贯彻“藏粮于地、藏粮于技”战略，抓好粮食等重要农产品稳产保供。</w:t>
      </w:r>
      <w:r>
        <w:rPr>
          <w:rFonts w:ascii="Times New Roman" w:hAnsi="Times New Roman" w:eastAsia="仿宋_GB2312" w:cs="Times New Roman"/>
          <w:color w:val="141414"/>
          <w:kern w:val="0"/>
          <w:sz w:val="32"/>
          <w:szCs w:val="32"/>
          <w:shd w:val="clear" w:color="auto" w:fill="FFFFFF"/>
          <w:lang w:bidi="ar"/>
        </w:rPr>
        <w:t>突出“五优联动”（</w:t>
      </w:r>
      <w:r>
        <w:rPr>
          <w:rFonts w:ascii="Times New Roman" w:hAnsi="Times New Roman" w:eastAsia="楷体_GB2312" w:cs="Times New Roman"/>
          <w:color w:val="141414"/>
          <w:kern w:val="0"/>
          <w:sz w:val="32"/>
          <w:szCs w:val="32"/>
          <w:shd w:val="clear" w:color="auto" w:fill="FFFFFF"/>
          <w:lang w:bidi="ar"/>
        </w:rPr>
        <w:t>优土、优种、优产、优储、优销</w:t>
      </w:r>
      <w:r>
        <w:rPr>
          <w:rFonts w:ascii="Times New Roman" w:hAnsi="Times New Roman" w:eastAsia="仿宋_GB2312" w:cs="Times New Roman"/>
          <w:color w:val="141414"/>
          <w:kern w:val="0"/>
          <w:sz w:val="32"/>
          <w:szCs w:val="32"/>
          <w:shd w:val="clear" w:color="auto" w:fill="FFFFFF"/>
          <w:lang w:bidi="ar"/>
        </w:rPr>
        <w:t>），</w:t>
      </w:r>
      <w:r>
        <w:rPr>
          <w:rFonts w:hint="eastAsia" w:ascii="Times New Roman" w:hAnsi="Times New Roman" w:cs="Times New Roman"/>
          <w:color w:val="141414"/>
          <w:kern w:val="0"/>
          <w:sz w:val="32"/>
          <w:szCs w:val="32"/>
          <w:shd w:val="clear" w:color="auto" w:fill="FFFFFF"/>
          <w:lang w:eastAsia="zh-CN" w:bidi="ar"/>
        </w:rPr>
        <w:t>巩固提升</w:t>
      </w:r>
      <w:r>
        <w:rPr>
          <w:rFonts w:ascii="Times New Roman" w:hAnsi="Times New Roman" w:eastAsia="仿宋_GB2312" w:cs="Times New Roman"/>
          <w:color w:val="141414"/>
          <w:kern w:val="0"/>
          <w:sz w:val="32"/>
          <w:szCs w:val="32"/>
          <w:shd w:val="clear" w:color="auto" w:fill="FFFFFF"/>
          <w:lang w:bidi="ar"/>
        </w:rPr>
        <w:t>“三高一美”建设</w:t>
      </w:r>
      <w:r>
        <w:rPr>
          <w:rFonts w:ascii="Times New Roman" w:hAnsi="Times New Roman" w:eastAsia="仿宋_GB2312" w:cs="Times New Roman"/>
          <w:kern w:val="0"/>
          <w:sz w:val="32"/>
          <w:szCs w:val="32"/>
          <w:shd w:val="clear" w:color="auto" w:fill="FFFFFF"/>
          <w:lang w:bidi="ar"/>
        </w:rPr>
        <w:t>（</w:t>
      </w:r>
      <w:r>
        <w:rPr>
          <w:rFonts w:ascii="Times New Roman" w:hAnsi="Times New Roman" w:eastAsia="楷体_GB2312" w:cs="Times New Roman"/>
          <w:kern w:val="0"/>
          <w:sz w:val="32"/>
          <w:szCs w:val="32"/>
          <w:shd w:val="clear" w:color="auto" w:fill="FFFFFF"/>
          <w:lang w:bidi="ar"/>
        </w:rPr>
        <w:t>高标准农田、高标准蔬菜基地、高标准养殖池塘、美丽生态牧场</w:t>
      </w:r>
      <w:r>
        <w:rPr>
          <w:rFonts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color w:val="141414"/>
          <w:kern w:val="0"/>
          <w:sz w:val="32"/>
          <w:szCs w:val="32"/>
          <w:shd w:val="clear" w:color="auto" w:fill="FFFFFF"/>
          <w:lang w:bidi="ar"/>
        </w:rPr>
        <w:t>，全市永久基本农田上建成高标准农田118.31万亩，占比达71%。</w:t>
      </w:r>
      <w:r>
        <w:rPr>
          <w:rFonts w:hint="eastAsia" w:ascii="Times New Roman" w:hAnsi="Times New Roman" w:eastAsia="仿宋_GB2312" w:cs="Times New Roman"/>
          <w:color w:val="141414"/>
          <w:kern w:val="0"/>
          <w:sz w:val="32"/>
          <w:szCs w:val="32"/>
          <w:shd w:val="clear" w:color="auto" w:fill="FFFFFF"/>
          <w:lang w:bidi="ar"/>
        </w:rPr>
        <w:t>推动科技强</w:t>
      </w:r>
      <w:r>
        <w:rPr>
          <w:rFonts w:hint="eastAsia" w:ascii="Times New Roman" w:hAnsi="Times New Roman" w:cs="Times New Roman"/>
          <w:color w:val="141414"/>
          <w:kern w:val="0"/>
          <w:sz w:val="32"/>
          <w:szCs w:val="32"/>
          <w:shd w:val="clear" w:color="auto" w:fill="FFFFFF"/>
          <w:lang w:eastAsia="zh-CN" w:bidi="ar"/>
        </w:rPr>
        <w:t>农</w:t>
      </w:r>
      <w:r>
        <w:rPr>
          <w:rFonts w:hint="eastAsia" w:ascii="Times New Roman" w:hAnsi="Times New Roman" w:eastAsia="仿宋_GB2312" w:cs="Times New Roman"/>
          <w:color w:val="141414"/>
          <w:kern w:val="0"/>
          <w:sz w:val="32"/>
          <w:szCs w:val="32"/>
          <w:shd w:val="clear" w:color="auto" w:fill="FFFFFF"/>
          <w:lang w:bidi="ar"/>
        </w:rPr>
        <w:t>和机械强</w:t>
      </w:r>
      <w:r>
        <w:rPr>
          <w:rFonts w:hint="eastAsia" w:ascii="Times New Roman" w:hAnsi="Times New Roman" w:cs="Times New Roman"/>
          <w:color w:val="141414"/>
          <w:kern w:val="0"/>
          <w:sz w:val="32"/>
          <w:szCs w:val="32"/>
          <w:shd w:val="clear" w:color="auto" w:fill="FFFFFF"/>
          <w:lang w:eastAsia="zh-CN" w:bidi="ar"/>
        </w:rPr>
        <w:t>农</w:t>
      </w:r>
      <w:r>
        <w:rPr>
          <w:rFonts w:hint="eastAsia" w:ascii="Times New Roman" w:hAnsi="Times New Roman" w:eastAsia="仿宋_GB2312" w:cs="Times New Roman"/>
          <w:color w:val="141414"/>
          <w:kern w:val="0"/>
          <w:sz w:val="32"/>
          <w:szCs w:val="32"/>
          <w:shd w:val="clear" w:color="auto" w:fill="FFFFFF"/>
          <w:lang w:bidi="ar"/>
        </w:rPr>
        <w:t>互促并进，</w:t>
      </w:r>
      <w:r>
        <w:rPr>
          <w:rFonts w:hint="eastAsia" w:ascii="Times New Roman" w:hAnsi="Times New Roman" w:cs="Times New Roman"/>
          <w:color w:val="141414"/>
          <w:kern w:val="0"/>
          <w:sz w:val="32"/>
          <w:szCs w:val="32"/>
          <w:shd w:val="clear" w:color="auto" w:fill="FFFFFF"/>
          <w:lang w:val="en-US" w:eastAsia="zh-CN" w:bidi="ar"/>
        </w:rPr>
        <w:t>成立</w:t>
      </w:r>
      <w:r>
        <w:rPr>
          <w:rFonts w:hint="eastAsia" w:ascii="Times New Roman" w:hAnsi="Times New Roman" w:eastAsia="仿宋_GB2312" w:cs="Times New Roman"/>
          <w:color w:val="141414"/>
          <w:kern w:val="0"/>
          <w:sz w:val="32"/>
          <w:szCs w:val="32"/>
          <w:shd w:val="clear" w:color="auto" w:fill="FFFFFF"/>
          <w:lang w:bidi="ar"/>
        </w:rPr>
        <w:t>苏州农业科技创新联盟</w:t>
      </w:r>
      <w:r>
        <w:rPr>
          <w:rFonts w:hint="eastAsia" w:ascii="Times New Roman" w:hAnsi="Times New Roman" w:cs="Times New Roman"/>
          <w:color w:val="141414"/>
          <w:kern w:val="0"/>
          <w:sz w:val="32"/>
          <w:szCs w:val="32"/>
          <w:shd w:val="clear" w:color="auto" w:fill="FFFFFF"/>
          <w:lang w:eastAsia="zh-CN" w:bidi="ar"/>
        </w:rPr>
        <w:t>、长三角有机农业苏州研究中心，6家单位获评首批省级商业化育种创新中心，全市主要粮食作物耕种收综合机械化率达98%，特色农业机械化率达79%。提高社会化服务水平，</w:t>
      </w:r>
      <w:r>
        <w:rPr>
          <w:rFonts w:hint="eastAsia" w:ascii="Times New Roman" w:hAnsi="Times New Roman" w:cs="Times New Roman"/>
          <w:color w:val="141414"/>
          <w:kern w:val="0"/>
          <w:sz w:val="32"/>
          <w:szCs w:val="32"/>
          <w:shd w:val="clear" w:color="auto" w:fill="FFFFFF"/>
          <w:lang w:val="en-US" w:eastAsia="zh-CN" w:bidi="ar"/>
        </w:rPr>
        <w:t>建成105个市级粮食生产全程机械化综合农事服务中心。</w:t>
      </w:r>
      <w:r>
        <w:rPr>
          <w:rFonts w:hint="eastAsia" w:ascii="Times New Roman" w:hAnsi="Times New Roman" w:cs="Times New Roman"/>
          <w:color w:val="141414"/>
          <w:kern w:val="0"/>
          <w:sz w:val="32"/>
          <w:szCs w:val="32"/>
          <w:shd w:val="clear" w:color="auto" w:fill="FFFFFF"/>
          <w:lang w:eastAsia="zh-CN" w:bidi="ar"/>
        </w:rPr>
        <w:t>推进农业“智改数转网联”，新增5项市级智慧农业农村建设与评价地方标准，累计打造智慧生产场景57个。</w:t>
      </w:r>
      <w:r>
        <w:rPr>
          <w:rFonts w:ascii="Times New Roman" w:hAnsi="Times New Roman" w:eastAsia="仿宋_GB2312" w:cs="Times New Roman"/>
          <w:color w:val="141414"/>
          <w:kern w:val="0"/>
          <w:sz w:val="32"/>
          <w:szCs w:val="32"/>
          <w:shd w:val="clear" w:color="auto" w:fill="FFFFFF"/>
          <w:lang w:bidi="ar"/>
        </w:rPr>
        <w:t>深入实施粮食单产提升工程，</w:t>
      </w:r>
      <w:r>
        <w:rPr>
          <w:rFonts w:hint="eastAsia" w:ascii="Times New Roman" w:hAnsi="Times New Roman" w:cs="Times New Roman"/>
          <w:color w:val="141414"/>
          <w:kern w:val="0"/>
          <w:sz w:val="32"/>
          <w:szCs w:val="32"/>
          <w:shd w:val="clear" w:color="auto" w:fill="FFFFFF"/>
          <w:lang w:eastAsia="zh-CN" w:bidi="ar"/>
        </w:rPr>
        <w:t>全力打好小麦赤霉病防控战，全市夏粮</w:t>
      </w:r>
      <w:r>
        <w:rPr>
          <w:rFonts w:hint="eastAsia" w:ascii="Times New Roman" w:hAnsi="Times New Roman" w:eastAsia="仿宋_GB2312" w:cs="Times New Roman"/>
          <w:color w:val="141414"/>
          <w:kern w:val="0"/>
          <w:sz w:val="32"/>
          <w:szCs w:val="32"/>
          <w:shd w:val="clear" w:color="auto" w:fill="FFFFFF"/>
          <w:lang w:bidi="ar"/>
        </w:rPr>
        <w:t>生产实现面积、单产、总产“三增”</w:t>
      </w:r>
      <w:r>
        <w:rPr>
          <w:rFonts w:hint="eastAsia" w:ascii="Times New Roman" w:hAnsi="Times New Roman" w:cs="Times New Roman"/>
          <w:color w:val="141414"/>
          <w:kern w:val="0"/>
          <w:sz w:val="32"/>
          <w:szCs w:val="32"/>
          <w:shd w:val="clear" w:color="auto" w:fill="FFFFFF"/>
          <w:lang w:eastAsia="zh-CN" w:bidi="ar"/>
        </w:rPr>
        <w:t>，预计能够圆满完成全年粮食生产目标任务</w:t>
      </w:r>
      <w:r>
        <w:rPr>
          <w:rFonts w:hint="eastAsia" w:ascii="Times New Roman" w:hAnsi="Times New Roman" w:eastAsia="仿宋_GB2312" w:cs="Times New Roman"/>
          <w:color w:val="141414"/>
          <w:kern w:val="0"/>
          <w:sz w:val="32"/>
          <w:szCs w:val="32"/>
          <w:shd w:val="clear" w:color="auto" w:fill="FFFFFF"/>
          <w:lang w:bidi="ar"/>
        </w:rPr>
        <w:t>。</w:t>
      </w:r>
      <w:r>
        <w:rPr>
          <w:rFonts w:ascii="Times New Roman" w:hAnsi="Times New Roman" w:eastAsia="仿宋_GB2312" w:cs="Times New Roman"/>
          <w:color w:val="141414"/>
          <w:kern w:val="0"/>
          <w:sz w:val="32"/>
          <w:szCs w:val="32"/>
          <w:shd w:val="clear" w:color="auto" w:fill="FFFFFF"/>
          <w:lang w:bidi="ar"/>
        </w:rPr>
        <w:t>大力提升粮食仓储能力，与盐城、宿迁合作启动40万吨域外粮食储备基地建设。</w:t>
      </w:r>
    </w:p>
    <w:p w14:paraId="516113AC">
      <w:pPr>
        <w:pStyle w:val="2"/>
        <w:keepNext w:val="0"/>
        <w:keepLines w:val="0"/>
        <w:pageBreakBefore w:val="0"/>
        <w:widowControl w:val="0"/>
        <w:kinsoku/>
        <w:wordWrap/>
        <w:overflowPunct/>
        <w:topLinePunct w:val="0"/>
        <w:autoSpaceDE/>
        <w:autoSpaceDN/>
        <w:bidi w:val="0"/>
        <w:spacing w:line="576" w:lineRule="exact"/>
        <w:textAlignment w:val="auto"/>
        <w:rPr>
          <w:rFonts w:hint="eastAsia" w:ascii="黑体" w:hAnsi="黑体" w:eastAsia="黑体" w:cs="黑体"/>
          <w:kern w:val="2"/>
          <w:sz w:val="32"/>
          <w:szCs w:val="24"/>
          <w:lang w:val="en-US" w:eastAsia="zh-CN" w:bidi="ar-SA"/>
        </w:rPr>
      </w:pPr>
      <w:r>
        <w:rPr>
          <w:rFonts w:hint="default" w:ascii="黑体" w:hAnsi="黑体" w:eastAsia="黑体" w:cs="黑体"/>
          <w:kern w:val="2"/>
          <w:sz w:val="32"/>
          <w:szCs w:val="24"/>
          <w:lang w:val="en-US" w:eastAsia="zh-CN" w:bidi="ar-SA"/>
        </w:rPr>
        <w:t>二</w:t>
      </w:r>
      <w:r>
        <w:rPr>
          <w:rFonts w:hint="eastAsia" w:ascii="黑体" w:hAnsi="黑体" w:eastAsia="黑体" w:cs="黑体"/>
          <w:kern w:val="2"/>
          <w:sz w:val="32"/>
          <w:szCs w:val="24"/>
          <w:lang w:val="en-US" w:eastAsia="zh-CN" w:bidi="ar-SA"/>
        </w:rPr>
        <w:t>、</w:t>
      </w:r>
      <w:r>
        <w:rPr>
          <w:rFonts w:hint="eastAsia" w:cs="黑体"/>
          <w:kern w:val="2"/>
          <w:sz w:val="32"/>
          <w:szCs w:val="24"/>
          <w:lang w:val="en-US" w:eastAsia="zh-CN" w:bidi="ar-SA"/>
        </w:rPr>
        <w:t>乡村产业发展提质增效</w:t>
      </w:r>
    </w:p>
    <w:p w14:paraId="20F28181">
      <w:pPr>
        <w:pStyle w:val="2"/>
        <w:keepNext w:val="0"/>
        <w:keepLines w:val="0"/>
        <w:pageBreakBefore w:val="0"/>
        <w:widowControl w:val="0"/>
        <w:kinsoku/>
        <w:wordWrap/>
        <w:overflowPunct/>
        <w:topLinePunct w:val="0"/>
        <w:autoSpaceDE/>
        <w:autoSpaceDN/>
        <w:bidi w:val="0"/>
        <w:spacing w:line="576" w:lineRule="exact"/>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积极开展“农业农村投资促进年”活动，举办招商推介活动17场，落地项目57个。扎实推进16个省级农业全产业链项目建设，总投资超4000万元。加强农业龙头企业培育，新增农业产业化国家重点龙头企业2家。实施农业品牌高质量发展三年行动，开展农产品区域公用品牌建设，新增国家级农产品区域公用品牌3个，国家级农业精品品牌1个。出台苏州地产优质大闸蟹促消费工作方案，统筹做好大闸蟹优产优销工作。全面推动农文旅深度融合，新增中国美丽乡村休闲旅游行（春夏季）精品景点线路2条，建成省级以上乡村旅游重点村21家。加强农业废弃物资源化利用，全市秸秆综合利用率达99.9%、畜禽粪污资源化利用率达96.4%。深入实施农业生产“三品一标”提升行动，全年新增绿色有机农产品38个，创建长三角地区首批优质农产品基地3个。</w:t>
      </w:r>
    </w:p>
    <w:p w14:paraId="660E7F0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三、和美乡村全域拓展</w:t>
      </w:r>
    </w:p>
    <w:p w14:paraId="118B56E5">
      <w:pPr>
        <w:pStyle w:val="2"/>
        <w:keepNext w:val="0"/>
        <w:keepLines w:val="0"/>
        <w:pageBreakBefore w:val="0"/>
        <w:widowControl w:val="0"/>
        <w:kinsoku/>
        <w:wordWrap/>
        <w:overflowPunct/>
        <w:topLinePunct w:val="0"/>
        <w:autoSpaceDE/>
        <w:autoSpaceDN/>
        <w:bidi w:val="0"/>
        <w:spacing w:line="576" w:lineRule="exact"/>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强化农村人居环境长效管护</w:t>
      </w:r>
      <w:r>
        <w:rPr>
          <w:rFonts w:hint="eastAsia" w:ascii="Times New Roman" w:hAnsi="Times New Roman" w:eastAsia="楷体_GB2312" w:cs="Times New Roman"/>
          <w:b w:val="0"/>
          <w:bCs w:val="0"/>
          <w:color w:val="141414"/>
          <w:kern w:val="0"/>
          <w:sz w:val="32"/>
          <w:szCs w:val="32"/>
          <w:shd w:val="clear" w:color="auto" w:fill="FFFFFF"/>
          <w:lang w:val="en-US" w:eastAsia="zh-CN" w:bidi="ar"/>
        </w:rPr>
        <w:t>，</w:t>
      </w:r>
      <w:r>
        <w:rPr>
          <w:rFonts w:hint="eastAsia" w:ascii="Times New Roman" w:hAnsi="Times New Roman" w:eastAsia="仿宋_GB2312" w:cs="Times New Roman"/>
          <w:b w:val="0"/>
          <w:bCs w:val="0"/>
          <w:color w:val="000000"/>
          <w:kern w:val="2"/>
          <w:sz w:val="32"/>
          <w:szCs w:val="32"/>
          <w:lang w:val="en-US" w:eastAsia="zh-CN" w:bidi="ar-SA"/>
        </w:rPr>
        <w:t>制定《关于新形势下进一步优化全市农村人居环境整治提升工作的指导意见》《全市农村人居环境整治检查考核优化方案》等文件，推动农村人居环境从整治攻坚向常态长效转段提升，精简优化农村人居环境考核，减轻基层负担，提升工作效能。全市累计建成省级宜居宜业和美乡村139个、省级特色田园乡村87个，均为全省第一，特色康居（宜居）乡村占比100%。有序推动农房改善，推出多样化的农房设计方案，支持和引导村民按照政策要求和实际需求建房，目前全市112万栋农村自建房全部上图入库，3.6万户农房在近两年完成改善，初步形成了风貌和谐、错落有致的水乡聚落形态。持续推进片区建设，明确2024年为“片区化建设推进年”，每个县级市（区）重点推进1~2个片区建设，建立片区重点项目库，统筹乡村建设、现代农业、农文旅联动发展等各类重点项目1815个，年内累计完成投资超200亿元。加快基本公共服务提档升级，推动城乡“15分钟医保服务圈”、“15分钟养老服务圈”、农村义务教育学校集团化办学等公共服务实现优质均衡全覆盖，让农民就地享受现代化生活条件。</w:t>
      </w:r>
    </w:p>
    <w:p w14:paraId="56868C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四、乡村治理水平提升</w:t>
      </w:r>
    </w:p>
    <w:p w14:paraId="40179078">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hAnsi="黑体" w:eastAsia="黑体" w:cs="黑体"/>
          <w:lang w:val="en-US" w:eastAsia="zh-CN"/>
        </w:rPr>
      </w:pPr>
      <w:r>
        <w:rPr>
          <w:rFonts w:hint="eastAsia" w:ascii="Times New Roman" w:hAnsi="Times New Roman" w:cs="Times New Roman"/>
          <w:color w:val="000000"/>
          <w:kern w:val="2"/>
          <w:sz w:val="32"/>
          <w:szCs w:val="32"/>
          <w:lang w:val="en-US" w:eastAsia="zh-CN" w:bidi="ar-SA"/>
        </w:rPr>
        <w:t>以文明村镇创建为引领，统筹推进优秀农耕文化保护、千村故事传承等工程，展现“十里不同风”的乡村特质。大力选树宣传先进典型，营造崇德向善良好氛围，全年共评选出“苏州时代新人”55人，其中11人来自农村地区。推广应用“积分制”等治理方式，整治农村封建迷信、厚葬薄养、铺张浪费等陈规陋习，昆山市“三级议事”、常熟市辛庄镇“新风礼堂”、常熟市董浜镇“一户四照”入选全省乡村治理“工具箱”，数量占全省第一。积极发挥新时代文明实践中心、乡村戏台等载体作用，连片开展书法绘画、村村有戏、美丽乡村健康行等活动，充实农民精神文化生活，带动生活理念和生活方式改变，促进“人的现代化”。</w:t>
      </w:r>
    </w:p>
    <w:p w14:paraId="3A9076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五、强村富民加快推进</w:t>
      </w:r>
    </w:p>
    <w:p w14:paraId="41B24C0E">
      <w:pPr>
        <w:keepNext w:val="0"/>
        <w:keepLines w:val="0"/>
        <w:pageBreakBefore w:val="0"/>
        <w:widowControl w:val="0"/>
        <w:kinsoku/>
        <w:wordWrap/>
        <w:overflowPunct/>
        <w:topLinePunct w:val="0"/>
        <w:autoSpaceDE/>
        <w:autoSpaceDN/>
        <w:bidi w:val="0"/>
        <w:spacing w:line="576" w:lineRule="exact"/>
        <w:ind w:firstLine="640"/>
        <w:textAlignment w:val="auto"/>
        <w:rPr>
          <w:rFonts w:hint="eastAsia" w:ascii="Times New Roman" w:hAnsi="Times New Roman" w:eastAsia="仿宋_GB2312" w:cs="Times New Roman"/>
          <w:color w:val="000000"/>
          <w:spacing w:val="-6"/>
          <w:kern w:val="0"/>
          <w:sz w:val="32"/>
          <w:szCs w:val="32"/>
          <w:lang w:val="en-US" w:eastAsia="zh-CN" w:bidi="ar-SA"/>
        </w:rPr>
      </w:pPr>
      <w:r>
        <w:rPr>
          <w:rFonts w:hint="eastAsia" w:ascii="Times New Roman" w:hAnsi="Times New Roman" w:cs="Times New Roman"/>
          <w:color w:val="000000"/>
          <w:spacing w:val="-6"/>
          <w:kern w:val="0"/>
          <w:sz w:val="32"/>
          <w:szCs w:val="32"/>
          <w:lang w:val="en-US" w:eastAsia="zh-CN" w:bidi="ar-SA"/>
        </w:rPr>
        <w:t>坚持走共同富裕的乡村振兴道路，</w:t>
      </w:r>
      <w:r>
        <w:rPr>
          <w:rFonts w:hint="eastAsia" w:ascii="Times New Roman" w:hAnsi="Times New Roman" w:cs="Times New Roman"/>
          <w:color w:val="000000"/>
          <w:sz w:val="32"/>
          <w:szCs w:val="32"/>
          <w:lang w:val="en-US" w:eastAsia="zh-CN"/>
        </w:rPr>
        <w:t>落实强村富民22条举措，持续</w:t>
      </w:r>
      <w:r>
        <w:rPr>
          <w:rFonts w:hint="eastAsia" w:ascii="Times New Roman" w:hAnsi="Times New Roman" w:eastAsia="仿宋_GB2312" w:cs="Times New Roman"/>
          <w:color w:val="000000"/>
          <w:spacing w:val="-6"/>
          <w:kern w:val="0"/>
          <w:sz w:val="32"/>
          <w:szCs w:val="32"/>
          <w:lang w:val="en-US" w:eastAsia="zh-CN" w:bidi="ar-SA"/>
        </w:rPr>
        <w:t>推动</w:t>
      </w:r>
      <w:r>
        <w:rPr>
          <w:rFonts w:hint="eastAsia" w:ascii="Times New Roman" w:hAnsi="Times New Roman" w:cs="Times New Roman"/>
          <w:color w:val="000000"/>
          <w:spacing w:val="-6"/>
          <w:kern w:val="0"/>
          <w:sz w:val="32"/>
          <w:szCs w:val="32"/>
          <w:lang w:val="en-US" w:eastAsia="zh-CN" w:bidi="ar-SA"/>
        </w:rPr>
        <w:t>村级</w:t>
      </w:r>
      <w:r>
        <w:rPr>
          <w:rFonts w:hint="eastAsia" w:ascii="Times New Roman" w:hAnsi="Times New Roman" w:eastAsia="仿宋_GB2312" w:cs="Times New Roman"/>
          <w:color w:val="000000"/>
          <w:spacing w:val="-6"/>
          <w:kern w:val="0"/>
          <w:sz w:val="32"/>
          <w:szCs w:val="32"/>
          <w:lang w:val="en-US" w:eastAsia="zh-CN" w:bidi="ar-SA"/>
        </w:rPr>
        <w:t>集体经济发展</w:t>
      </w:r>
      <w:r>
        <w:rPr>
          <w:rFonts w:hint="eastAsia" w:ascii="Times New Roman" w:hAnsi="Times New Roman" w:cs="Times New Roman"/>
          <w:color w:val="000000"/>
          <w:spacing w:val="-6"/>
          <w:kern w:val="0"/>
          <w:sz w:val="32"/>
          <w:szCs w:val="32"/>
          <w:lang w:val="en-US" w:eastAsia="zh-CN" w:bidi="ar-SA"/>
        </w:rPr>
        <w:t>走在前列</w:t>
      </w:r>
      <w:r>
        <w:rPr>
          <w:rFonts w:hint="eastAsia" w:ascii="Times New Roman" w:hAnsi="Times New Roman" w:eastAsia="仿宋_GB2312" w:cs="Times New Roman"/>
          <w:color w:val="000000"/>
          <w:spacing w:val="-6"/>
          <w:kern w:val="0"/>
          <w:sz w:val="32"/>
          <w:szCs w:val="32"/>
          <w:lang w:val="en-US" w:eastAsia="zh-CN" w:bidi="ar-SA"/>
        </w:rPr>
        <w:t>，</w:t>
      </w:r>
      <w:r>
        <w:rPr>
          <w:rFonts w:hint="eastAsia" w:ascii="Times New Roman" w:hAnsi="Times New Roman" w:cs="Times New Roman"/>
          <w:color w:val="000000"/>
          <w:spacing w:val="-6"/>
          <w:kern w:val="0"/>
          <w:sz w:val="32"/>
          <w:szCs w:val="32"/>
          <w:lang w:val="en-US" w:eastAsia="zh-CN" w:bidi="ar-SA"/>
        </w:rPr>
        <w:t>全市</w:t>
      </w:r>
      <w:r>
        <w:rPr>
          <w:rFonts w:hint="eastAsia" w:ascii="Times New Roman" w:hAnsi="Times New Roman" w:eastAsia="仿宋_GB2312" w:cs="Times New Roman"/>
          <w:color w:val="000000"/>
          <w:spacing w:val="-6"/>
          <w:kern w:val="0"/>
          <w:sz w:val="32"/>
          <w:szCs w:val="32"/>
          <w:lang w:val="en-US" w:eastAsia="zh-CN" w:bidi="ar-SA"/>
        </w:rPr>
        <w:t>村级集体总收入、经营性收入和村级集体总资产、经营性资产保持在全省首位。</w:t>
      </w:r>
      <w:r>
        <w:rPr>
          <w:rFonts w:hint="eastAsia" w:ascii="Times New Roman" w:hAnsi="Times New Roman" w:cs="Times New Roman"/>
          <w:color w:val="000000"/>
          <w:spacing w:val="-6"/>
          <w:kern w:val="0"/>
          <w:sz w:val="32"/>
          <w:szCs w:val="32"/>
          <w:lang w:val="en-US" w:eastAsia="zh-CN" w:bidi="ar-SA"/>
        </w:rPr>
        <w:t>开展农村创业创新典型培育，累计培育全国农村创业园区（基地）48个、全国农村创业创新典型县3个、全国创业创新典型带头人10人、农村创业创新典型1500人，连续7年举办全市农村创业创新项目创意大赛。有序开展送技下乡创业培训，累计成功扶持农民创业807人。完善联农带农机制，推广“企业+合作社+农户”订单合同模式等做法，与农户建立紧密联结模式，促进共同发展。深化“万企兴万村”行动，全市民营企业和商会已累计实施村企合作项目1813个、完成投资超70亿元。</w:t>
      </w:r>
      <w:r>
        <w:rPr>
          <w:rFonts w:hint="eastAsia" w:ascii="Times New Roman" w:hAnsi="Times New Roman" w:eastAsia="仿宋_GB2312" w:cs="Times New Roman"/>
          <w:color w:val="000000"/>
          <w:spacing w:val="-6"/>
          <w:kern w:val="0"/>
          <w:sz w:val="32"/>
          <w:szCs w:val="32"/>
          <w:lang w:val="en-US" w:eastAsia="zh-CN" w:bidi="ar-SA"/>
        </w:rPr>
        <w:t>“一村一策”推进乡村振兴重点帮促村高质量发展，安排财政资金2500万元对重点帮促村43个优质发展载体实行以奖代补、先建后补，项目总投资</w:t>
      </w:r>
      <w:r>
        <w:rPr>
          <w:rFonts w:hint="eastAsia" w:ascii="Times New Roman" w:hAnsi="Times New Roman" w:cs="Times New Roman"/>
          <w:color w:val="000000"/>
          <w:spacing w:val="-6"/>
          <w:kern w:val="0"/>
          <w:sz w:val="32"/>
          <w:szCs w:val="32"/>
          <w:lang w:val="en-US" w:eastAsia="zh-CN" w:bidi="ar-SA"/>
        </w:rPr>
        <w:t>达</w:t>
      </w:r>
      <w:r>
        <w:rPr>
          <w:rFonts w:hint="eastAsia" w:ascii="Times New Roman" w:hAnsi="Times New Roman" w:eastAsia="仿宋_GB2312" w:cs="Times New Roman"/>
          <w:color w:val="000000"/>
          <w:spacing w:val="-6"/>
          <w:kern w:val="0"/>
          <w:sz w:val="32"/>
          <w:szCs w:val="32"/>
          <w:lang w:val="en-US" w:eastAsia="zh-CN" w:bidi="ar-SA"/>
        </w:rPr>
        <w:t>20.96亿元</w:t>
      </w:r>
      <w:r>
        <w:rPr>
          <w:rFonts w:hint="eastAsia" w:ascii="Times New Roman" w:hAnsi="Times New Roman" w:cs="Times New Roman"/>
          <w:color w:val="000000"/>
          <w:spacing w:val="-6"/>
          <w:kern w:val="0"/>
          <w:sz w:val="32"/>
          <w:szCs w:val="32"/>
          <w:lang w:val="en-US" w:eastAsia="zh-CN" w:bidi="ar-SA"/>
        </w:rPr>
        <w:t>。</w:t>
      </w:r>
      <w:r>
        <w:rPr>
          <w:rFonts w:hint="eastAsia" w:ascii="Times New Roman" w:hAnsi="Times New Roman" w:eastAsia="仿宋_GB2312" w:cs="Times New Roman"/>
          <w:color w:val="000000"/>
          <w:spacing w:val="-6"/>
          <w:kern w:val="0"/>
          <w:sz w:val="32"/>
          <w:szCs w:val="32"/>
          <w:lang w:val="en-US" w:eastAsia="zh-CN" w:bidi="ar-SA"/>
        </w:rPr>
        <w:t>推动乡村医疗互助试点扩面提效，全市共45个乡镇（街道）661个村（社区）参与，累计补助4.6万人次、补助金额4.11亿元，住院群众医疗负担（自费部分）平均减轻41.41%。将改造提升40个乡村互助养老睦邻点列入省政府民生实事项目</w:t>
      </w:r>
      <w:r>
        <w:rPr>
          <w:rFonts w:hint="eastAsia" w:ascii="Times New Roman" w:hAnsi="Times New Roman" w:cs="Times New Roman"/>
          <w:color w:val="000000"/>
          <w:spacing w:val="-6"/>
          <w:kern w:val="0"/>
          <w:sz w:val="32"/>
          <w:szCs w:val="32"/>
          <w:lang w:val="en-US" w:eastAsia="zh-CN" w:bidi="ar-SA"/>
        </w:rPr>
        <w:t>，</w:t>
      </w:r>
      <w:r>
        <w:rPr>
          <w:rFonts w:hint="eastAsia" w:ascii="Times New Roman" w:hAnsi="Times New Roman" w:eastAsia="仿宋_GB2312" w:cs="Times New Roman"/>
          <w:color w:val="000000"/>
          <w:spacing w:val="-6"/>
          <w:kern w:val="0"/>
          <w:sz w:val="32"/>
          <w:szCs w:val="32"/>
          <w:lang w:val="en-US" w:eastAsia="zh-CN" w:bidi="ar-SA"/>
        </w:rPr>
        <w:t>创新建立“家门口”就业服务站，累计兜底帮扶五类困难人员实现就业2945人。</w:t>
      </w:r>
    </w:p>
    <w:p w14:paraId="6857E3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六、农村改革全面深化</w:t>
      </w:r>
    </w:p>
    <w:p w14:paraId="2470A9AF">
      <w:pPr>
        <w:pStyle w:val="2"/>
        <w:keepNext w:val="0"/>
        <w:keepLines w:val="0"/>
        <w:pageBreakBefore w:val="0"/>
        <w:widowControl w:val="0"/>
        <w:kinsoku/>
        <w:wordWrap/>
        <w:overflowPunct/>
        <w:topLinePunct w:val="0"/>
        <w:autoSpaceDE/>
        <w:autoSpaceDN/>
        <w:bidi w:val="0"/>
        <w:spacing w:line="576" w:lineRule="exact"/>
        <w:jc w:val="both"/>
        <w:textAlignment w:val="auto"/>
        <w:rPr>
          <w:rFonts w:hint="eastAsia" w:ascii="Times New Roman" w:hAnsi="Times New Roman" w:eastAsia="仿宋_GB2312" w:cs="Times New Roman"/>
          <w:color w:val="000000"/>
          <w:spacing w:val="-6"/>
          <w:kern w:val="0"/>
          <w:sz w:val="32"/>
          <w:szCs w:val="32"/>
          <w:lang w:val="en-US" w:eastAsia="zh-CN" w:bidi="ar-SA"/>
        </w:rPr>
      </w:pPr>
      <w:r>
        <w:rPr>
          <w:rFonts w:hint="eastAsia" w:ascii="Times New Roman" w:hAnsi="Times New Roman" w:eastAsia="仿宋_GB2312" w:cs="Times New Roman"/>
          <w:color w:val="000000"/>
          <w:spacing w:val="-6"/>
          <w:kern w:val="0"/>
          <w:sz w:val="32"/>
          <w:szCs w:val="32"/>
          <w:lang w:val="en-US" w:eastAsia="zh-CN" w:bidi="ar-SA"/>
        </w:rPr>
        <w:t>实施“1+2”集成改革，新申报“率先基本实现农业农村现代化”等4项国家级农村改革试点通过集中答辩，3项国家级农村改革试点、4项省级农村改革试点通过到期验收。</w:t>
      </w:r>
      <w:r>
        <w:rPr>
          <w:rFonts w:hint="eastAsia" w:ascii="Times New Roman" w:hAnsi="Times New Roman" w:eastAsia="仿宋_GB2312" w:cs="Times New Roman"/>
          <w:b/>
          <w:bCs/>
          <w:color w:val="000000"/>
          <w:spacing w:val="-6"/>
          <w:kern w:val="0"/>
          <w:sz w:val="32"/>
          <w:szCs w:val="32"/>
          <w:lang w:val="en-US" w:eastAsia="zh-CN" w:bidi="ar-SA"/>
        </w:rPr>
        <w:t>推进农业生产体系集成改革，</w:t>
      </w:r>
      <w:r>
        <w:rPr>
          <w:rFonts w:hint="eastAsia" w:ascii="Times New Roman" w:hAnsi="Times New Roman" w:eastAsia="仿宋_GB2312" w:cs="Times New Roman"/>
          <w:color w:val="000000"/>
          <w:spacing w:val="-6"/>
          <w:kern w:val="0"/>
          <w:sz w:val="32"/>
          <w:szCs w:val="32"/>
          <w:lang w:val="en-US" w:eastAsia="zh-CN" w:bidi="ar-SA"/>
        </w:rPr>
        <w:t>以种植业（粮食）为主要对象，全市确定9个农业生产体系集成改革试点镇（街道）、19个专项改革试点镇（街道），建立以提高单产为目标的适度规模经营引导机制，探索土地租期合理延长机制，完善与单产、规模、地力关联的土地租金调整机制，加强农业技术、社会化服务的推广普及，构建集成式解决方案。</w:t>
      </w:r>
      <w:r>
        <w:rPr>
          <w:rFonts w:hint="eastAsia" w:ascii="Times New Roman" w:hAnsi="Times New Roman" w:eastAsia="仿宋_GB2312" w:cs="Times New Roman"/>
          <w:b/>
          <w:bCs/>
          <w:color w:val="000000"/>
          <w:spacing w:val="-6"/>
          <w:kern w:val="0"/>
          <w:sz w:val="32"/>
          <w:szCs w:val="32"/>
          <w:lang w:val="en-US" w:eastAsia="zh-CN" w:bidi="ar-SA"/>
        </w:rPr>
        <w:t>推进农村发展集成改革，</w:t>
      </w:r>
      <w:r>
        <w:rPr>
          <w:rFonts w:hint="eastAsia" w:ascii="Times New Roman" w:hAnsi="Times New Roman" w:eastAsia="仿宋_GB2312" w:cs="Times New Roman"/>
          <w:color w:val="000000"/>
          <w:spacing w:val="-6"/>
          <w:kern w:val="0"/>
          <w:sz w:val="32"/>
          <w:szCs w:val="32"/>
          <w:lang w:val="en-US" w:eastAsia="zh-CN" w:bidi="ar-SA"/>
        </w:rPr>
        <w:t>以宜居宜业和美乡村建设为载体，联动推进集体经济发展、村级运行管理、乡村基层治理与和美乡村建设体制机制创新，探索建立能负担、可持续的保障机制，重塑新型城乡关系，激活乡村发展动能。以“抓两头、促中间”为路径，开展“重点村”示范引领行动、“帮促村”强基攻坚行动和“中间村”全面提升行动，先后举办两期村社“书记讲给书记听”活动暨村社书记工作交流会，强化典型经验总结推广，打造各美其美、美美与共的乡村“百花园”。</w:t>
      </w:r>
      <w:r>
        <w:rPr>
          <w:rFonts w:hint="eastAsia" w:ascii="Times New Roman" w:hAnsi="Times New Roman" w:eastAsia="仿宋_GB2312" w:cs="Times New Roman"/>
          <w:b/>
          <w:bCs/>
          <w:color w:val="000000"/>
          <w:spacing w:val="-6"/>
          <w:kern w:val="0"/>
          <w:sz w:val="32"/>
          <w:szCs w:val="32"/>
          <w:lang w:val="en-US" w:eastAsia="zh-CN" w:bidi="ar-SA"/>
        </w:rPr>
        <w:t>深化农村土地制度改革，</w:t>
      </w:r>
      <w:r>
        <w:rPr>
          <w:rFonts w:hint="eastAsia" w:ascii="Times New Roman" w:hAnsi="Times New Roman" w:eastAsia="仿宋_GB2312" w:cs="Times New Roman"/>
          <w:color w:val="000000"/>
          <w:spacing w:val="-6"/>
          <w:kern w:val="0"/>
          <w:sz w:val="32"/>
          <w:szCs w:val="32"/>
          <w:lang w:val="en-US" w:eastAsia="zh-CN" w:bidi="ar-SA"/>
        </w:rPr>
        <w:t>组织常熟市、太仓市开展第二轮土地承包到期后再延长30年省级试点。加强宅基地改革管理，指导督促67个镇（涉农街道）建立一窗受理、部门联审联办制度，将村委会核实材料时间缩减至10个工作日内，镇级审核并印发宅基地批准书压减6个工作日。有序推进吴江区等地开展农村集体经营性建设用地入市试点，规范收益分配管理和监管措施，全市共完成农村集体经营性建设用地入市34宗，宗地面积达509.3亩，成交金额达4.8亿元。</w:t>
      </w:r>
    </w:p>
    <w:p w14:paraId="118D005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七、组织保障有力有效</w:t>
      </w:r>
    </w:p>
    <w:p w14:paraId="1FE7B6E3">
      <w:pPr>
        <w:pStyle w:val="2"/>
        <w:keepNext w:val="0"/>
        <w:keepLines w:val="0"/>
        <w:pageBreakBefore w:val="0"/>
        <w:widowControl w:val="0"/>
        <w:kinsoku/>
        <w:wordWrap/>
        <w:overflowPunct/>
        <w:topLinePunct w:val="0"/>
        <w:autoSpaceDE/>
        <w:autoSpaceDN/>
        <w:bidi w:val="0"/>
        <w:spacing w:line="576" w:lineRule="exact"/>
        <w:textAlignment w:val="auto"/>
        <w:rPr>
          <w:rFonts w:hint="eastAsia" w:ascii="Times New Roman" w:hAnsi="Times New Roman" w:eastAsia="仿宋_GB2312" w:cs="Times New Roman"/>
          <w:color w:val="000000"/>
          <w:kern w:val="0"/>
          <w:sz w:val="32"/>
          <w:szCs w:val="24"/>
          <w:lang w:val="en-US" w:eastAsia="zh-CN" w:bidi="ar-SA"/>
        </w:rPr>
      </w:pPr>
      <w:r>
        <w:rPr>
          <w:rFonts w:hint="eastAsia" w:ascii="Times New Roman" w:hAnsi="Times New Roman" w:eastAsia="仿宋_GB2312" w:cs="Times New Roman"/>
          <w:color w:val="000000"/>
          <w:kern w:val="0"/>
          <w:sz w:val="32"/>
          <w:szCs w:val="24"/>
          <w:lang w:val="en-US" w:eastAsia="zh-CN" w:bidi="ar-SA"/>
        </w:rPr>
        <w:t>坚持和加强党对农村工作的全面领导，及时更新调整市委农村工作领导小组，强化党委农村工作机构牵头抓总、统筹协调作用。市委主要领导带队赴8个县级市（涉农区）开展“一县一片”互比互看调研活动，推动各地亮特色、晒实效、找差距、促提升。聚焦资金、人才、土地等资源要素，落实农业农村优先发展的总方针。在资金投入上，构建“财政+金融+社会化”投入模式，优先保障用于乡村振兴的财政投入，2024年全市财政安排农林水支出预算130亿元，较上年保持只增不减。强化农业保险创新创优，开发茶叶气象、枇杷低温等地方特色险种，全年累计提供农业风险保障53.72亿元。做强做优省市合作乡村振兴基金，制定《以片区化理念强化金融服务乡村振兴工作方案》，推动金融资本有序进村入乡。在人才引育上，发布全国首个高素质农民培养地方标准，全年组织高素质农民培训近万人次，农业农村人才定向委培实现涉农板块全覆盖。在土地保障上，落实不低于5%新增建设用地指标用于农村发展。推进全域土地综合整治，推广闲置宅基地盘活利用试点经验，唤醒乡村“沉睡的资源”。</w:t>
      </w:r>
    </w:p>
    <w:p w14:paraId="3972FFE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2025年</w:t>
      </w:r>
      <w:r>
        <w:rPr>
          <w:rFonts w:hint="eastAsia" w:ascii="Times New Roman" w:hAnsi="Times New Roman" w:eastAsia="仿宋_GB2312" w:cs="Times New Roman"/>
          <w:b w:val="0"/>
          <w:bCs w:val="0"/>
          <w:kern w:val="2"/>
          <w:sz w:val="32"/>
          <w:szCs w:val="32"/>
          <w:lang w:val="en-US" w:eastAsia="zh-CN" w:bidi="ar-SA"/>
        </w:rPr>
        <w:t>，苏州</w:t>
      </w:r>
      <w:r>
        <w:rPr>
          <w:rFonts w:hint="default" w:ascii="Times New Roman" w:hAnsi="Times New Roman" w:eastAsia="仿宋_GB2312" w:cs="Times New Roman"/>
          <w:b w:val="0"/>
          <w:bCs w:val="0"/>
          <w:kern w:val="2"/>
          <w:sz w:val="32"/>
          <w:szCs w:val="32"/>
          <w:lang w:val="en-US" w:eastAsia="zh-CN" w:bidi="ar-SA"/>
        </w:rPr>
        <w:t>将</w:t>
      </w:r>
      <w:r>
        <w:rPr>
          <w:rFonts w:hint="default" w:ascii="Times New Roman" w:hAnsi="Times New Roman" w:eastAsia="方正仿宋_GBK" w:cs="Times New Roman"/>
          <w:b w:val="0"/>
          <w:bCs w:val="0"/>
          <w:color w:val="auto"/>
          <w:spacing w:val="0"/>
          <w:kern w:val="2"/>
          <w:sz w:val="32"/>
          <w:szCs w:val="32"/>
          <w:lang w:val="en-US" w:eastAsia="zh-CN" w:bidi="ar-SA"/>
        </w:rPr>
        <w:t>深入贯彻习近平总书记重要讲话重要指示精神，</w:t>
      </w:r>
      <w:r>
        <w:rPr>
          <w:rFonts w:hint="eastAsia" w:ascii="Times New Roman" w:hAnsi="Times New Roman" w:eastAsia="仿宋_GB2312" w:cs="Times New Roman"/>
          <w:b w:val="0"/>
          <w:bCs w:val="0"/>
          <w:kern w:val="2"/>
          <w:sz w:val="32"/>
          <w:szCs w:val="32"/>
          <w:lang w:val="en-US" w:eastAsia="zh-CN" w:bidi="ar-SA"/>
        </w:rPr>
        <w:t>贯彻落实中央、省委农村工作会议部署要求，重点聚焦“1+3”（一个中心目标、三项重点任务）目标任务，</w:t>
      </w:r>
      <w:r>
        <w:rPr>
          <w:rFonts w:hint="default" w:ascii="Times New Roman" w:hAnsi="Times New Roman" w:eastAsia="仿宋_GB2312" w:cs="Times New Roman"/>
          <w:b w:val="0"/>
          <w:bCs w:val="0"/>
          <w:kern w:val="2"/>
          <w:sz w:val="32"/>
          <w:szCs w:val="32"/>
          <w:lang w:val="en-US" w:eastAsia="zh-CN" w:bidi="ar-SA"/>
        </w:rPr>
        <w:t>统筹新型工业化、新型城镇化和乡村全面振兴，</w:t>
      </w:r>
      <w:r>
        <w:rPr>
          <w:rFonts w:hint="default" w:ascii="Times New Roman" w:hAnsi="Times New Roman" w:eastAsia="仿宋_GB2312" w:cs="Times New Roman"/>
          <w:b w:val="0"/>
          <w:bCs w:val="0"/>
          <w:kern w:val="2"/>
          <w:sz w:val="32"/>
          <w:szCs w:val="32"/>
          <w:lang w:val="en-US" w:eastAsia="zh-Hans" w:bidi="ar-SA"/>
        </w:rPr>
        <w:t>强化</w:t>
      </w:r>
      <w:r>
        <w:rPr>
          <w:rFonts w:hint="default" w:ascii="Times New Roman" w:hAnsi="Times New Roman" w:eastAsia="仿宋_GB2312" w:cs="Times New Roman"/>
          <w:b w:val="0"/>
          <w:bCs w:val="0"/>
          <w:kern w:val="2"/>
          <w:sz w:val="32"/>
          <w:szCs w:val="32"/>
          <w:lang w:val="en-US" w:eastAsia="zh-CN" w:bidi="ar-SA"/>
        </w:rPr>
        <w:t>科技和改革双轮驱动，</w:t>
      </w:r>
      <w:r>
        <w:rPr>
          <w:rFonts w:hint="eastAsia" w:ascii="Times New Roman" w:hAnsi="Times New Roman" w:eastAsia="仿宋_GB2312" w:cs="Times New Roman"/>
          <w:b w:val="0"/>
          <w:bCs w:val="0"/>
          <w:kern w:val="2"/>
          <w:sz w:val="32"/>
          <w:szCs w:val="32"/>
          <w:lang w:val="en-US" w:eastAsia="zh-CN" w:bidi="ar-SA"/>
        </w:rPr>
        <w:t>努力为中国式农业农村现代化提供苏州实践、贡献苏州力量。</w:t>
      </w:r>
    </w:p>
    <w:p w14:paraId="2FEB8D1E">
      <w:pPr>
        <w:keepNext w:val="0"/>
        <w:keepLines w:val="0"/>
        <w:pageBreakBefore w:val="0"/>
        <w:widowControl w:val="0"/>
        <w:kinsoku/>
        <w:wordWrap/>
        <w:topLinePunct w:val="0"/>
        <w:autoSpaceDE/>
        <w:autoSpaceDN/>
        <w:bidi w:val="0"/>
        <w:adjustRightInd w:val="0"/>
        <w:snapToGrid w:val="0"/>
        <w:spacing w:line="576" w:lineRule="exact"/>
        <w:ind w:firstLine="643" w:firstLineChars="200"/>
        <w:jc w:val="both"/>
        <w:textAlignment w:val="auto"/>
        <w:rPr>
          <w:rFonts w:hint="eastAsia" w:ascii="黑体" w:hAnsi="黑体" w:eastAsia="仿宋_GB2312" w:cs="黑体"/>
          <w:kern w:val="2"/>
          <w:sz w:val="32"/>
          <w:szCs w:val="24"/>
          <w:lang w:val="en-US" w:eastAsia="zh-CN" w:bidi="ar-SA"/>
        </w:rPr>
      </w:pPr>
      <w:r>
        <w:rPr>
          <w:rFonts w:hint="eastAsia" w:ascii="Times New Roman" w:hAnsi="Times New Roman" w:eastAsia="仿宋_GB2312" w:cs="Times New Roman"/>
          <w:b/>
          <w:bCs/>
          <w:kern w:val="2"/>
          <w:sz w:val="32"/>
          <w:szCs w:val="32"/>
          <w:lang w:val="en-US" w:eastAsia="zh-CN" w:bidi="ar-SA"/>
        </w:rPr>
        <w:t>坚持聚焦奋进农业农村现代化这一中心目标，</w:t>
      </w:r>
      <w:r>
        <w:rPr>
          <w:rFonts w:hint="eastAsia" w:ascii="Times New Roman" w:hAnsi="Times New Roman" w:eastAsia="仿宋_GB2312" w:cs="Times New Roman"/>
          <w:b w:val="0"/>
          <w:bCs w:val="0"/>
          <w:kern w:val="2"/>
          <w:sz w:val="32"/>
          <w:szCs w:val="32"/>
          <w:lang w:val="en-US" w:eastAsia="zh-CN" w:bidi="ar-SA"/>
        </w:rPr>
        <w:t>做好2025年农业农村现代化</w:t>
      </w:r>
      <w:r>
        <w:rPr>
          <w:rFonts w:hint="default" w:ascii="Times New Roman" w:hAnsi="Times New Roman" w:eastAsia="仿宋_GB2312" w:cs="Times New Roman"/>
          <w:b w:val="0"/>
          <w:bCs w:val="0"/>
          <w:kern w:val="2"/>
          <w:sz w:val="32"/>
          <w:szCs w:val="32"/>
          <w:lang w:val="en-US" w:eastAsia="zh-Hans" w:bidi="ar-SA"/>
        </w:rPr>
        <w:t>“十四五”规划收官</w:t>
      </w:r>
      <w:r>
        <w:rPr>
          <w:rFonts w:hint="default" w:ascii="Times New Roman" w:hAnsi="Times New Roman" w:eastAsia="仿宋_GB2312" w:cs="Times New Roman"/>
          <w:b w:val="0"/>
          <w:bCs w:val="0"/>
          <w:kern w:val="2"/>
          <w:sz w:val="32"/>
          <w:szCs w:val="32"/>
          <w:lang w:val="en-US" w:eastAsia="zh-CN" w:bidi="ar-SA"/>
        </w:rPr>
        <w:t>、</w:t>
      </w:r>
      <w:r>
        <w:rPr>
          <w:rFonts w:hint="default" w:ascii="Times New Roman" w:hAnsi="Times New Roman" w:eastAsia="仿宋_GB2312" w:cs="Times New Roman"/>
          <w:b w:val="0"/>
          <w:bCs w:val="0"/>
          <w:kern w:val="2"/>
          <w:sz w:val="32"/>
          <w:szCs w:val="32"/>
          <w:lang w:val="en-US" w:eastAsia="zh-Hans" w:bidi="ar-SA"/>
        </w:rPr>
        <w:t>第二轮</w:t>
      </w:r>
      <w:r>
        <w:rPr>
          <w:rFonts w:hint="default" w:ascii="Times New Roman" w:hAnsi="Times New Roman" w:eastAsia="仿宋_GB2312" w:cs="Times New Roman"/>
          <w:b w:val="0"/>
          <w:bCs w:val="0"/>
          <w:kern w:val="2"/>
          <w:sz w:val="32"/>
          <w:szCs w:val="32"/>
          <w:lang w:val="en-US" w:eastAsia="zh-CN" w:bidi="ar-SA"/>
        </w:rPr>
        <w:t>率先基本实现</w:t>
      </w:r>
      <w:r>
        <w:rPr>
          <w:rFonts w:hint="default" w:ascii="Times New Roman" w:hAnsi="Times New Roman" w:eastAsia="仿宋_GB2312" w:cs="Times New Roman"/>
          <w:b w:val="0"/>
          <w:bCs w:val="0"/>
          <w:kern w:val="2"/>
          <w:sz w:val="32"/>
          <w:szCs w:val="32"/>
          <w:lang w:val="en-US" w:eastAsia="zh-Hans" w:bidi="ar-SA"/>
        </w:rPr>
        <w:t>农业农村现代化三年行动收官，</w:t>
      </w:r>
      <w:r>
        <w:rPr>
          <w:rFonts w:hint="eastAsia" w:ascii="Times New Roman" w:hAnsi="Times New Roman" w:eastAsia="仿宋_GB2312" w:cs="Times New Roman"/>
          <w:b w:val="0"/>
          <w:bCs w:val="0"/>
          <w:kern w:val="2"/>
          <w:sz w:val="32"/>
          <w:szCs w:val="32"/>
          <w:lang w:val="en-US" w:eastAsia="zh-CN" w:bidi="ar-SA"/>
        </w:rPr>
        <w:t>对标国家乡村全面振兴规划、农业强国规划明确农业农村现代化阶段性目标要求，加强前瞻谋划，推进农业农村现代化不断取得新进展。</w:t>
      </w:r>
    </w:p>
    <w:p w14:paraId="5F00F086">
      <w:pPr>
        <w:keepNext w:val="0"/>
        <w:keepLines w:val="0"/>
        <w:pageBreakBefore w:val="0"/>
        <w:widowControl w:val="0"/>
        <w:kinsoku/>
        <w:wordWrap/>
        <w:topLinePunct w:val="0"/>
        <w:autoSpaceDE/>
        <w:autoSpaceDN/>
        <w:bidi w:val="0"/>
        <w:adjustRightInd w:val="0"/>
        <w:snapToGrid w:val="0"/>
        <w:spacing w:line="576" w:lineRule="exact"/>
        <w:ind w:firstLine="643" w:firstLineChars="200"/>
        <w:jc w:val="both"/>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坚持聚焦科技强农、片区联农、改革助农三项重点任务，</w:t>
      </w:r>
      <w:r>
        <w:rPr>
          <w:rFonts w:hint="eastAsia" w:ascii="Times New Roman" w:hAnsi="Times New Roman" w:eastAsia="仿宋_GB2312" w:cs="Times New Roman"/>
          <w:b w:val="0"/>
          <w:bCs w:val="0"/>
          <w:kern w:val="2"/>
          <w:sz w:val="32"/>
          <w:szCs w:val="32"/>
          <w:lang w:val="en-US" w:eastAsia="zh-CN" w:bidi="ar-SA"/>
        </w:rPr>
        <w:t>推进乡村全面振兴各项重点工作落地见效。</w:t>
      </w:r>
    </w:p>
    <w:p w14:paraId="2803EC8A">
      <w:pPr>
        <w:keepNext w:val="0"/>
        <w:keepLines w:val="0"/>
        <w:pageBreakBefore w:val="0"/>
        <w:widowControl w:val="0"/>
        <w:numPr>
          <w:ilvl w:val="0"/>
          <w:numId w:val="0"/>
        </w:numPr>
        <w:kinsoku/>
        <w:wordWrap/>
        <w:topLinePunct w:val="0"/>
        <w:autoSpaceDE/>
        <w:autoSpaceDN/>
        <w:bidi w:val="0"/>
        <w:adjustRightInd w:val="0"/>
        <w:snapToGrid w:val="0"/>
        <w:spacing w:line="576"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kern w:val="2"/>
          <w:sz w:val="32"/>
          <w:szCs w:val="24"/>
          <w:lang w:val="en-US" w:eastAsia="zh-CN" w:bidi="ar-SA"/>
        </w:rPr>
        <w:t>一、聚焦</w:t>
      </w:r>
      <w:r>
        <w:rPr>
          <w:rFonts w:hint="eastAsia" w:ascii="黑体" w:hAnsi="黑体" w:eastAsia="黑体" w:cs="黑体"/>
          <w:kern w:val="2"/>
          <w:sz w:val="32"/>
          <w:szCs w:val="24"/>
          <w:lang w:val="en-US" w:eastAsia="zh-Hans" w:bidi="ar-SA"/>
        </w:rPr>
        <w:t>科技强农</w:t>
      </w:r>
      <w:r>
        <w:rPr>
          <w:rFonts w:hint="default" w:ascii="黑体" w:hAnsi="黑体" w:eastAsia="黑体" w:cs="黑体"/>
          <w:kern w:val="2"/>
          <w:sz w:val="32"/>
          <w:szCs w:val="24"/>
          <w:lang w:eastAsia="zh-Hans" w:bidi="ar-SA"/>
        </w:rPr>
        <w:t>，</w:t>
      </w:r>
      <w:r>
        <w:rPr>
          <w:rFonts w:hint="eastAsia" w:ascii="黑体" w:hAnsi="黑体" w:eastAsia="黑体" w:cs="黑体"/>
          <w:kern w:val="2"/>
          <w:sz w:val="32"/>
          <w:szCs w:val="24"/>
          <w:lang w:eastAsia="zh-CN" w:bidi="ar-SA"/>
        </w:rPr>
        <w:t>推进</w:t>
      </w:r>
      <w:r>
        <w:rPr>
          <w:rFonts w:hint="eastAsia" w:ascii="黑体" w:hAnsi="黑体" w:eastAsia="黑体" w:cs="黑体"/>
          <w:kern w:val="2"/>
          <w:sz w:val="32"/>
          <w:szCs w:val="24"/>
          <w:lang w:val="en-US" w:eastAsia="zh-Hans" w:bidi="ar-SA"/>
        </w:rPr>
        <w:t>现代农业</w:t>
      </w:r>
      <w:r>
        <w:rPr>
          <w:rFonts w:hint="eastAsia" w:ascii="黑体" w:hAnsi="黑体" w:eastAsia="黑体" w:cs="黑体"/>
          <w:kern w:val="2"/>
          <w:sz w:val="32"/>
          <w:szCs w:val="24"/>
          <w:lang w:val="en-US" w:eastAsia="zh-CN" w:bidi="ar-SA"/>
        </w:rPr>
        <w:t>提质增效。</w:t>
      </w:r>
      <w:r>
        <w:rPr>
          <w:rFonts w:hint="eastAsia" w:ascii="楷体_GB2312" w:hAnsi="楷体_GB2312" w:eastAsia="楷体_GB2312" w:cs="楷体_GB2312"/>
          <w:b w:val="0"/>
          <w:bCs w:val="0"/>
          <w:kern w:val="2"/>
          <w:sz w:val="32"/>
          <w:szCs w:val="32"/>
          <w:lang w:val="en-US" w:eastAsia="zh-CN" w:bidi="ar-SA"/>
        </w:rPr>
        <w:t>突出抓好农业关键技术攻关，</w:t>
      </w:r>
      <w:r>
        <w:rPr>
          <w:rFonts w:ascii="Times New Roman" w:hAnsi="Times New Roman" w:eastAsia="仿宋_GB2312"/>
          <w:sz w:val="32"/>
          <w:szCs w:val="32"/>
          <w:highlight w:val="none"/>
        </w:rPr>
        <w:t>整合农业科创联盟、农业科研院所、农业企业等资源力量，联动布局打造农业科创平台，</w:t>
      </w:r>
      <w:r>
        <w:rPr>
          <w:rFonts w:hint="eastAsia" w:ascii="Times New Roman" w:eastAsia="仿宋_GB2312" w:cs="Nimbus Roman No9 L"/>
          <w:kern w:val="2"/>
          <w:sz w:val="32"/>
          <w:szCs w:val="32"/>
          <w:lang w:val="en-US" w:eastAsia="zh-CN" w:bidi="ar-SA"/>
        </w:rPr>
        <w:t>聚焦优质种业、高端农机、冷链储藏、智慧农业、农产品精深加工、农业工厂、生物制造、耕地质量、农产品质量与营养健康等关键技术，开展联合攻关，</w:t>
      </w:r>
      <w:r>
        <w:rPr>
          <w:rFonts w:hint="default" w:ascii="Times New Roman" w:hAnsi="Times New Roman" w:eastAsia="仿宋_GB2312" w:cs="Times New Roman"/>
          <w:sz w:val="32"/>
          <w:szCs w:val="32"/>
          <w:highlight w:val="none"/>
          <w:lang w:eastAsia="zh-CN"/>
        </w:rPr>
        <w:t>深化产学研推合作创新</w:t>
      </w:r>
      <w:r>
        <w:rPr>
          <w:rFonts w:hint="eastAsia" w:ascii="Times New Roman" w:hAnsi="Times New Roman" w:eastAsia="仿宋_GB2312" w:cs="Times New Roman"/>
          <w:sz w:val="32"/>
          <w:szCs w:val="32"/>
          <w:highlight w:val="none"/>
          <w:lang w:eastAsia="zh-CN"/>
        </w:rPr>
        <w:t>，</w:t>
      </w:r>
      <w:r>
        <w:rPr>
          <w:rFonts w:hint="eastAsia" w:ascii="Times New Roman" w:eastAsia="仿宋_GB2312" w:cs="Nimbus Roman No9 L"/>
          <w:kern w:val="2"/>
          <w:sz w:val="32"/>
          <w:szCs w:val="32"/>
          <w:lang w:val="en-US" w:eastAsia="zh-CN" w:bidi="ar-SA"/>
        </w:rPr>
        <w:t>加快</w:t>
      </w:r>
      <w:r>
        <w:rPr>
          <w:rFonts w:ascii="Times New Roman" w:hAnsi="Times New Roman" w:eastAsia="仿宋_GB2312"/>
          <w:sz w:val="32"/>
          <w:szCs w:val="32"/>
          <w:highlight w:val="none"/>
        </w:rPr>
        <w:t>农业科技成果</w:t>
      </w:r>
      <w:r>
        <w:rPr>
          <w:rFonts w:hint="eastAsia" w:ascii="Times New Roman" w:hAnsi="Times New Roman" w:eastAsia="仿宋_GB2312"/>
          <w:sz w:val="32"/>
          <w:szCs w:val="32"/>
          <w:highlight w:val="none"/>
          <w:lang w:eastAsia="zh-CN"/>
        </w:rPr>
        <w:t>转化应用，夯实粮食安全生产物质基础。</w:t>
      </w:r>
      <w:r>
        <w:rPr>
          <w:rFonts w:hint="eastAsia" w:ascii="楷体_GB2312" w:hAnsi="楷体_GB2312" w:eastAsia="楷体_GB2312" w:cs="楷体_GB2312"/>
          <w:b w:val="0"/>
          <w:bCs w:val="0"/>
          <w:kern w:val="2"/>
          <w:sz w:val="32"/>
          <w:szCs w:val="32"/>
          <w:lang w:val="en-US" w:eastAsia="zh-CN" w:bidi="ar-SA"/>
        </w:rPr>
        <w:t>突出抓好高效农业发展，</w:t>
      </w:r>
      <w:r>
        <w:rPr>
          <w:rFonts w:hint="default" w:ascii="Times New Roman" w:hAnsi="Times New Roman" w:eastAsia="仿宋_GB2312" w:cs="Times New Roman"/>
          <w:sz w:val="32"/>
          <w:szCs w:val="32"/>
        </w:rPr>
        <w:t>在良种繁育推广、装备研制销售、农产品精深加工、贮藏保鲜物流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市场营销等环节</w:t>
      </w:r>
      <w:r>
        <w:rPr>
          <w:rFonts w:hint="eastAsia" w:ascii="Times New Roman" w:hAnsi="Times New Roman" w:eastAsia="仿宋_GB2312" w:cs="Times New Roman"/>
          <w:sz w:val="32"/>
          <w:szCs w:val="32"/>
          <w:lang w:eastAsia="zh-CN"/>
        </w:rPr>
        <w:t>加大</w:t>
      </w:r>
      <w:r>
        <w:rPr>
          <w:rFonts w:hint="default" w:ascii="Times New Roman" w:hAnsi="Times New Roman" w:eastAsia="仿宋_GB2312" w:cs="Times New Roman"/>
          <w:sz w:val="32"/>
          <w:szCs w:val="32"/>
        </w:rPr>
        <w:t>关键技术装备的研发和转化应用</w:t>
      </w:r>
      <w:r>
        <w:rPr>
          <w:rFonts w:hint="eastAsia" w:ascii="Times New Roman" w:hAnsi="Times New Roman" w:eastAsia="仿宋_GB2312" w:cs="Times New Roman"/>
          <w:sz w:val="32"/>
          <w:szCs w:val="32"/>
          <w:lang w:eastAsia="zh-CN"/>
        </w:rPr>
        <w:t>。推动</w:t>
      </w:r>
      <w:r>
        <w:rPr>
          <w:rFonts w:ascii="Times New Roman" w:hAnsi="Times New Roman" w:eastAsia="仿宋_GB2312"/>
          <w:sz w:val="32"/>
          <w:szCs w:val="32"/>
          <w:highlight w:val="none"/>
        </w:rPr>
        <w:t>“人工智能+农业”深度融合，</w:t>
      </w:r>
      <w:r>
        <w:rPr>
          <w:rFonts w:hint="default" w:ascii="Times New Roman" w:hAnsi="Times New Roman" w:eastAsia="仿宋_GB2312" w:cs="Times New Roman"/>
          <w:sz w:val="32"/>
          <w:szCs w:val="32"/>
        </w:rPr>
        <w:t>打造粮食生产“无</w:t>
      </w:r>
      <w:r>
        <w:rPr>
          <w:rFonts w:hint="default" w:ascii="Times New Roman" w:hAnsi="Times New Roman" w:eastAsia="仿宋_GB2312" w:cs="Times New Roman"/>
          <w:sz w:val="32"/>
          <w:szCs w:val="32"/>
          <w:highlight w:val="none"/>
          <w:lang w:val="en-US" w:eastAsia="zh-CN"/>
        </w:rPr>
        <w:t>人化农场”</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升级一批“小巧灵”功能应用</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推广“作物云”管理平台，开发农业低空经济应用场景</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推动</w:t>
      </w:r>
      <w:r>
        <w:rPr>
          <w:rFonts w:hint="eastAsia" w:ascii="Times New Roman" w:hAnsi="Times New Roman" w:eastAsia="仿宋_GB2312" w:cs="Times New Roman"/>
          <w:sz w:val="32"/>
          <w:szCs w:val="32"/>
          <w:highlight w:val="none"/>
          <w:lang w:val="en-US" w:eastAsia="zh-CN"/>
        </w:rPr>
        <w:t>智慧</w:t>
      </w:r>
      <w:r>
        <w:rPr>
          <w:rFonts w:hint="default" w:ascii="Times New Roman" w:hAnsi="Times New Roman" w:eastAsia="仿宋_GB2312" w:cs="Times New Roman"/>
          <w:sz w:val="32"/>
          <w:szCs w:val="32"/>
          <w:highlight w:val="none"/>
          <w:lang w:val="en-US" w:eastAsia="zh-CN"/>
        </w:rPr>
        <w:t>农业转型升级。</w:t>
      </w:r>
      <w:r>
        <w:rPr>
          <w:rFonts w:hint="eastAsia" w:ascii="楷体_GB2312" w:hAnsi="楷体_GB2312" w:eastAsia="楷体_GB2312" w:cs="楷体_GB2312"/>
          <w:b w:val="0"/>
          <w:bCs w:val="0"/>
          <w:kern w:val="2"/>
          <w:sz w:val="32"/>
          <w:szCs w:val="32"/>
          <w:lang w:val="en-US" w:eastAsia="zh-CN" w:bidi="ar-SA"/>
        </w:rPr>
        <w:t>突出培育农业新质生产力，</w:t>
      </w:r>
      <w:r>
        <w:rPr>
          <w:rFonts w:hint="eastAsia" w:ascii="Times New Roman" w:hAnsi="Times New Roman" w:eastAsia="仿宋_GB2312" w:cs="Times New Roman"/>
          <w:sz w:val="32"/>
          <w:szCs w:val="32"/>
          <w:highlight w:val="none"/>
          <w:lang w:val="en-US" w:eastAsia="zh-CN"/>
        </w:rPr>
        <w:t>加强</w:t>
      </w:r>
      <w:r>
        <w:rPr>
          <w:rFonts w:hint="default" w:ascii="Times New Roman" w:hAnsi="Times New Roman" w:eastAsia="仿宋_GB2312" w:cs="Times New Roman"/>
          <w:sz w:val="32"/>
          <w:szCs w:val="32"/>
          <w:highlight w:val="none"/>
          <w:lang w:val="en-US" w:eastAsia="zh-CN"/>
        </w:rPr>
        <w:t>洞庭山碧螺春、阳澄湖大闸蟹、水八仙、苏州大米等地方特色产业</w:t>
      </w:r>
      <w:r>
        <w:rPr>
          <w:rFonts w:hint="eastAsia" w:ascii="Times New Roman" w:hAnsi="Times New Roman" w:eastAsia="仿宋_GB2312" w:cs="Times New Roman"/>
          <w:sz w:val="32"/>
          <w:szCs w:val="32"/>
          <w:highlight w:val="none"/>
          <w:lang w:val="en-US" w:eastAsia="zh-CN"/>
        </w:rPr>
        <w:t>全产业链</w:t>
      </w:r>
      <w:r>
        <w:rPr>
          <w:rFonts w:hint="default" w:ascii="Times New Roman" w:hAnsi="Times New Roman" w:eastAsia="仿宋_GB2312" w:cs="Times New Roman"/>
          <w:sz w:val="32"/>
          <w:szCs w:val="32"/>
          <w:highlight w:val="none"/>
          <w:lang w:val="en-US" w:eastAsia="zh-CN"/>
        </w:rPr>
        <w:t>科技研发与应用，培育特色农业科创品牌</w:t>
      </w:r>
      <w:r>
        <w:rPr>
          <w:rFonts w:hint="eastAsia" w:ascii="Times New Roman" w:hAnsi="Times New Roman" w:eastAsia="仿宋_GB2312" w:cs="Times New Roman"/>
          <w:sz w:val="32"/>
          <w:szCs w:val="32"/>
          <w:highlight w:val="none"/>
          <w:lang w:val="en-US" w:eastAsia="zh-CN"/>
        </w:rPr>
        <w:t>，积极打造</w:t>
      </w:r>
      <w:r>
        <w:rPr>
          <w:rFonts w:hint="default" w:ascii="Times New Roman" w:hAnsi="Times New Roman" w:eastAsia="仿宋_GB2312" w:cs="Times New Roman"/>
          <w:sz w:val="32"/>
          <w:szCs w:val="32"/>
          <w:highlight w:val="none"/>
          <w:lang w:val="en-US" w:eastAsia="zh-CN"/>
        </w:rPr>
        <w:t>具有高知名度、高溢价能力和高市场竞争力的“1+N”（1个市级主品牌，N个县级市〈区〉二级品牌）品牌体系，农业品牌溢价率达到8%以上</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发展“互联网+”现代农业和电子商务</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实施“一链一镇一村”（全产业链、农业产业强镇、休闲农业乡村）“三个一”工程，休闲农业综合收入达120亿元。</w:t>
      </w:r>
    </w:p>
    <w:p w14:paraId="3F5B6DF5">
      <w:pPr>
        <w:pStyle w:val="5"/>
        <w:ind w:left="0" w:leftChars="0" w:firstLine="640" w:firstLineChars="200"/>
        <w:rPr>
          <w:rFonts w:ascii="Times New Roman" w:hAnsi="Times New Roman" w:eastAsia="仿宋_GB2312"/>
          <w:sz w:val="32"/>
          <w:szCs w:val="32"/>
        </w:rPr>
      </w:pPr>
      <w:r>
        <w:rPr>
          <w:rFonts w:hint="eastAsia" w:ascii="黑体" w:hAnsi="黑体" w:eastAsia="黑体" w:cs="黑体"/>
          <w:kern w:val="2"/>
          <w:sz w:val="32"/>
          <w:szCs w:val="24"/>
          <w:lang w:val="en-US" w:eastAsia="zh-CN" w:bidi="ar-SA"/>
        </w:rPr>
        <w:t>二是聚焦</w:t>
      </w:r>
      <w:r>
        <w:rPr>
          <w:rFonts w:hint="eastAsia" w:ascii="黑体" w:hAnsi="黑体" w:eastAsia="黑体" w:cs="黑体"/>
          <w:kern w:val="2"/>
          <w:sz w:val="32"/>
          <w:szCs w:val="24"/>
          <w:lang w:val="en-US" w:eastAsia="zh-Hans" w:bidi="ar-SA"/>
        </w:rPr>
        <w:t>片区</w:t>
      </w:r>
      <w:r>
        <w:rPr>
          <w:rFonts w:hint="eastAsia" w:ascii="黑体" w:hAnsi="黑体" w:eastAsia="黑体" w:cs="黑体"/>
          <w:kern w:val="2"/>
          <w:sz w:val="32"/>
          <w:szCs w:val="24"/>
          <w:lang w:val="en-US" w:eastAsia="zh-CN" w:bidi="ar-SA"/>
        </w:rPr>
        <w:t>联农</w:t>
      </w:r>
      <w:r>
        <w:rPr>
          <w:rFonts w:hint="default" w:ascii="黑体" w:hAnsi="黑体" w:eastAsia="黑体" w:cs="黑体"/>
          <w:kern w:val="2"/>
          <w:sz w:val="32"/>
          <w:szCs w:val="24"/>
          <w:lang w:eastAsia="zh-Hans" w:bidi="ar-SA"/>
        </w:rPr>
        <w:t>，</w:t>
      </w:r>
      <w:r>
        <w:rPr>
          <w:rFonts w:hint="eastAsia" w:ascii="黑体" w:hAnsi="黑体" w:eastAsia="黑体" w:cs="黑体"/>
          <w:kern w:val="2"/>
          <w:sz w:val="32"/>
          <w:szCs w:val="24"/>
          <w:lang w:eastAsia="zh-CN" w:bidi="ar-SA"/>
        </w:rPr>
        <w:t>促进</w:t>
      </w:r>
      <w:r>
        <w:rPr>
          <w:rFonts w:hint="eastAsia" w:ascii="黑体" w:hAnsi="黑体" w:eastAsia="黑体" w:cs="黑体"/>
          <w:kern w:val="2"/>
          <w:sz w:val="32"/>
          <w:szCs w:val="24"/>
          <w:lang w:val="en-US" w:eastAsia="zh-Hans" w:bidi="ar-SA"/>
        </w:rPr>
        <w:t>乡村建设水平全域提升</w:t>
      </w:r>
      <w:r>
        <w:rPr>
          <w:rFonts w:hint="default" w:ascii="黑体" w:hAnsi="黑体" w:eastAsia="黑体" w:cs="黑体"/>
          <w:kern w:val="2"/>
          <w:sz w:val="32"/>
          <w:szCs w:val="24"/>
          <w:lang w:eastAsia="zh-Hans" w:bidi="ar-SA"/>
        </w:rPr>
        <w:t>。</w:t>
      </w:r>
      <w:r>
        <w:rPr>
          <w:rFonts w:hint="eastAsia" w:ascii="楷体_GB2312" w:hAnsi="楷体_GB2312" w:eastAsia="楷体_GB2312" w:cs="楷体_GB2312"/>
          <w:b w:val="0"/>
          <w:bCs w:val="0"/>
          <w:kern w:val="2"/>
          <w:sz w:val="32"/>
          <w:szCs w:val="32"/>
          <w:lang w:val="en-US" w:eastAsia="zh-CN" w:bidi="ar-SA"/>
        </w:rPr>
        <w:t>推动片区建设提质</w:t>
      </w:r>
      <w:r>
        <w:rPr>
          <w:rFonts w:hint="default" w:ascii="楷体_GB2312" w:hAnsi="楷体_GB2312" w:eastAsia="楷体_GB2312" w:cs="楷体_GB2312"/>
          <w:b w:val="0"/>
          <w:bCs w:val="0"/>
          <w:kern w:val="2"/>
          <w:sz w:val="32"/>
          <w:szCs w:val="32"/>
          <w:lang w:eastAsia="zh-CN" w:bidi="ar-SA"/>
        </w:rPr>
        <w:t>，</w:t>
      </w:r>
      <w:r>
        <w:rPr>
          <w:rFonts w:ascii="Times New Roman" w:hAnsi="Times New Roman" w:eastAsia="仿宋_GB2312"/>
          <w:sz w:val="32"/>
          <w:szCs w:val="32"/>
        </w:rPr>
        <w:t>深化“一县一片”互比互看活动成果运用，统筹抓好全市50个乡村振兴片区</w:t>
      </w:r>
      <w:r>
        <w:rPr>
          <w:rFonts w:hint="eastAsia" w:ascii="Times New Roman" w:hAnsi="Times New Roman" w:eastAsia="仿宋_GB2312"/>
          <w:sz w:val="32"/>
          <w:szCs w:val="32"/>
          <w:lang w:val="en-US" w:eastAsia="zh-CN"/>
        </w:rPr>
        <w:t>规划逐步</w:t>
      </w:r>
      <w:r>
        <w:rPr>
          <w:rFonts w:ascii="Times New Roman" w:hAnsi="Times New Roman" w:eastAsia="仿宋_GB2312"/>
          <w:sz w:val="32"/>
          <w:szCs w:val="32"/>
        </w:rPr>
        <w:t>落实，每个县级市（涉农区）新增1个重点片区建设。坚持“抓两头、促中间”，实现“重点村”示范引领、“一般村”强基攻坚、“中间村”全面提升。推进4个省级宜居宜业和美乡村片区</w:t>
      </w:r>
      <w:r>
        <w:rPr>
          <w:rFonts w:hint="eastAsia" w:ascii="Times New Roman" w:hAnsi="Times New Roman" w:eastAsia="仿宋_GB2312"/>
          <w:sz w:val="32"/>
          <w:szCs w:val="32"/>
          <w:lang w:eastAsia="zh-CN"/>
        </w:rPr>
        <w:t>及</w:t>
      </w:r>
      <w:r>
        <w:rPr>
          <w:rFonts w:ascii="Times New Roman" w:hAnsi="Times New Roman" w:eastAsia="仿宋_GB2312"/>
          <w:sz w:val="32"/>
          <w:szCs w:val="32"/>
        </w:rPr>
        <w:t>300个康居乡村</w:t>
      </w:r>
      <w:r>
        <w:rPr>
          <w:rFonts w:hint="eastAsia" w:ascii="Times New Roman" w:hAnsi="Times New Roman" w:eastAsia="仿宋_GB2312"/>
          <w:sz w:val="32"/>
          <w:szCs w:val="32"/>
          <w:lang w:eastAsia="zh-CN"/>
        </w:rPr>
        <w:t>、</w:t>
      </w:r>
      <w:r>
        <w:rPr>
          <w:rFonts w:ascii="Times New Roman" w:hAnsi="Times New Roman" w:eastAsia="仿宋_GB2312"/>
          <w:sz w:val="32"/>
          <w:szCs w:val="32"/>
        </w:rPr>
        <w:t>5个康居</w:t>
      </w:r>
      <w:r>
        <w:rPr>
          <w:rFonts w:hint="eastAsia" w:ascii="Times New Roman" w:hAnsi="Times New Roman" w:eastAsia="仿宋_GB2312"/>
          <w:sz w:val="32"/>
          <w:szCs w:val="32"/>
        </w:rPr>
        <w:t>片</w:t>
      </w:r>
      <w:r>
        <w:rPr>
          <w:rFonts w:ascii="Times New Roman" w:hAnsi="Times New Roman" w:eastAsia="仿宋_GB2312"/>
          <w:sz w:val="32"/>
          <w:szCs w:val="32"/>
        </w:rPr>
        <w:t>区建设。</w:t>
      </w:r>
      <w:r>
        <w:rPr>
          <w:rFonts w:hint="eastAsia" w:ascii="楷体_GB2312" w:hAnsi="楷体_GB2312" w:eastAsia="楷体_GB2312" w:cs="楷体_GB2312"/>
          <w:b w:val="0"/>
          <w:bCs w:val="0"/>
          <w:kern w:val="2"/>
          <w:sz w:val="32"/>
          <w:szCs w:val="32"/>
          <w:lang w:val="en-US" w:eastAsia="zh-CN" w:bidi="ar-SA"/>
        </w:rPr>
        <w:t>推动农村人居环境整治常态长效</w:t>
      </w:r>
      <w:r>
        <w:rPr>
          <w:rFonts w:hint="default" w:ascii="楷体_GB2312" w:hAnsi="楷体_GB2312" w:eastAsia="楷体_GB2312" w:cs="楷体_GB2312"/>
          <w:b w:val="0"/>
          <w:bCs w:val="0"/>
          <w:kern w:val="2"/>
          <w:sz w:val="32"/>
          <w:szCs w:val="32"/>
          <w:lang w:eastAsia="zh-CN" w:bidi="ar-SA"/>
        </w:rPr>
        <w:t>，</w:t>
      </w:r>
      <w:r>
        <w:rPr>
          <w:rStyle w:val="8"/>
          <w:rFonts w:hint="eastAsia" w:ascii="Times New Roman" w:hAnsi="Times New Roman" w:cs="Times New Roman"/>
          <w:sz w:val="32"/>
          <w:szCs w:val="32"/>
          <w:lang w:val="en-US" w:eastAsia="zh-CN" w:bidi="ar"/>
        </w:rPr>
        <w:t>实施和美乡村建设是回应人民对美好生活向往、推动农民就地过上现代文明生活的关键之举。坚持</w:t>
      </w:r>
      <w:r>
        <w:rPr>
          <w:rFonts w:hint="eastAsia" w:ascii="Times New Roman" w:hAnsi="Times New Roman" w:eastAsia="仿宋_GB2312"/>
          <w:sz w:val="32"/>
          <w:szCs w:val="32"/>
          <w:lang w:eastAsia="zh-CN"/>
        </w:rPr>
        <w:t>降本不降效，</w:t>
      </w:r>
      <w:r>
        <w:rPr>
          <w:rFonts w:ascii="Times New Roman" w:hAnsi="Times New Roman" w:eastAsia="仿宋_GB2312" w:cs="Times New Roman"/>
          <w:sz w:val="32"/>
          <w:szCs w:val="32"/>
        </w:rPr>
        <w:t>以县为单位</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农村人居环境整治费用户均压降至1000元左右</w:t>
      </w:r>
      <w:r>
        <w:rPr>
          <w:rFonts w:hint="eastAsia" w:ascii="Times New Roman" w:hAnsi="Times New Roman" w:eastAsia="仿宋_GB2312" w:cs="Times New Roman"/>
          <w:sz w:val="32"/>
          <w:szCs w:val="32"/>
          <w:lang w:eastAsia="zh-CN"/>
        </w:rPr>
        <w:t>，</w:t>
      </w:r>
      <w:r>
        <w:rPr>
          <w:rStyle w:val="8"/>
          <w:rFonts w:hint="default" w:ascii="Times New Roman" w:cs="Times New Roman"/>
          <w:sz w:val="32"/>
          <w:szCs w:val="32"/>
          <w:lang w:bidi="ar"/>
        </w:rPr>
        <w:t>常态长效推进农村人居环境整治</w:t>
      </w:r>
      <w:r>
        <w:rPr>
          <w:rStyle w:val="8"/>
          <w:rFonts w:hint="eastAsia" w:ascii="Times New Roman" w:eastAsia="仿宋_GB2312" w:cs="Times New Roman"/>
          <w:sz w:val="32"/>
          <w:szCs w:val="32"/>
          <w:lang w:eastAsia="zh-CN" w:bidi="ar"/>
        </w:rPr>
        <w:t>提升，</w:t>
      </w:r>
      <w:r>
        <w:rPr>
          <w:rStyle w:val="8"/>
          <w:rFonts w:hint="eastAsia" w:ascii="Times New Roman" w:hAnsi="Times New Roman" w:cs="Times New Roman"/>
          <w:sz w:val="32"/>
          <w:szCs w:val="32"/>
          <w:lang w:val="en-US" w:eastAsia="zh-CN" w:bidi="ar"/>
        </w:rPr>
        <w:t>确保农村人居环境整治稳成色、降成本、守成绩，形成能负担、可持续的保障机制。探</w:t>
      </w:r>
      <w:r>
        <w:rPr>
          <w:rFonts w:hint="eastAsia" w:ascii="Times New Roman" w:hAnsi="Times New Roman" w:eastAsia="仿宋_GB2312" w:cs="Times New Roman"/>
          <w:sz w:val="32"/>
          <w:szCs w:val="32"/>
          <w:lang w:eastAsia="zh-CN"/>
        </w:rPr>
        <w:t>索</w:t>
      </w:r>
      <w:r>
        <w:rPr>
          <w:rFonts w:hint="default" w:ascii="Times New Roman" w:hAnsi="Times New Roman" w:eastAsia="仿宋_GB2312" w:cs="Times New Roman"/>
          <w:sz w:val="32"/>
          <w:szCs w:val="32"/>
          <w:lang w:eastAsia="zh-CN"/>
        </w:rPr>
        <w:t>开展乡村建设体检，</w:t>
      </w:r>
      <w:r>
        <w:rPr>
          <w:rFonts w:ascii="Times New Roman" w:hAnsi="Times New Roman" w:eastAsia="仿宋_GB2312" w:cs="Times New Roman"/>
          <w:sz w:val="32"/>
          <w:szCs w:val="32"/>
        </w:rPr>
        <w:t>因地制宜实施绿美村庄建设，建设农村生态河道100条、200公里</w:t>
      </w:r>
      <w:r>
        <w:rPr>
          <w:rFonts w:hint="eastAsia" w:ascii="Times New Roman" w:hAnsi="Times New Roman" w:cs="Nimbus Roman No9 L"/>
          <w:color w:val="auto"/>
          <w:kern w:val="2"/>
          <w:sz w:val="32"/>
          <w:szCs w:val="32"/>
          <w:lang w:val="en-US" w:eastAsia="zh-CN" w:bidi="ar-SA"/>
        </w:rPr>
        <w:t>。</w:t>
      </w:r>
      <w:r>
        <w:rPr>
          <w:rFonts w:hint="eastAsia" w:ascii="楷体_GB2312" w:hAnsi="楷体_GB2312" w:eastAsia="楷体_GB2312" w:cs="楷体_GB2312"/>
          <w:b w:val="0"/>
          <w:bCs w:val="0"/>
          <w:kern w:val="2"/>
          <w:sz w:val="32"/>
          <w:szCs w:val="32"/>
          <w:lang w:val="en-US" w:eastAsia="zh-CN" w:bidi="ar-SA"/>
        </w:rPr>
        <w:t>推动产村融合发展，</w:t>
      </w:r>
      <w:r>
        <w:rPr>
          <w:rFonts w:hint="eastAsia" w:ascii="Times New Roman" w:hAnsi="Times New Roman" w:eastAsia="仿宋_GB2312" w:cs="Times New Roman"/>
          <w:sz w:val="32"/>
          <w:szCs w:val="32"/>
          <w:lang w:val="en-US" w:eastAsia="zh-CN"/>
        </w:rPr>
        <w:t>围绕“水清岸绿、农田城景、桥好路平、农房更新”等，加快推进基础设施和公共设施普惠均等，加快推动新产业、新业态培育发展，拓展乡村旅游、乡村消费新场景，推动美丽乡村转化为美丽经济，实现村美人和业兴民富，共同推动乡村建设全面提升。</w:t>
      </w:r>
      <w:r>
        <w:rPr>
          <w:rFonts w:hint="eastAsia" w:ascii="楷体_GB2312" w:hAnsi="楷体_GB2312" w:eastAsia="楷体_GB2312" w:cs="楷体_GB2312"/>
          <w:b w:val="0"/>
          <w:bCs w:val="0"/>
          <w:kern w:val="2"/>
          <w:sz w:val="32"/>
          <w:szCs w:val="32"/>
          <w:lang w:val="en-US" w:eastAsia="zh-CN" w:bidi="ar-SA"/>
        </w:rPr>
        <w:t>推动乡风文明水平提升，</w:t>
      </w:r>
      <w:r>
        <w:rPr>
          <w:rFonts w:ascii="Times New Roman" w:hAnsi="Times New Roman" w:eastAsia="仿宋_GB2312"/>
          <w:sz w:val="32"/>
          <w:szCs w:val="32"/>
        </w:rPr>
        <w:t>深入推进第二批91个基层治理重点帮促村居提升攻坚行动。创新</w:t>
      </w:r>
      <w:r>
        <w:rPr>
          <w:rFonts w:hint="eastAsia" w:ascii="Times New Roman" w:hAnsi="Times New Roman" w:eastAsia="仿宋_GB2312"/>
          <w:sz w:val="32"/>
          <w:szCs w:val="32"/>
          <w:lang w:eastAsia="zh-CN"/>
        </w:rPr>
        <w:t>实施</w:t>
      </w:r>
      <w:r>
        <w:rPr>
          <w:rFonts w:ascii="Times New Roman" w:hAnsi="Times New Roman" w:eastAsia="仿宋_GB2312"/>
          <w:sz w:val="32"/>
          <w:szCs w:val="32"/>
        </w:rPr>
        <w:t>“乡风文明会客厅”项目，开展美丽乡村健康行、“我们的节日”、村歌村晚等活动，探索建立标准化、市场化、品牌化农民体育赛事机制，</w:t>
      </w:r>
      <w:r>
        <w:rPr>
          <w:rFonts w:hint="eastAsia" w:ascii="Times New Roman" w:hAnsi="Times New Roman" w:eastAsia="仿宋_GB2312"/>
          <w:sz w:val="32"/>
          <w:szCs w:val="32"/>
        </w:rPr>
        <w:t>丰富农民精神文化生活。</w:t>
      </w:r>
    </w:p>
    <w:p w14:paraId="4215A54B">
      <w:pPr>
        <w:pStyle w:val="3"/>
        <w:spacing w:line="540" w:lineRule="exact"/>
        <w:ind w:firstLine="640" w:firstLineChars="0"/>
        <w:rPr>
          <w:rFonts w:hint="eastAsia" w:eastAsia="仿宋_GB2312"/>
          <w:sz w:val="32"/>
          <w:szCs w:val="32"/>
        </w:rPr>
      </w:pPr>
      <w:r>
        <w:rPr>
          <w:rFonts w:hint="eastAsia" w:ascii="黑体" w:hAnsi="黑体" w:eastAsia="黑体" w:cs="黑体"/>
          <w:kern w:val="2"/>
          <w:sz w:val="32"/>
          <w:szCs w:val="24"/>
          <w:lang w:val="en-US" w:eastAsia="zh-CN" w:bidi="ar-SA"/>
        </w:rPr>
        <w:t>三是聚焦改革助农</w:t>
      </w:r>
      <w:r>
        <w:rPr>
          <w:rFonts w:hint="default" w:ascii="黑体" w:hAnsi="黑体" w:eastAsia="黑体" w:cs="黑体"/>
          <w:kern w:val="2"/>
          <w:sz w:val="32"/>
          <w:szCs w:val="24"/>
          <w:lang w:eastAsia="zh-Hans" w:bidi="ar-SA"/>
        </w:rPr>
        <w:t>，</w:t>
      </w:r>
      <w:r>
        <w:rPr>
          <w:rFonts w:hint="eastAsia" w:ascii="黑体" w:hAnsi="黑体" w:eastAsia="黑体" w:cs="黑体"/>
          <w:kern w:val="2"/>
          <w:sz w:val="32"/>
          <w:szCs w:val="24"/>
          <w:lang w:eastAsia="zh-CN" w:bidi="ar-SA"/>
        </w:rPr>
        <w:t>激活乡村发展内生动力</w:t>
      </w:r>
      <w:r>
        <w:rPr>
          <w:rFonts w:hint="default" w:ascii="黑体" w:hAnsi="黑体" w:eastAsia="黑体" w:cs="黑体"/>
          <w:kern w:val="2"/>
          <w:sz w:val="32"/>
          <w:szCs w:val="24"/>
          <w:lang w:eastAsia="zh-Hans" w:bidi="ar-SA"/>
        </w:rPr>
        <w:t>。</w:t>
      </w:r>
      <w:r>
        <w:rPr>
          <w:rFonts w:hint="eastAsia" w:ascii="楷体_GB2312" w:hAnsi="楷体_GB2312" w:eastAsia="楷体_GB2312" w:cs="楷体_GB2312"/>
          <w:b w:val="0"/>
          <w:bCs w:val="0"/>
          <w:kern w:val="2"/>
          <w:sz w:val="32"/>
          <w:szCs w:val="32"/>
          <w:lang w:val="en-US" w:eastAsia="zh-CN" w:bidi="ar-SA"/>
        </w:rPr>
        <w:t>有序推进率先基本实现农业农村现代化</w:t>
      </w:r>
      <w:r>
        <w:rPr>
          <w:rFonts w:hint="eastAsia" w:ascii="楷体_GB2312" w:hAnsi="楷体_GB2312" w:eastAsia="楷体_GB2312" w:cs="楷体_GB2312"/>
          <w:b w:val="0"/>
          <w:bCs w:val="0"/>
          <w:kern w:val="2"/>
          <w:sz w:val="32"/>
          <w:szCs w:val="32"/>
          <w:lang w:val="en" w:eastAsia="zh-CN" w:bidi="ar-SA"/>
        </w:rPr>
        <w:t>改革试验，</w:t>
      </w:r>
      <w:r>
        <w:rPr>
          <w:rFonts w:hint="eastAsia" w:ascii="Times New Roman" w:hAnsi="Times New Roman" w:eastAsia="仿宋_GB2312" w:cs="Times New Roman"/>
          <w:sz w:val="32"/>
          <w:szCs w:val="32"/>
          <w:lang w:val="en-US" w:eastAsia="zh-CN"/>
        </w:rPr>
        <w:t>围绕乡村规划建设、设施服务、生态友好、产业发展、富民增收、要素投入等耦合点做好农业产业、乡村建设、强村富民等统筹谋划、系统布局和协同推进，实现农业现代化与农村现代化一体设计、一并推进、协同发展</w:t>
      </w:r>
      <w:r>
        <w:rPr>
          <w:rFonts w:hint="eastAsia" w:ascii="Times New Roman" w:hAnsi="Times New Roman" w:eastAsia="仿宋_GB2312" w:cs="Times New Roman"/>
          <w:sz w:val="32"/>
          <w:szCs w:val="32"/>
          <w:lang w:val="en" w:eastAsia="zh-CN"/>
        </w:rPr>
        <w:t>。</w:t>
      </w:r>
      <w:r>
        <w:rPr>
          <w:rFonts w:hint="eastAsia" w:ascii="楷体_GB2312" w:hAnsi="楷体_GB2312" w:eastAsia="楷体_GB2312" w:cs="楷体_GB2312"/>
          <w:b w:val="0"/>
          <w:bCs w:val="0"/>
          <w:kern w:val="2"/>
          <w:sz w:val="32"/>
          <w:szCs w:val="32"/>
          <w:lang w:val="en-US" w:eastAsia="zh-CN" w:bidi="ar-SA"/>
        </w:rPr>
        <w:t>有力深化</w:t>
      </w:r>
      <w:r>
        <w:rPr>
          <w:rFonts w:hint="default" w:ascii="楷体_GB2312" w:hAnsi="楷体_GB2312" w:eastAsia="楷体_GB2312" w:cs="楷体_GB2312"/>
          <w:b w:val="0"/>
          <w:bCs w:val="0"/>
          <w:kern w:val="2"/>
          <w:sz w:val="32"/>
          <w:szCs w:val="32"/>
          <w:lang w:val="en-US" w:eastAsia="zh-CN" w:bidi="ar-SA"/>
        </w:rPr>
        <w:t>“1+2”农村改革</w:t>
      </w:r>
      <w:r>
        <w:rPr>
          <w:rFonts w:hint="eastAsia" w:ascii="楷体_GB2312" w:hAnsi="楷体_GB2312" w:eastAsia="楷体_GB2312" w:cs="楷体_GB2312"/>
          <w:b w:val="0"/>
          <w:bCs w:val="0"/>
          <w:kern w:val="2"/>
          <w:sz w:val="32"/>
          <w:szCs w:val="32"/>
          <w:lang w:val="en-US" w:eastAsia="zh-CN" w:bidi="ar-SA"/>
        </w:rPr>
        <w:t>，</w:t>
      </w:r>
      <w:r>
        <w:rPr>
          <w:rFonts w:hint="eastAsia" w:ascii="Times New Roman" w:hAnsi="Times New Roman" w:eastAsia="仿宋_GB2312" w:cs="Times New Roman"/>
          <w:sz w:val="32"/>
          <w:szCs w:val="32"/>
          <w:lang w:val="en-US" w:eastAsia="zh-CN"/>
        </w:rPr>
        <w:t>以镇为单位有序扩大新一轮农业生产体系集成改革试点，推动现有的28个试点镇（街道）完善适度规模经营引导机制、土地租金调整机制，</w:t>
      </w:r>
      <w:r>
        <w:rPr>
          <w:rFonts w:ascii="Times New Roman" w:hAnsi="Times New Roman" w:eastAsia="仿宋_GB2312" w:cs="Times New Roman"/>
          <w:sz w:val="32"/>
          <w:szCs w:val="32"/>
        </w:rPr>
        <w:t>推动种植业（粮食）流转合同租期延长</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优化综合农事服务中心建设</w:t>
      </w:r>
      <w:r>
        <w:rPr>
          <w:rFonts w:hint="eastAsia" w:ascii="Times New Roman" w:hAnsi="Times New Roman" w:eastAsia="仿宋_GB2312" w:cs="Times New Roman"/>
          <w:sz w:val="32"/>
          <w:szCs w:val="32"/>
          <w:lang w:eastAsia="zh-CN"/>
        </w:rPr>
        <w:t>，研究</w:t>
      </w:r>
      <w:r>
        <w:rPr>
          <w:rFonts w:ascii="Times New Roman" w:hAnsi="Times New Roman" w:eastAsia="仿宋_GB2312" w:cs="Times New Roman"/>
          <w:sz w:val="32"/>
          <w:szCs w:val="32"/>
        </w:rPr>
        <w:t>出台苏州市科技强农工作意见和三年行动计划</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提升农业科技创新策源能力和整体效能</w:t>
      </w:r>
      <w:r>
        <w:rPr>
          <w:rFonts w:hint="eastAsia" w:eastAsia="仿宋_GB2312" w:cs="Times New Roman"/>
          <w:sz w:val="32"/>
          <w:szCs w:val="32"/>
          <w:lang w:eastAsia="zh-CN"/>
        </w:rPr>
        <w:t>。</w:t>
      </w:r>
      <w:r>
        <w:rPr>
          <w:rFonts w:hint="eastAsia" w:ascii="Times New Roman" w:hAnsi="Times New Roman" w:eastAsia="仿宋_GB2312" w:cs="Times New Roman"/>
          <w:sz w:val="32"/>
          <w:szCs w:val="32"/>
          <w:lang w:val="en-US" w:eastAsia="zh-CN"/>
        </w:rPr>
        <w:t>推进农村发展集成改革，</w:t>
      </w:r>
      <w:r>
        <w:rPr>
          <w:rFonts w:ascii="Times New Roman" w:hAnsi="Times New Roman" w:eastAsia="仿宋_GB2312" w:cs="Times New Roman"/>
          <w:sz w:val="32"/>
          <w:szCs w:val="32"/>
        </w:rPr>
        <w:t>健全乡村振兴片区化、组团式建设机制，</w:t>
      </w:r>
      <w:r>
        <w:rPr>
          <w:rFonts w:hint="eastAsia" w:eastAsia="仿宋_GB2312"/>
          <w:color w:val="000000"/>
          <w:kern w:val="0"/>
          <w:sz w:val="32"/>
          <w:szCs w:val="32"/>
        </w:rPr>
        <w:t>聚焦</w:t>
      </w:r>
      <w:r>
        <w:rPr>
          <w:rFonts w:hint="eastAsia" w:eastAsia="仿宋_GB2312"/>
          <w:color w:val="000000"/>
          <w:kern w:val="0"/>
          <w:sz w:val="32"/>
          <w:szCs w:val="32"/>
          <w:lang w:eastAsia="zh-CN"/>
        </w:rPr>
        <w:t>乡村建设发展面临的</w:t>
      </w:r>
      <w:r>
        <w:rPr>
          <w:rFonts w:hint="eastAsia" w:eastAsia="仿宋_GB2312"/>
          <w:color w:val="000000"/>
          <w:kern w:val="0"/>
          <w:sz w:val="32"/>
          <w:szCs w:val="32"/>
        </w:rPr>
        <w:t>突出问题、短板弱项</w:t>
      </w:r>
      <w:r>
        <w:rPr>
          <w:rFonts w:hint="eastAsia" w:eastAsia="仿宋_GB2312"/>
          <w:color w:val="000000"/>
          <w:kern w:val="0"/>
          <w:sz w:val="32"/>
          <w:szCs w:val="32"/>
          <w:lang w:eastAsia="zh-CN"/>
        </w:rPr>
        <w:t>，统筹</w:t>
      </w:r>
      <w:r>
        <w:rPr>
          <w:rFonts w:hint="eastAsia" w:ascii="Times New Roman" w:hAnsi="Times New Roman" w:eastAsia="仿宋_GB2312" w:cs="Times New Roman"/>
          <w:sz w:val="32"/>
          <w:szCs w:val="32"/>
        </w:rPr>
        <w:t>联动推进集体经济发展、村级运行管理、乡村基层治理与和美乡村建设体制机制创新</w:t>
      </w:r>
      <w:r>
        <w:rPr>
          <w:rFonts w:hint="eastAsia" w:ascii="Times New Roman" w:hAnsi="Times New Roman" w:eastAsia="仿宋_GB2312" w:cs="Times New Roman"/>
          <w:sz w:val="32"/>
          <w:szCs w:val="32"/>
          <w:lang w:eastAsia="zh-CN"/>
        </w:rPr>
        <w:t>。</w:t>
      </w:r>
      <w:r>
        <w:rPr>
          <w:rFonts w:hint="eastAsia" w:ascii="楷体_GB2312" w:hAnsi="楷体_GB2312" w:eastAsia="楷体_GB2312" w:cs="楷体_GB2312"/>
          <w:spacing w:val="-4"/>
          <w:sz w:val="32"/>
          <w:szCs w:val="32"/>
          <w:lang w:val="en-US" w:eastAsia="zh-CN"/>
        </w:rPr>
        <w:t>有效盘活城乡发展要素，</w:t>
      </w:r>
      <w:r>
        <w:rPr>
          <w:rFonts w:hint="eastAsia" w:ascii="Times New Roman" w:hAnsi="Times New Roman" w:eastAsia="仿宋_GB2312" w:cs="Times New Roman"/>
          <w:spacing w:val="-4"/>
          <w:sz w:val="32"/>
          <w:szCs w:val="32"/>
          <w:lang w:val="en-US" w:eastAsia="zh-CN"/>
        </w:rPr>
        <w:t>围绕存量更新、增量提升、变量优化促进城乡要素融合，在存量更新上，</w:t>
      </w:r>
      <w:r>
        <w:rPr>
          <w:rFonts w:hint="default" w:ascii="Times New Roman" w:hAnsi="Times New Roman" w:eastAsia="仿宋_GB2312" w:cs="宋体"/>
          <w:sz w:val="32"/>
          <w:szCs w:val="32"/>
          <w:lang w:val="en-US" w:eastAsia="zh-CN"/>
        </w:rPr>
        <w:t>结合老旧物业改造化解</w:t>
      </w:r>
      <w:r>
        <w:rPr>
          <w:rFonts w:hint="eastAsia" w:ascii="Times New Roman" w:hAnsi="Times New Roman" w:eastAsia="仿宋_GB2312" w:cs="宋体"/>
          <w:sz w:val="32"/>
          <w:szCs w:val="32"/>
          <w:lang w:val="en-US" w:eastAsia="zh-CN"/>
        </w:rPr>
        <w:t>集体资产</w:t>
      </w:r>
      <w:r>
        <w:rPr>
          <w:rFonts w:hint="default" w:ascii="Times New Roman" w:hAnsi="Times New Roman" w:eastAsia="仿宋_GB2312" w:cs="宋体"/>
          <w:sz w:val="32"/>
          <w:szCs w:val="32"/>
          <w:lang w:val="en-US" w:eastAsia="zh-CN"/>
        </w:rPr>
        <w:t>权证问题</w:t>
      </w:r>
      <w:r>
        <w:rPr>
          <w:rFonts w:hint="eastAsia" w:ascii="Times New Roman" w:hAnsi="Times New Roman" w:eastAsia="仿宋_GB2312" w:cs="宋体"/>
          <w:sz w:val="32"/>
          <w:szCs w:val="32"/>
          <w:lang w:val="en-US" w:eastAsia="zh-CN"/>
        </w:rPr>
        <w:t>，</w:t>
      </w:r>
      <w:r>
        <w:rPr>
          <w:rFonts w:hint="default" w:ascii="Times New Roman" w:hAnsi="Times New Roman" w:eastAsia="仿宋_GB2312" w:cs="宋体"/>
          <w:sz w:val="32"/>
          <w:szCs w:val="32"/>
          <w:lang w:val="en-US" w:eastAsia="zh-CN"/>
        </w:rPr>
        <w:t>因地制宜盘活集体存量权证不全资产</w:t>
      </w:r>
      <w:r>
        <w:rPr>
          <w:rFonts w:hint="eastAsia" w:ascii="Times New Roman" w:hAnsi="Times New Roman" w:eastAsia="仿宋_GB2312" w:cs="宋体"/>
          <w:sz w:val="32"/>
          <w:szCs w:val="32"/>
          <w:lang w:val="en-US" w:eastAsia="zh-CN"/>
        </w:rPr>
        <w:t>。在增量</w:t>
      </w:r>
      <w:r>
        <w:rPr>
          <w:rFonts w:hint="eastAsia" w:eastAsia="仿宋_GB2312" w:cs="宋体"/>
          <w:sz w:val="32"/>
          <w:szCs w:val="32"/>
          <w:lang w:val="en-US" w:eastAsia="zh-CN"/>
        </w:rPr>
        <w:t>提升</w:t>
      </w:r>
      <w:r>
        <w:rPr>
          <w:rFonts w:hint="eastAsia" w:ascii="Times New Roman" w:hAnsi="Times New Roman" w:eastAsia="仿宋_GB2312" w:cs="宋体"/>
          <w:sz w:val="32"/>
          <w:szCs w:val="32"/>
          <w:lang w:val="en-US" w:eastAsia="zh-CN"/>
        </w:rPr>
        <w:t>上，坚持补短板、拉长板，按照</w:t>
      </w:r>
      <w:r>
        <w:rPr>
          <w:rFonts w:hint="eastAsia" w:ascii="Times New Roman" w:hAnsi="Times New Roman" w:eastAsia="仿宋_GB2312" w:cs="Times New Roman"/>
          <w:spacing w:val="-4"/>
          <w:sz w:val="32"/>
          <w:szCs w:val="32"/>
          <w:lang w:val="en-US" w:eastAsia="zh-CN"/>
        </w:rPr>
        <w:t>“一类一组”、 “一县一团”、“一镇一联”、“一村一策”进行结对帮扶、精准提升，推动经济相对一般村融入乡村振兴片区协同发展，将短板转化为潜力增量。在变量优化上，优化人、地、钱等要素投入，积极引育农业科技等创新人才，落实新增建设用地指标重点用于发展新产业、新业态，坚持公共</w:t>
      </w:r>
      <w:r>
        <w:rPr>
          <w:rFonts w:hint="eastAsia" w:eastAsia="仿宋_GB2312"/>
          <w:color w:val="000000"/>
          <w:kern w:val="0"/>
          <w:sz w:val="32"/>
          <w:szCs w:val="32"/>
          <w:shd w:val="clear" w:color="auto" w:fill="FFFFFF"/>
        </w:rPr>
        <w:t>财政优先保障，</w:t>
      </w:r>
      <w:r>
        <w:rPr>
          <w:rFonts w:hint="eastAsia" w:eastAsia="仿宋_GB2312"/>
          <w:color w:val="000000"/>
          <w:kern w:val="0"/>
          <w:sz w:val="32"/>
          <w:szCs w:val="32"/>
          <w:shd w:val="clear" w:color="auto" w:fill="FFFFFF"/>
          <w:lang w:eastAsia="zh-CN"/>
        </w:rPr>
        <w:t>积极</w:t>
      </w:r>
      <w:r>
        <w:rPr>
          <w:rFonts w:ascii="Times New Roman" w:hAnsi="Times New Roman" w:eastAsia="仿宋_GB2312"/>
          <w:sz w:val="32"/>
        </w:rPr>
        <w:t>构建“财政+金融+社会化”</w:t>
      </w:r>
      <w:r>
        <w:rPr>
          <w:rFonts w:hint="eastAsia" w:ascii="Times New Roman" w:hAnsi="Times New Roman" w:eastAsia="仿宋_GB2312"/>
          <w:sz w:val="32"/>
          <w:lang w:eastAsia="zh-CN"/>
        </w:rPr>
        <w:t>多元</w:t>
      </w:r>
      <w:r>
        <w:rPr>
          <w:rFonts w:ascii="Times New Roman" w:hAnsi="Times New Roman" w:eastAsia="仿宋_GB2312"/>
          <w:sz w:val="32"/>
        </w:rPr>
        <w:t>投入模式，</w:t>
      </w:r>
      <w:r>
        <w:rPr>
          <w:rFonts w:hint="eastAsia" w:eastAsia="仿宋_GB2312"/>
          <w:sz w:val="32"/>
          <w:szCs w:val="32"/>
          <w:lang w:eastAsia="zh-CN"/>
        </w:rPr>
        <w:t>为乡村全面振兴注入源源不断的活力</w:t>
      </w:r>
      <w:r>
        <w:rPr>
          <w:rFonts w:hint="eastAsia" w:eastAsia="仿宋_GB2312"/>
          <w:sz w:val="32"/>
          <w:szCs w:val="32"/>
        </w:rPr>
        <w:t>。</w:t>
      </w:r>
    </w:p>
    <w:p w14:paraId="6FE8395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Nimbus Roman No9 L">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084CA9"/>
    <w:rsid w:val="0E084CA9"/>
    <w:rsid w:val="53F83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widowControl w:val="0"/>
      <w:ind w:firstLine="640" w:firstLineChars="200"/>
      <w:jc w:val="both"/>
    </w:pPr>
    <w:rPr>
      <w:rFonts w:ascii="黑体" w:hAnsi="黑体" w:eastAsia="黑体"/>
      <w:kern w:val="2"/>
      <w:sz w:val="32"/>
      <w:szCs w:val="32"/>
      <w:lang w:val="en-US" w:eastAsia="zh-CN" w:bidi="ar-SA"/>
    </w:rPr>
  </w:style>
  <w:style w:type="paragraph" w:styleId="3">
    <w:name w:val="Normal Indent"/>
    <w:qFormat/>
    <w:uiPriority w:val="0"/>
    <w:pPr>
      <w:widowControl w:val="0"/>
      <w:ind w:firstLine="880" w:firstLineChars="200"/>
      <w:jc w:val="both"/>
    </w:pPr>
    <w:rPr>
      <w:rFonts w:ascii="Times New Roman" w:hAnsi="Times New Roman" w:eastAsia="宋体" w:cs="Times New Roman"/>
      <w:kern w:val="2"/>
      <w:sz w:val="21"/>
      <w:szCs w:val="24"/>
      <w:lang w:val="en-US" w:eastAsia="zh-CN" w:bidi="ar-SA"/>
    </w:rPr>
  </w:style>
  <w:style w:type="paragraph" w:styleId="4">
    <w:name w:val="Body Text Indent"/>
    <w:basedOn w:val="1"/>
    <w:unhideWhenUsed/>
    <w:qFormat/>
    <w:uiPriority w:val="99"/>
    <w:pPr>
      <w:spacing w:after="120"/>
      <w:ind w:left="420" w:leftChars="200"/>
    </w:pPr>
  </w:style>
  <w:style w:type="paragraph" w:styleId="5">
    <w:name w:val="Body Text First Indent 2"/>
    <w:basedOn w:val="4"/>
    <w:qFormat/>
    <w:uiPriority w:val="0"/>
    <w:pPr>
      <w:spacing w:after="0"/>
      <w:ind w:left="0" w:leftChars="0" w:firstLine="420"/>
    </w:pPr>
  </w:style>
  <w:style w:type="character" w:customStyle="1" w:styleId="8">
    <w:name w:val="font81"/>
    <w:qFormat/>
    <w:uiPriority w:val="0"/>
    <w:rPr>
      <w:rFonts w:hint="eastAsia" w:ascii="仿宋_GB2312" w:hAnsi="Times New Roman"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2025-02-14T04:58:00Z</dcterms:created>
  <dc:creator>微信用户</dc:creator>
  <cp:lastModifiedBy>微信用户</cp:lastModifiedBy>
  <dcterms:modified xsi:type="dcterms:W3CDTF">2025-02-14T05:01:07Z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18C29D2C2FBF4DCAB8A5F2A005F215AF_11</vt:lpwstr>
  </property>
  <property fmtid="{D5CDD505-2E9C-101B-9397-08002B2CF9AE}" pid="4" name="KSOTemplateDocerSaveRecord">
    <vt:lpwstr>eyJoZGlkIjoiMzE1ODMxMjU5NTJjNTUxNjA5ZjdjY2IzMWM4MTJkNTYiLCJ1c2VySWQiOiIxMjE1NDQ1MjUxIn0=</vt:lpwstr>
  </property>
</Properties>
</file>