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zhengwen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2025年全市医疗保障工作要点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9"/>
        <w:spacing w:line="60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年是“十四五”规划的收官之年，也是将全面深化改革推向纵深的关键之年。全市医保部门要坚持以习近平新时代中国特色社会主义思想为指导，全面贯彻落实党的二十大和二十届二中、三中全会精神，深入贯彻习近平总书记对江苏、苏州工作重要讲话精神，继续锚定医疗保障“奋力解除全体人民的疾病医疗后顾之忧”的根本目标，坚持稳中求进总基调，坚定不移推进医保改革，赋能医药机构和医药产业高质量发展，促进医疗、医保、医药协同发展和治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立足精细管理，全方位保障基金运行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（一）持续巩固全民参保。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健全参保激励约束长效机制，加强数据共享、协同联动，推进“一人一档”全民参保数据库建设，聚焦重点人群、重点行业，深挖扩面潜力，全面完成省定的参保扩面任务。（市医保中心牵头）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（二）全面保障基金安全运行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加强政策出台的评估精算，对影响基金收支的政策调整，做好事前评估和跟踪监测。健全基金运行持续监测和风险预警机制，常态化开展分析评估，及时化解运行风险，坚决防范基金当期赤字。科学编制年度医保基金预算，强化预算刚性执行。（各处室、市医保中心）</w:t>
      </w:r>
    </w:p>
    <w:p>
      <w:pPr>
        <w:pStyle w:val="9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二、践行务实举措，纵深推进多层次医疗保障体系建设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（三）完善政策体系。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年内完成市政府规章《苏州市医疗保障办法》草案起草工作。大力实施支持鼓励生育的医保政策，探索将灵活就业人员纳入生育保险范围等措施，推进省内生育医疗费用直接结算。（办公室、待遇处牵头）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（四）稳步推进医保定点资源规划实施。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按照2025-2027三年中期规划，明确全市定点医药机构的总量规模，实行分级分类调控，实现定点医药机构动态平衡，确保定点医药机构总量与公众医药服务需要和基金承载能力相适应。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bookmarkStart w:id="1" w:name="OLE_LINK1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待遇处</w:t>
      </w:r>
      <w:bookmarkEnd w:id="1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牵头）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（五）稳慎推进门诊共济改革后半篇文章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，按照省政府统一部署稳妥做好退休人员医保个账划拨标准的调整。（待遇处牵头）</w:t>
      </w:r>
    </w:p>
    <w:p>
      <w:pPr>
        <w:pStyle w:val="9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（六）接力实施困难群众医疗费用纾困民生工程。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将困难群众综合保障率稳步提升至88%以上，增强对困难群众基础性、兜底性保障。（待遇处牵头）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三、聚焦创新思路，多维度深化医保改革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（七）深化医保支付方式改革。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动国家DRG2.0版本方案高水平落地，探索紧密型县域医共体医保基金总额付费管理。深化实施B级定点药店和门诊机构总额预算管理，探索将二级及以上医院门诊费用纳入总额预算管理。适时调整家庭医生签约服务费标准和医保支付标准。积极推进“互联网+”医疗服务医保支付工作，支持互联网医院规范建设与发展。（待遇处牵头，信息处、市医保中心配合）</w:t>
      </w:r>
    </w:p>
    <w:p>
      <w:pPr>
        <w:pStyle w:val="9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（八）深化医药供给侧改革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继续推进医疗服务价格改革国家试点，做好试点评估总结，开展检查检验项目价格治理，降低价格偏高的大型设备检查和部分检验项目价格，提高价格偏低、不能体现技术劳务价值的医疗服务项目价格，进一步理顺医疗服务比价关系，优化医疗收入结构。积极推动定点民营医疗机构和零售药店、基层医疗机构参与集采。加强医药价格监测，引导定点医药机构合理定价。（价采处牵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（九）推进跨省域个人账户共济国家试点。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在实现河南、上海共济互通基础上，继续做好跨省域个人账户共济国家试点工作，完善配套机制。（待遇处、市医保中心牵头）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（十）持续深化长护险国家试点。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做好长护险新一轮招标工作。探索搭建长期照护师培训体系，加快推进长期照护师证率先发放。（待遇处、市医保中心牵头）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（十一）支持创新药落地惠民。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助推我市创新药快速上市销售、医院配备使用，进一步激发医药企业创新积极性。（价采处牵头，待遇处配合）</w:t>
      </w:r>
    </w:p>
    <w:p>
      <w:pPr>
        <w:keepNext w:val="0"/>
        <w:widowControl w:val="0"/>
        <w:numPr>
          <w:ilvl w:val="0"/>
          <w:numId w:val="0"/>
        </w:numPr>
        <w:shd w:val="clear" w:color="auto" w:fill="auto"/>
        <w:topLinePunct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（十二）推进苏州医保综合改革创新示范区建设试点。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通过数据赋能、政策赋能等路径，推进医保全量数据汇聚应用，力争在支持商业保险、生物医药产业和护理产业发展等方面取得突破。（办公室、信息处牵头）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四、突出严字当头，多举措强化基金监管</w:t>
      </w:r>
    </w:p>
    <w:p>
      <w:pPr>
        <w:keepNext w:val="0"/>
        <w:widowControl/>
        <w:numPr>
          <w:ilvl w:val="0"/>
          <w:numId w:val="0"/>
        </w:numPr>
        <w:shd w:val="clear" w:color="auto" w:fill="FFFFFF"/>
        <w:topLinePunct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（十三）构建完善基金监管制度体系。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开展打击欺诈骗保集中攻坚整治为契机，整合各方监管力量，构建完善监管制度体系，坚决遏制医保基金支出不合理增长势头。持续做好攻坚行动发现问题的整改闭环。根据省局实施方案落实定点医药机构相关人员医保支付资格管理。（基金处牵头）</w:t>
      </w:r>
    </w:p>
    <w:p>
      <w:pPr>
        <w:keepNext w:val="0"/>
        <w:widowControl/>
        <w:numPr>
          <w:ilvl w:val="0"/>
          <w:numId w:val="0"/>
        </w:numPr>
        <w:shd w:val="clear" w:color="auto" w:fill="FFFFFF"/>
        <w:topLinePunct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（十四）大力发展大数据智能监管。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探索大数据监管模型构建和应用，实现对基金违法行为的事前防范和系统控制。强化大数据分析，聚焦药品、耗材、医疗服务项目、医师等多个维度，及时跟进异常数据核查处理和支付政策调整优化。加强追溯码采集应用，严厉打击医保“回流药”。加强异地就医基金监管。（基金处、市医保中心、信息处）</w:t>
      </w:r>
    </w:p>
    <w:p>
      <w:pPr>
        <w:keepNext w:val="0"/>
        <w:widowControl/>
        <w:numPr>
          <w:ilvl w:val="0"/>
          <w:numId w:val="0"/>
        </w:numPr>
        <w:shd w:val="clear" w:color="auto" w:fill="FFFFFF"/>
        <w:topLinePunct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（十五）强化部门联动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加强与公检法部门联动，推进行政执法与刑事司法的“两法衔接”；加强与纪检监察部门的医保基金监管信息贯通，推进“行纪衔接”；加强与卫健、市场监管等其他行政部门的工作衔接，加强工作信息沟通运用，联合开展监管工作，落实“综合查一次”。（基金处牵头，市医保中心配合）</w:t>
      </w:r>
    </w:p>
    <w:p>
      <w:pPr>
        <w:keepNext w:val="0"/>
        <w:widowControl/>
        <w:numPr>
          <w:ilvl w:val="0"/>
          <w:numId w:val="0"/>
        </w:numPr>
        <w:shd w:val="clear" w:color="auto" w:fill="FFFFFF"/>
        <w:topLinePunct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（十六）保持打击欺诈骗保高压态势。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落实常态化监管，开展多种形式的监督检查。组织做好定点医疗机构自查自纠。重视举报线索的核查处理，落实举报奖励。加强宣传引导和风险警示。对查实存在欺诈骗保行为的从严从快进行处理。（基金处牵头，市医保中心配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五、对标更佳标准，深层次优化服务质效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（十七）持续优化医保公共服务。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不断健全完善“线上线下家门口”的医保服务网，实现医保公共服务事项线上线下无差别办理和“市内通办”。高质量推进医保领域“高效办成一件事”。推进医保码全流程应用，加快推广医保移动支付、电子处方流转。建设“我要查”“我要办”的数字服务窗口，探索医保政策宣传精准“智推”。（市医保中心牵头，办公室、信息处配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（十八）提高医保基金周转效率。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探索推进医保与定点医药机构即时结算。建立预付金制度。（市医保中心牵头，待遇处配合）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（十九）做实做优民生实事项目。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持续做优“先诊疗后付费”、商业医疗保险“一键式”快速理赔民生实事。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加强异地就医备案管理，优化异地就医直接结算经办服务。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深度优化基于大数据语言模型的12393医保服务热线智能语音服务，提高热线承接能力。（市医保中心牵头，办公室、信息处配合）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六、强化数据赋能，深入推进医保数字化转型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（二十）全力推进医保数据赋能</w:t>
      </w: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依托江苏省医保信息平台苏州数据专区，建设苏州医保数据赋能实验室。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建立数据工作组，统筹开展数据归集治理和赋能应用。推进跨部门综合管理整合，建设苏州药店综合管理平台。建立常态长效数据安全管理机制。（信息处牵头，市医保中心配合）</w:t>
      </w:r>
    </w:p>
    <w:p>
      <w:pPr>
        <w:pStyle w:val="1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七、压实主体责任，多渠道强化担当作为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（二十一）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坚持全面从严治党。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按照“全的要求、严的基调、治的理念”</w:t>
      </w:r>
      <w:r>
        <w:rPr>
          <w:rFonts w:hint="eastAsia" w:ascii="方正仿宋_GBK" w:hAnsi="方正仿宋_GBK" w:eastAsia="方正仿宋_GBK" w:cs="方正仿宋_GBK"/>
          <w:snapToGrid/>
          <w:color w:val="auto"/>
          <w:spacing w:val="0"/>
          <w:kern w:val="2"/>
          <w:sz w:val="32"/>
          <w:szCs w:val="32"/>
          <w:lang w:val="en-US" w:eastAsia="zh-CN"/>
        </w:rPr>
        <w:t>严格落实“一岗双责”责任制，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压紧压实管党治党政治责任，常态化开展廉政警示教育。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（机关党委牵头）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（二十二）</w:t>
      </w:r>
      <w:r>
        <w:rPr>
          <w:rFonts w:hint="eastAsia" w:ascii="方正楷体_GBK" w:hAnsi="方正楷体_GBK" w:eastAsia="方正楷体_GBK" w:cs="方正楷体_GBK"/>
          <w:snapToGrid/>
          <w:color w:val="auto"/>
          <w:spacing w:val="0"/>
          <w:kern w:val="2"/>
          <w:sz w:val="32"/>
          <w:szCs w:val="32"/>
          <w:lang w:val="en-US" w:eastAsia="zh-CN"/>
        </w:rPr>
        <w:t>加强党性党风党纪教育。</w:t>
      </w:r>
      <w:r>
        <w:rPr>
          <w:rFonts w:hint="eastAsia" w:ascii="方正仿宋_GBK" w:hAnsi="方正仿宋_GBK" w:eastAsia="方正仿宋_GBK" w:cs="方正仿宋_GBK"/>
          <w:snapToGrid/>
          <w:color w:val="auto"/>
          <w:spacing w:val="0"/>
          <w:kern w:val="2"/>
          <w:sz w:val="32"/>
          <w:szCs w:val="32"/>
          <w:lang w:val="en-US" w:eastAsia="zh-CN"/>
        </w:rPr>
        <w:t>注重正本清源、固本培元，引导全市医保系统党员干部传承党的光荣传统和优良作风，形成拒腐尚廉、勤政清廉的良好氛围。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持续纠治“四风”，深入整治医疗保障领域群众身边不正之风和腐败问题，加大整治形式主义为基层减轻负担，持续做好巡察整改“后半篇文章”。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（机关党委牵头，办公室配合）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（二十三）持续推进党建业务融合。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紧扣医疗保障重点工作，找准党建和业务的融合点一体推进，在进一步全面深化改革、推进中国式现代化上走在前、做示范。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（机关党委牵头）</w:t>
      </w:r>
    </w:p>
    <w:p>
      <w:pPr>
        <w:pStyle w:val="1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bookmarkEnd w:id="0"/>
    <w:p>
      <w:pPr>
        <w:pStyle w:val="8"/>
        <w:suppressAutoHyphens/>
        <w:spacing w:before="300" w:after="360" w:line="600" w:lineRule="exact"/>
        <w:ind w:left="0" w:right="68" w:firstLine="0"/>
        <w:jc w:val="both"/>
        <w:rPr>
          <w:rFonts w:hint="eastAsia" w:ascii="方正仿宋_GBK" w:hAnsi="方正仿宋_GBK" w:eastAsia="方正仿宋_GBK" w:cs="方正仿宋_GBK"/>
          <w:b w:val="0"/>
          <w:snapToGrid/>
          <w:color w:val="auto"/>
          <w:w w:val="100"/>
          <w:kern w:val="2"/>
          <w:sz w:val="32"/>
          <w:szCs w:val="32"/>
        </w:rPr>
      </w:pPr>
    </w:p>
    <w:p>
      <w:pPr>
        <w:pStyle w:val="8"/>
        <w:suppressAutoHyphens/>
        <w:spacing w:before="300" w:after="360" w:line="600" w:lineRule="exact"/>
        <w:ind w:left="0" w:right="68" w:firstLine="0"/>
        <w:jc w:val="both"/>
        <w:rPr>
          <w:rFonts w:hint="eastAsia" w:ascii="方正仿宋_GBK" w:hAnsi="方正仿宋_GBK" w:eastAsia="方正仿宋_GBK" w:cs="方正仿宋_GBK"/>
          <w:b w:val="0"/>
          <w:snapToGrid/>
          <w:color w:val="auto"/>
          <w:w w:val="100"/>
          <w:kern w:val="2"/>
          <w:sz w:val="32"/>
          <w:szCs w:val="32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610" w:right="1746" w:bottom="1440" w:left="1746" w:header="851" w:footer="1531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鼎简大宋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Arial Unicode MS">
    <w:altName w:val="Nimbus Roman No9 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CzG+uQ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DB04F"/>
    <w:multiLevelType w:val="singleLevel"/>
    <w:tmpl w:val="A60DB04F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1E"/>
    <w:rsid w:val="00000437"/>
    <w:rsid w:val="0001720F"/>
    <w:rsid w:val="000306BC"/>
    <w:rsid w:val="000B44CD"/>
    <w:rsid w:val="000E16A7"/>
    <w:rsid w:val="0014062C"/>
    <w:rsid w:val="00204676"/>
    <w:rsid w:val="00231288"/>
    <w:rsid w:val="002548E8"/>
    <w:rsid w:val="00280638"/>
    <w:rsid w:val="002948AA"/>
    <w:rsid w:val="00380E79"/>
    <w:rsid w:val="00390BF3"/>
    <w:rsid w:val="003A7948"/>
    <w:rsid w:val="003B6896"/>
    <w:rsid w:val="003C2C14"/>
    <w:rsid w:val="003C72F0"/>
    <w:rsid w:val="00430E95"/>
    <w:rsid w:val="004346A6"/>
    <w:rsid w:val="004A20B7"/>
    <w:rsid w:val="004A27D6"/>
    <w:rsid w:val="004A67E1"/>
    <w:rsid w:val="004E734D"/>
    <w:rsid w:val="00527C55"/>
    <w:rsid w:val="00564BA9"/>
    <w:rsid w:val="00597544"/>
    <w:rsid w:val="00597ECD"/>
    <w:rsid w:val="005C1B04"/>
    <w:rsid w:val="005C4407"/>
    <w:rsid w:val="005E34EE"/>
    <w:rsid w:val="006434E6"/>
    <w:rsid w:val="006B3738"/>
    <w:rsid w:val="006F054A"/>
    <w:rsid w:val="006F40FC"/>
    <w:rsid w:val="00773975"/>
    <w:rsid w:val="007C7424"/>
    <w:rsid w:val="007D4BE9"/>
    <w:rsid w:val="007F772A"/>
    <w:rsid w:val="00813D9D"/>
    <w:rsid w:val="0083518E"/>
    <w:rsid w:val="00842602"/>
    <w:rsid w:val="008502E9"/>
    <w:rsid w:val="00864304"/>
    <w:rsid w:val="008A0954"/>
    <w:rsid w:val="00926BD4"/>
    <w:rsid w:val="00A85A4C"/>
    <w:rsid w:val="00A92FF6"/>
    <w:rsid w:val="00B00C9D"/>
    <w:rsid w:val="00BE0AF7"/>
    <w:rsid w:val="00BF5A39"/>
    <w:rsid w:val="00C328E5"/>
    <w:rsid w:val="00C409C9"/>
    <w:rsid w:val="00C560F3"/>
    <w:rsid w:val="00C63610"/>
    <w:rsid w:val="00CA615D"/>
    <w:rsid w:val="00CC1097"/>
    <w:rsid w:val="00D10D29"/>
    <w:rsid w:val="00D87A94"/>
    <w:rsid w:val="00E0735C"/>
    <w:rsid w:val="00E20500"/>
    <w:rsid w:val="00ED251E"/>
    <w:rsid w:val="00F32186"/>
    <w:rsid w:val="00F458ED"/>
    <w:rsid w:val="00F624C6"/>
    <w:rsid w:val="00F63EE9"/>
    <w:rsid w:val="06DC1713"/>
    <w:rsid w:val="0DEC51DD"/>
    <w:rsid w:val="11507BF7"/>
    <w:rsid w:val="177361ED"/>
    <w:rsid w:val="24301D14"/>
    <w:rsid w:val="45421DC1"/>
    <w:rsid w:val="477E2B63"/>
    <w:rsid w:val="5FE70FC8"/>
    <w:rsid w:val="724B3D6F"/>
    <w:rsid w:val="7FFE5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62"/>
      <w:kern w:val="0"/>
      <w:sz w:val="140"/>
      <w:szCs w:val="20"/>
    </w:rPr>
  </w:style>
  <w:style w:type="paragraph" w:customStyle="1" w:styleId="9">
    <w:name w:val="段"/>
    <w:next w:val="10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0">
    <w:name w:val="正文 A"/>
    <w:next w:val="9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36</Words>
  <Characters>43</Characters>
  <Lines>10</Lines>
  <Paragraphs>3</Paragraphs>
  <TotalTime>11</TotalTime>
  <ScaleCrop>false</ScaleCrop>
  <LinksUpToDate>false</LinksUpToDate>
  <CharactersWithSpaces>65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2019-01-12T19:30:00Z</dcterms:created>
  <dc:creator>何长军</dc:creator>
  <cp:lastModifiedBy>sugou</cp:lastModifiedBy>
  <cp:lastPrinted>2025-03-18T19:19:00Z</cp:lastPrinted>
  <dcterms:modified xsi:type="dcterms:W3CDTF">2025-09-02T17:06:02Z</dcterms:modified>
  <dc:title>苏州市医疗保障局转隶组建实施方案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KSOTemplateDocerSaveRecord">
    <vt:lpwstr>eyJoZGlkIjoiYzhhNWI2YmFiZWVmMjZlZjFmYmFjZDNmOTI2NWJlODgiLCJ1c2VySWQiOiI0MzUyNjMyMzYifQ==</vt:lpwstr>
  </property>
  <property fmtid="{D5CDD505-2E9C-101B-9397-08002B2CF9AE}" pid="4" name="ICV">
    <vt:lpwstr>38D926CE615F562473B2B668CE55E17D</vt:lpwstr>
  </property>
</Properties>
</file>