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方正小标宋简体" w:cs="Times New Roman"/>
          <w:sz w:val="44"/>
          <w:szCs w:val="44"/>
          <w:highlight w:val="none"/>
          <w:lang w:val="en-US" w:eastAsia="zh-CN"/>
        </w:rPr>
      </w:pPr>
      <w:bookmarkStart w:id="0" w:name="zhengwen"/>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highlight w:val="none"/>
          <w:lang w:val="en-US" w:eastAsia="zh-CN"/>
        </w:rPr>
      </w:pPr>
      <w:r>
        <w:rPr>
          <w:rFonts w:hint="default" w:ascii="Times New Roman" w:hAnsi="Times New Roman" w:eastAsia="方正小标宋简体" w:cs="Times New Roman"/>
          <w:sz w:val="44"/>
          <w:szCs w:val="44"/>
          <w:highlight w:val="none"/>
          <w:lang w:val="en-US" w:eastAsia="zh-CN"/>
        </w:rPr>
        <w:t>关于印发《苏州市医疗保障局</w:t>
      </w:r>
      <w:r>
        <w:rPr>
          <w:rFonts w:hint="default" w:ascii="Times New Roman" w:hAnsi="Times New Roman" w:eastAsia="方正小标宋简体" w:cs="Times New Roman"/>
          <w:sz w:val="44"/>
          <w:szCs w:val="44"/>
          <w:highlight w:val="none"/>
        </w:rPr>
        <w:t>2025年</w:t>
      </w:r>
      <w:r>
        <w:rPr>
          <w:rFonts w:hint="default" w:ascii="Times New Roman" w:hAnsi="Times New Roman" w:eastAsia="方正小标宋简体" w:cs="Times New Roman"/>
          <w:sz w:val="44"/>
          <w:szCs w:val="44"/>
          <w:highlight w:val="none"/>
          <w:lang w:val="en-US" w:eastAsia="zh-CN"/>
        </w:rPr>
        <w:t>工作总结</w:t>
      </w:r>
      <w:r>
        <w:rPr>
          <w:rFonts w:hint="default" w:ascii="Times New Roman" w:hAnsi="Times New Roman" w:eastAsia="方正小标宋简体" w:cs="Times New Roman"/>
          <w:sz w:val="44"/>
          <w:szCs w:val="44"/>
          <w:highlight w:val="none"/>
        </w:rPr>
        <w:t>和2026年工作计划</w:t>
      </w:r>
      <w:r>
        <w:rPr>
          <w:rFonts w:hint="default" w:ascii="Times New Roman" w:hAnsi="Times New Roman" w:eastAsia="方正小标宋简体" w:cs="Times New Roman"/>
          <w:sz w:val="44"/>
          <w:szCs w:val="44"/>
          <w:highlight w:val="none"/>
          <w:lang w:val="en-US" w:eastAsia="zh-CN"/>
        </w:rPr>
        <w:t>》的通知</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各市、区医疗保障局，机关各处室，市医疗保障基金管理中心：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现将《苏州市医疗保障局2025年工作总结和2026年工作计划》印发给你们，请了解掌握。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lang w:val="en-US" w:eastAsia="zh-CN"/>
        </w:rPr>
        <w:t>苏州市医疗保障局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default" w:ascii="Times New Roman" w:hAnsi="Times New Roman" w:eastAsia="方正小标宋简体" w:cs="Times New Roman"/>
          <w:sz w:val="44"/>
          <w:szCs w:val="44"/>
          <w:highlight w:val="none"/>
          <w:lang w:val="en-US" w:eastAsia="zh-CN"/>
        </w:rPr>
      </w:pPr>
      <w:r>
        <w:rPr>
          <w:rFonts w:hint="eastAsia"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lang w:val="en-US" w:eastAsia="zh-CN"/>
        </w:rPr>
        <w:t>2026年2月</w:t>
      </w: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日</w:t>
      </w:r>
      <w:r>
        <w:rPr>
          <w:rFonts w:hint="default" w:ascii="Times New Roman" w:hAnsi="Times New Roman" w:eastAsia="方正小标宋简体" w:cs="Times New Roman"/>
          <w:sz w:val="44"/>
          <w:szCs w:val="44"/>
          <w:highlight w:val="none"/>
          <w:lang w:val="en-US" w:eastAsia="zh-CN"/>
        </w:rPr>
        <w:br w:type="page"/>
      </w:r>
      <w:r>
        <w:rPr>
          <w:rFonts w:hint="eastAsia" w:ascii="Times New Roman" w:hAnsi="Times New Roman" w:eastAsia="方正小标宋简体" w:cs="Times New Roman"/>
          <w:sz w:val="44"/>
          <w:szCs w:val="44"/>
          <w:highlight w:val="none"/>
          <w:lang w:val="en-US" w:eastAsia="zh-CN"/>
        </w:rPr>
        <w:t>苏州市医疗保障局</w:t>
      </w:r>
      <w:r>
        <w:rPr>
          <w:rFonts w:hint="default" w:ascii="Times New Roman" w:hAnsi="Times New Roman" w:eastAsia="方正小标宋简体" w:cs="Times New Roman"/>
          <w:sz w:val="44"/>
          <w:szCs w:val="44"/>
          <w:highlight w:val="none"/>
        </w:rPr>
        <w:t>2025年</w:t>
      </w:r>
      <w:r>
        <w:rPr>
          <w:rFonts w:hint="eastAsia" w:ascii="Times New Roman" w:hAnsi="Times New Roman" w:eastAsia="方正小标宋简体" w:cs="Times New Roman"/>
          <w:sz w:val="44"/>
          <w:szCs w:val="44"/>
          <w:highlight w:val="none"/>
          <w:lang w:val="en-US" w:eastAsia="zh-CN"/>
        </w:rPr>
        <w:t>工作总结</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highlight w:val="none"/>
        </w:rPr>
      </w:pPr>
      <w:r>
        <w:rPr>
          <w:rFonts w:hint="default" w:ascii="Times New Roman" w:hAnsi="Times New Roman" w:eastAsia="方正小标宋简体" w:cs="Times New Roman"/>
          <w:sz w:val="44"/>
          <w:szCs w:val="44"/>
          <w:highlight w:val="none"/>
        </w:rPr>
        <w:t>和2026年工作计划</w:t>
      </w:r>
    </w:p>
    <w:p>
      <w:pPr>
        <w:spacing w:line="580" w:lineRule="exact"/>
        <w:ind w:firstLine="640" w:firstLineChars="200"/>
        <w:rPr>
          <w:rFonts w:hint="default" w:ascii="Times New Roman" w:hAnsi="Times New Roman" w:eastAsia="仿宋_GB2312" w:cs="Times New Roman"/>
          <w:b w:val="0"/>
          <w:bCs w:val="0"/>
          <w:color w:val="auto"/>
          <w:kern w:val="2"/>
          <w:sz w:val="32"/>
          <w:szCs w:val="32"/>
          <w:highlight w:val="none"/>
          <w:lang w:val="en-US" w:eastAsia="zh-CN" w:bidi="ar-SA"/>
        </w:rPr>
      </w:pPr>
    </w:p>
    <w:p>
      <w:pPr>
        <w:keepLines w:val="0"/>
        <w:pageBreakBefore w:val="0"/>
        <w:wordWrap/>
        <w:overflowPunct/>
        <w:bidi w:val="0"/>
        <w:adjustRightInd/>
        <w:snapToGrid/>
        <w:spacing w:line="560" w:lineRule="exact"/>
        <w:ind w:firstLine="640" w:firstLineChars="200"/>
        <w:textAlignment w:val="auto"/>
        <w:rPr>
          <w:rFonts w:hint="default" w:ascii="Times New Roman" w:hAnsi="Times New Roman" w:cs="Times New Roman"/>
          <w:sz w:val="32"/>
          <w:szCs w:val="32"/>
          <w:highlight w:val="none"/>
          <w:lang w:val="en-US" w:eastAsia="zh-CN"/>
        </w:rPr>
      </w:pPr>
      <w:r>
        <w:rPr>
          <w:rFonts w:hint="default" w:ascii="Times New Roman" w:hAnsi="Times New Roman" w:eastAsia="仿宋_GB2312" w:cs="Times New Roman"/>
          <w:b w:val="0"/>
          <w:bCs w:val="0"/>
          <w:color w:val="auto"/>
          <w:kern w:val="2"/>
          <w:sz w:val="32"/>
          <w:szCs w:val="32"/>
          <w:highlight w:val="none"/>
          <w:lang w:val="en-US" w:eastAsia="zh-CN" w:bidi="ar-SA"/>
        </w:rPr>
        <w:t>2025年，</w:t>
      </w:r>
      <w:r>
        <w:rPr>
          <w:rFonts w:hint="default" w:ascii="Times New Roman" w:hAnsi="Times New Roman" w:eastAsia="仿宋_GB2312" w:cs="Times New Roman"/>
          <w:b w:val="0"/>
          <w:bCs w:val="0"/>
          <w:color w:val="auto"/>
          <w:sz w:val="32"/>
          <w:szCs w:val="32"/>
          <w:highlight w:val="none"/>
          <w:lang w:val="en-US" w:eastAsia="zh-CN"/>
        </w:rPr>
        <w:t>苏州医保系统深入学习贯彻党的二十大和</w:t>
      </w:r>
      <w:r>
        <w:rPr>
          <w:rFonts w:hint="default" w:ascii="Times New Roman" w:hAnsi="Times New Roman" w:eastAsia="仿宋_GB2312" w:cs="Times New Roman"/>
          <w:sz w:val="32"/>
          <w:szCs w:val="32"/>
          <w:highlight w:val="none"/>
          <w:lang w:val="en-US" w:eastAsia="zh-CN"/>
        </w:rPr>
        <w:t>二十届历次全会精神，</w:t>
      </w:r>
      <w:r>
        <w:rPr>
          <w:rFonts w:hint="default" w:ascii="Times New Roman" w:hAnsi="Times New Roman" w:eastAsia="仿宋_GB2312" w:cs="Times New Roman"/>
          <w:i w:val="0"/>
          <w:iCs w:val="0"/>
          <w:caps w:val="0"/>
          <w:color w:val="auto"/>
          <w:spacing w:val="0"/>
          <w:sz w:val="32"/>
          <w:szCs w:val="32"/>
          <w:highlight w:val="none"/>
          <w:shd w:val="clear" w:color="auto" w:fill="auto"/>
        </w:rPr>
        <w:t>在市委、市政府的坚强领导下，</w:t>
      </w:r>
      <w:r>
        <w:rPr>
          <w:rFonts w:hint="default" w:ascii="Times New Roman" w:hAnsi="Times New Roman" w:eastAsia="仿宋_GB2312" w:cs="Times New Roman"/>
          <w:sz w:val="32"/>
          <w:szCs w:val="32"/>
          <w:highlight w:val="none"/>
          <w:lang w:val="en-US" w:eastAsia="zh-CN"/>
        </w:rPr>
        <w:t>坚持以人民健康为中心，聚焦</w:t>
      </w:r>
      <w:r>
        <w:rPr>
          <w:rFonts w:hint="default" w:ascii="Times New Roman" w:hAnsi="Times New Roman" w:eastAsia="仿宋_GB2312" w:cs="Times New Roman"/>
          <w:sz w:val="32"/>
          <w:szCs w:val="32"/>
          <w:highlight w:val="none"/>
          <w:lang w:val="en-US" w:eastAsia="zh-CN"/>
        </w:rPr>
        <w:t>参保扩面、待遇保障、改革深化、基金监管、服务优化等</w:t>
      </w:r>
      <w:r>
        <w:rPr>
          <w:rFonts w:hint="default" w:ascii="Times New Roman" w:hAnsi="Times New Roman" w:eastAsia="仿宋_GB2312" w:cs="Times New Roman"/>
          <w:sz w:val="32"/>
          <w:szCs w:val="32"/>
          <w:highlight w:val="none"/>
          <w:lang w:val="en-US" w:eastAsia="zh-CN"/>
        </w:rPr>
        <w:t>重点领域，攻坚克难、开拓创新，</w:t>
      </w:r>
      <w:r>
        <w:rPr>
          <w:rFonts w:hint="default" w:ascii="Times New Roman" w:hAnsi="Times New Roman" w:eastAsia="仿宋_GB2312" w:cs="Times New Roman"/>
          <w:color w:val="000000"/>
          <w:spacing w:val="0"/>
          <w:kern w:val="2"/>
          <w:sz w:val="32"/>
          <w:szCs w:val="32"/>
          <w:highlight w:val="none"/>
          <w:lang w:val="en-US" w:eastAsia="zh-CN" w:bidi="ar-SA"/>
        </w:rPr>
        <w:t>有力推进医保事业发展取得积极成效，实现“十四五”圆满收官。</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jc w:val="both"/>
        <w:textAlignment w:val="auto"/>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一、</w:t>
      </w:r>
      <w:r>
        <w:rPr>
          <w:rFonts w:hint="default" w:ascii="Times New Roman" w:hAnsi="Times New Roman" w:eastAsia="黑体" w:cs="Times New Roman"/>
          <w:sz w:val="32"/>
          <w:szCs w:val="32"/>
          <w:highlight w:val="none"/>
          <w:lang w:val="en-US" w:eastAsia="zh-CN"/>
        </w:rPr>
        <w:t>凝心聚力，拼搏进取，2025年苏州医保事业取得新成效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60"/>
        <w:jc w:val="left"/>
        <w:textAlignment w:val="auto"/>
        <w:rPr>
          <w:rFonts w:hint="default"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sz w:val="32"/>
          <w:szCs w:val="32"/>
          <w:highlight w:val="none"/>
          <w:lang w:val="en-US" w:eastAsia="zh-CN"/>
        </w:rPr>
        <w:t>（一）坚持政治引领，持续推动党建业务互融共促</w:t>
      </w:r>
    </w:p>
    <w:p>
      <w:pPr>
        <w:keepNext w:val="0"/>
        <w:keepLines w:val="0"/>
        <w:pageBreakBefore w:val="0"/>
        <w:wordWrap/>
        <w:overflowPunct/>
        <w:topLinePunct w:val="0"/>
        <w:bidi w:val="0"/>
        <w:adjustRightInd/>
        <w:snapToGrid/>
        <w:spacing w:line="560" w:lineRule="exact"/>
        <w:jc w:val="left"/>
        <w:textAlignment w:val="auto"/>
        <w:rPr>
          <w:rFonts w:hint="default" w:ascii="Times New Roman" w:hAnsi="Times New Roman" w:eastAsia="仿宋_GB2312" w:cs="Times New Roman"/>
          <w:snapToGrid w:val="0"/>
          <w:spacing w:val="-4"/>
          <w:kern w:val="0"/>
          <w:sz w:val="32"/>
          <w:szCs w:val="32"/>
          <w:highlight w:val="none"/>
          <w:lang w:val="en-US" w:eastAsia="zh-CN"/>
        </w:rPr>
      </w:pPr>
      <w:r>
        <w:rPr>
          <w:rFonts w:hint="default" w:ascii="Times New Roman" w:hAnsi="Times New Roman" w:eastAsia="黑体" w:cs="Times New Roman"/>
          <w:sz w:val="32"/>
          <w:szCs w:val="32"/>
          <w:highlight w:val="none"/>
          <w:lang w:val="en-US" w:eastAsia="zh-CN"/>
        </w:rPr>
        <w:t xml:space="preserve">    </w:t>
      </w:r>
      <w:r>
        <w:rPr>
          <w:rFonts w:hint="default" w:ascii="Times New Roman" w:hAnsi="Times New Roman" w:eastAsia="仿宋_GB2312" w:cs="Times New Roman"/>
          <w:b/>
          <w:bCs/>
          <w:color w:val="auto"/>
          <w:spacing w:val="0"/>
          <w:kern w:val="2"/>
          <w:sz w:val="32"/>
          <w:szCs w:val="32"/>
          <w:highlight w:val="none"/>
          <w:lang w:val="en-US" w:eastAsia="zh-CN" w:bidi="ar-SA"/>
        </w:rPr>
        <w:t>一是强化理论武装，筑牢思想根基。</w:t>
      </w:r>
      <w:r>
        <w:rPr>
          <w:rFonts w:hint="default" w:ascii="Times New Roman" w:hAnsi="Times New Roman" w:eastAsia="仿宋_GB2312" w:cs="Times New Roman"/>
          <w:b w:val="0"/>
          <w:bCs w:val="0"/>
          <w:color w:val="auto"/>
          <w:spacing w:val="0"/>
          <w:kern w:val="2"/>
          <w:sz w:val="32"/>
          <w:szCs w:val="32"/>
          <w:highlight w:val="none"/>
          <w:lang w:val="en-US" w:eastAsia="zh-CN" w:bidi="ar-SA"/>
        </w:rPr>
        <w:t>始终把政治建设摆在首位，以系统化学习体系推动党的创新理论入脑入心。</w:t>
      </w:r>
      <w:r>
        <w:rPr>
          <w:rFonts w:hint="default" w:ascii="Times New Roman" w:hAnsi="Times New Roman" w:eastAsia="仿宋_GB2312" w:cs="Times New Roman"/>
          <w:color w:val="000000"/>
          <w:spacing w:val="0"/>
          <w:kern w:val="2"/>
          <w:sz w:val="32"/>
          <w:szCs w:val="32"/>
          <w:highlight w:val="none"/>
          <w:lang w:val="en-US" w:eastAsia="zh-CN" w:bidi="ar-SA"/>
        </w:rPr>
        <w:t>严格执行“第一议题”制度，持续完善“中心组+党支部+青年小组+党员个人”四级学习体系，</w:t>
      </w:r>
      <w:r>
        <w:rPr>
          <w:rFonts w:hint="default" w:ascii="Times New Roman" w:hAnsi="Times New Roman" w:eastAsia="仿宋_GB2312" w:cs="Times New Roman"/>
          <w:b w:val="0"/>
          <w:bCs w:val="0"/>
          <w:color w:val="auto"/>
          <w:spacing w:val="0"/>
          <w:kern w:val="2"/>
          <w:sz w:val="32"/>
          <w:szCs w:val="32"/>
          <w:highlight w:val="none"/>
          <w:lang w:val="en-US" w:eastAsia="zh-CN" w:bidi="ar-SA"/>
        </w:rPr>
        <w:t>以上率下系统学习习近平总书记关于江苏、苏州工作以及民生、社会保障工作的重要论述，党的二十大及</w:t>
      </w:r>
      <w:r>
        <w:rPr>
          <w:rFonts w:hint="default" w:ascii="Times New Roman" w:hAnsi="Times New Roman" w:eastAsia="仿宋_GB2312" w:cs="Times New Roman"/>
          <w:sz w:val="32"/>
          <w:szCs w:val="32"/>
          <w:highlight w:val="none"/>
          <w:lang w:val="en-US" w:eastAsia="zh-CN"/>
        </w:rPr>
        <w:t>二十届</w:t>
      </w:r>
      <w:r>
        <w:rPr>
          <w:rFonts w:hint="default" w:ascii="Times New Roman" w:hAnsi="Times New Roman" w:eastAsia="仿宋_GB2312" w:cs="Times New Roman"/>
          <w:b w:val="0"/>
          <w:bCs w:val="0"/>
          <w:color w:val="auto"/>
          <w:spacing w:val="0"/>
          <w:kern w:val="2"/>
          <w:sz w:val="32"/>
          <w:szCs w:val="32"/>
          <w:highlight w:val="none"/>
          <w:lang w:val="en-US" w:eastAsia="zh-CN" w:bidi="ar-SA"/>
        </w:rPr>
        <w:t>历次全会精神等核心内容。</w:t>
      </w:r>
      <w:r>
        <w:rPr>
          <w:rFonts w:hint="default" w:ascii="Times New Roman" w:hAnsi="Times New Roman" w:eastAsia="仿宋_GB2312" w:cs="Times New Roman"/>
          <w:color w:val="000000"/>
          <w:spacing w:val="0"/>
          <w:kern w:val="2"/>
          <w:sz w:val="32"/>
          <w:szCs w:val="32"/>
          <w:highlight w:val="none"/>
          <w:lang w:val="en-US" w:eastAsia="zh-CN" w:bidi="ar-SA"/>
        </w:rPr>
        <w:t>积极探索“学习+研讨+调研+工作”深度融合新模式，推动理论学习向实践能力转化。</w:t>
      </w:r>
      <w:r>
        <w:rPr>
          <w:rFonts w:hint="default" w:ascii="Times New Roman" w:hAnsi="Times New Roman" w:eastAsia="仿宋_GB2312" w:cs="Times New Roman"/>
          <w:b w:val="0"/>
          <w:bCs w:val="0"/>
          <w:color w:val="auto"/>
          <w:spacing w:val="0"/>
          <w:kern w:val="2"/>
          <w:sz w:val="32"/>
          <w:szCs w:val="32"/>
          <w:highlight w:val="none"/>
          <w:lang w:val="en-US" w:eastAsia="zh-CN" w:bidi="ar-SA"/>
        </w:rPr>
        <w:t>同时，</w:t>
      </w:r>
      <w:r>
        <w:rPr>
          <w:rFonts w:hint="default" w:ascii="Times New Roman" w:hAnsi="Times New Roman" w:eastAsia="仿宋_GB2312" w:cs="Times New Roman"/>
          <w:b w:val="0"/>
          <w:bCs w:val="0"/>
          <w:color w:val="auto"/>
          <w:spacing w:val="0"/>
          <w:sz w:val="32"/>
          <w:szCs w:val="32"/>
          <w:highlight w:val="none"/>
          <w:lang w:val="en-US" w:eastAsia="zh-CN"/>
        </w:rPr>
        <w:t>扎实开展中央八项规定精神学习教育</w:t>
      </w:r>
      <w:r>
        <w:rPr>
          <w:rFonts w:hint="default" w:ascii="Times New Roman" w:hAnsi="Times New Roman" w:eastAsia="仿宋_GB2312" w:cs="Times New Roman"/>
          <w:b w:val="0"/>
          <w:bCs w:val="0"/>
          <w:color w:val="auto"/>
          <w:spacing w:val="0"/>
          <w:kern w:val="2"/>
          <w:sz w:val="32"/>
          <w:szCs w:val="32"/>
          <w:highlight w:val="none"/>
          <w:lang w:val="en-US" w:eastAsia="zh-CN" w:bidi="ar-SA"/>
        </w:rPr>
        <w:t>。</w:t>
      </w:r>
      <w:r>
        <w:rPr>
          <w:rFonts w:hint="default" w:ascii="Times New Roman" w:hAnsi="Times New Roman" w:eastAsia="仿宋_GB2312" w:cs="Times New Roman"/>
          <w:b w:val="0"/>
          <w:bCs w:val="0"/>
          <w:color w:val="auto"/>
          <w:sz w:val="32"/>
          <w:szCs w:val="32"/>
          <w:highlight w:val="none"/>
          <w:lang w:val="en-US" w:eastAsia="zh-CN"/>
        </w:rPr>
        <w:t>一体推进“学查改”和开门教育。充分运用巡察审计、“换位跑一次”、四下基层、信访反映等渠道，动态查摆存在问题5个，研究制定12条整改措施，已销号4个。</w:t>
      </w:r>
      <w:r>
        <w:rPr>
          <w:rFonts w:hint="default" w:ascii="Times New Roman" w:hAnsi="Times New Roman" w:eastAsia="仿宋_GB2312" w:cs="Times New Roman"/>
          <w:b w:val="0"/>
          <w:bCs w:val="0"/>
          <w:snapToGrid/>
          <w:color w:val="auto"/>
          <w:spacing w:val="0"/>
          <w:kern w:val="2"/>
          <w:sz w:val="32"/>
          <w:szCs w:val="32"/>
          <w:highlight w:val="none"/>
          <w:lang w:val="en-US" w:eastAsia="zh-CN"/>
        </w:rPr>
        <w:t>开展违规吃喝问题专项整治，按要求开展专题组织生活会，</w:t>
      </w:r>
      <w:r>
        <w:rPr>
          <w:rFonts w:hint="default" w:ascii="Times New Roman" w:hAnsi="Times New Roman" w:eastAsia="仿宋_GB2312" w:cs="Times New Roman"/>
          <w:b w:val="0"/>
          <w:bCs w:val="0"/>
          <w:color w:val="auto"/>
          <w:spacing w:val="0"/>
          <w:kern w:val="2"/>
          <w:sz w:val="32"/>
          <w:szCs w:val="32"/>
          <w:highlight w:val="none"/>
        </w:rPr>
        <w:t>全覆盖开展谈心谈话，</w:t>
      </w:r>
      <w:r>
        <w:rPr>
          <w:rFonts w:hint="default" w:ascii="Times New Roman" w:hAnsi="Times New Roman" w:eastAsia="仿宋_GB2312" w:cs="Times New Roman"/>
          <w:b w:val="0"/>
          <w:bCs w:val="0"/>
          <w:color w:val="auto"/>
          <w:sz w:val="32"/>
          <w:szCs w:val="32"/>
          <w:highlight w:val="none"/>
          <w:lang w:eastAsia="zh-CN"/>
        </w:rPr>
        <w:t>对落实中央八项规定精神、纠治违</w:t>
      </w:r>
      <w:r>
        <w:rPr>
          <w:rFonts w:hint="default" w:ascii="Times New Roman" w:hAnsi="Times New Roman" w:eastAsia="仿宋_GB2312" w:cs="Times New Roman"/>
          <w:b w:val="0"/>
          <w:bCs w:val="0"/>
          <w:sz w:val="32"/>
          <w:szCs w:val="32"/>
          <w:highlight w:val="none"/>
          <w:lang w:eastAsia="zh-CN"/>
        </w:rPr>
        <w:t>规吃喝等进行再强调再部署。</w:t>
      </w:r>
    </w:p>
    <w:p>
      <w:pPr>
        <w:keepNext w:val="0"/>
        <w:keepLines w:val="0"/>
        <w:pageBreakBefore w:val="0"/>
        <w:widowControl/>
        <w:wordWrap/>
        <w:overflowPunct/>
        <w:bidi w:val="0"/>
        <w:adjustRightInd/>
        <w:snapToGrid/>
        <w:spacing w:line="560" w:lineRule="exact"/>
        <w:ind w:firstLine="642" w:firstLineChars="200"/>
        <w:jc w:val="left"/>
        <w:textAlignment w:val="auto"/>
        <w:rPr>
          <w:rFonts w:hint="default" w:ascii="Times New Roman" w:hAnsi="Times New Roman" w:eastAsia="仿宋_GB2312" w:cs="Times New Roman"/>
          <w:color w:val="auto"/>
          <w:spacing w:val="0"/>
          <w:kern w:val="2"/>
          <w:sz w:val="32"/>
          <w:szCs w:val="32"/>
          <w:highlight w:val="none"/>
          <w:lang w:val="en-US" w:eastAsia="zh-CN" w:bidi="ar-SA"/>
        </w:rPr>
      </w:pPr>
      <w:r>
        <w:rPr>
          <w:rFonts w:hint="default" w:ascii="Times New Roman" w:hAnsi="Times New Roman" w:eastAsia="仿宋_GB2312" w:cs="Times New Roman"/>
          <w:b/>
          <w:bCs/>
          <w:color w:val="auto"/>
          <w:spacing w:val="0"/>
          <w:kern w:val="2"/>
          <w:sz w:val="32"/>
          <w:szCs w:val="32"/>
          <w:highlight w:val="none"/>
          <w:lang w:val="en-US" w:eastAsia="zh-CN" w:bidi="ar-SA"/>
        </w:rPr>
        <w:t>二是深化学用融合，彰显党建实效。</w:t>
      </w:r>
      <w:r>
        <w:rPr>
          <w:rFonts w:hint="default" w:ascii="Times New Roman" w:hAnsi="Times New Roman" w:eastAsia="仿宋_GB2312" w:cs="Times New Roman"/>
          <w:color w:val="000000"/>
          <w:spacing w:val="0"/>
          <w:kern w:val="2"/>
          <w:sz w:val="32"/>
          <w:szCs w:val="32"/>
          <w:highlight w:val="none"/>
          <w:lang w:val="en-US" w:eastAsia="zh-CN" w:bidi="ar-SA"/>
        </w:rPr>
        <w:t>坚持党建工作与医保业务同谋划、同部署、同落实。将“医保项目 智享e办”列为年度书记项目，运用大数据构建参保人画像，推动服务向智能化、精准化转型。持续深化“换位跑一次”活动，发现并推动解决19个服务堵点问题，提升服务效能和群众体验。</w:t>
      </w:r>
      <w:r>
        <w:rPr>
          <w:rFonts w:hint="default" w:ascii="Times New Roman" w:hAnsi="Times New Roman" w:eastAsia="仿宋_GB2312" w:cs="Times New Roman"/>
          <w:snapToGrid/>
          <w:color w:val="auto"/>
          <w:spacing w:val="0"/>
          <w:kern w:val="2"/>
          <w:sz w:val="32"/>
          <w:szCs w:val="32"/>
          <w:highlight w:val="none"/>
          <w:lang w:val="en-US" w:eastAsia="zh-CN"/>
        </w:rPr>
        <w:t>积极开展“在职党员进社区”“双结对”活动，与苏大附一院、宝邻社区共建“红细胞暖心驿站”，</w:t>
      </w:r>
      <w:r>
        <w:rPr>
          <w:rFonts w:hint="default" w:ascii="Times New Roman" w:hAnsi="Times New Roman" w:eastAsia="仿宋_GB2312" w:cs="Times New Roman"/>
          <w:color w:val="000000"/>
          <w:kern w:val="0"/>
          <w:sz w:val="32"/>
          <w:szCs w:val="32"/>
          <w:highlight w:val="none"/>
          <w:lang w:val="en-US" w:eastAsia="zh-CN"/>
        </w:rPr>
        <w:t>推进医疗、医保联动。</w:t>
      </w:r>
      <w:r>
        <w:rPr>
          <w:rFonts w:hint="default" w:ascii="Times New Roman" w:hAnsi="Times New Roman" w:eastAsia="仿宋_GB2312" w:cs="Times New Roman"/>
          <w:snapToGrid/>
          <w:color w:val="auto"/>
          <w:spacing w:val="0"/>
          <w:kern w:val="2"/>
          <w:sz w:val="32"/>
          <w:szCs w:val="32"/>
          <w:highlight w:val="none"/>
          <w:lang w:val="en-US" w:eastAsia="zh-CN"/>
        </w:rPr>
        <w:t>创新开展“圆梦微心愿 办好微实事”活动，</w:t>
      </w:r>
      <w:r>
        <w:rPr>
          <w:rFonts w:hint="default" w:ascii="Times New Roman" w:hAnsi="Times New Roman" w:eastAsia="仿宋_GB2312" w:cs="Times New Roman"/>
          <w:color w:val="auto"/>
          <w:kern w:val="2"/>
          <w:sz w:val="32"/>
          <w:szCs w:val="32"/>
          <w:highlight w:val="none"/>
          <w:lang w:val="en-US" w:eastAsia="zh-CN" w:bidi="ar"/>
        </w:rPr>
        <w:t>为困难群体捐赠轮椅等物资，</w:t>
      </w:r>
      <w:r>
        <w:rPr>
          <w:rFonts w:hint="default" w:ascii="Times New Roman" w:hAnsi="Times New Roman" w:eastAsia="仿宋_GB2312" w:cs="Times New Roman"/>
          <w:snapToGrid/>
          <w:color w:val="auto"/>
          <w:spacing w:val="0"/>
          <w:kern w:val="2"/>
          <w:sz w:val="32"/>
          <w:szCs w:val="32"/>
          <w:highlight w:val="none"/>
          <w:lang w:val="en-US" w:eastAsia="zh-CN"/>
        </w:rPr>
        <w:t>持续</w:t>
      </w:r>
      <w:r>
        <w:rPr>
          <w:rFonts w:hint="default" w:ascii="Times New Roman" w:hAnsi="Times New Roman" w:eastAsia="仿宋_GB2312" w:cs="Times New Roman"/>
          <w:color w:val="auto"/>
          <w:kern w:val="2"/>
          <w:sz w:val="32"/>
          <w:szCs w:val="32"/>
          <w:highlight w:val="none"/>
          <w:lang w:val="en-US" w:eastAsia="zh-CN" w:bidi="ar"/>
        </w:rPr>
        <w:t>延伸服务触角。</w:t>
      </w:r>
      <w:r>
        <w:rPr>
          <w:rFonts w:hint="default" w:ascii="Times New Roman" w:hAnsi="Times New Roman" w:eastAsia="仿宋_GB2312" w:cs="Times New Roman"/>
          <w:color w:val="000000"/>
          <w:spacing w:val="0"/>
          <w:kern w:val="2"/>
          <w:sz w:val="32"/>
          <w:szCs w:val="32"/>
          <w:highlight w:val="none"/>
          <w:lang w:val="en-US" w:eastAsia="zh-CN" w:bidi="ar-SA"/>
        </w:rPr>
        <w:t>成立政策宣讲队，开展全民参保“六走进”活动，打通医保宣传“最后一公里”。</w:t>
      </w:r>
      <w:r>
        <w:rPr>
          <w:rFonts w:hint="default" w:ascii="Times New Roman" w:hAnsi="Times New Roman" w:eastAsia="仿宋_GB2312" w:cs="Times New Roman"/>
          <w:b w:val="0"/>
          <w:bCs w:val="0"/>
          <w:snapToGrid/>
          <w:color w:val="auto"/>
          <w:spacing w:val="0"/>
          <w:kern w:val="2"/>
          <w:sz w:val="32"/>
          <w:szCs w:val="32"/>
          <w:highlight w:val="none"/>
          <w:lang w:val="en-US" w:eastAsia="zh-CN" w:bidi="ar"/>
        </w:rPr>
        <w:t>做好巡察整改“后半篇文章”，</w:t>
      </w:r>
      <w:r>
        <w:rPr>
          <w:rFonts w:hint="default" w:ascii="Times New Roman" w:hAnsi="Times New Roman" w:eastAsia="仿宋_GB2312" w:cs="Times New Roman"/>
          <w:color w:val="auto"/>
          <w:sz w:val="32"/>
          <w:szCs w:val="32"/>
          <w:highlight w:val="none"/>
          <w:lang w:val="en-US" w:eastAsia="zh-CN" w:bidi="ar"/>
        </w:rPr>
        <w:t>持续推进问题整改，</w:t>
      </w:r>
      <w:r>
        <w:rPr>
          <w:rFonts w:hint="default" w:ascii="Times New Roman" w:hAnsi="Times New Roman" w:eastAsia="仿宋_GB2312" w:cs="Times New Roman"/>
          <w:color w:val="auto"/>
          <w:sz w:val="32"/>
          <w:szCs w:val="32"/>
          <w:highlight w:val="none"/>
          <w:lang w:val="en-US" w:eastAsia="zh-CN" w:bidi="ar"/>
        </w:rPr>
        <w:t>43个整改措</w:t>
      </w:r>
      <w:r>
        <w:rPr>
          <w:rFonts w:hint="default" w:ascii="Times New Roman" w:hAnsi="Times New Roman" w:eastAsia="仿宋_GB2312" w:cs="Times New Roman"/>
          <w:sz w:val="32"/>
          <w:szCs w:val="32"/>
          <w:highlight w:val="none"/>
          <w:lang w:val="en-US" w:eastAsia="zh-CN"/>
        </w:rPr>
        <w:t>施已全部落实到位。</w:t>
      </w:r>
      <w:r>
        <w:rPr>
          <w:rFonts w:hint="default" w:ascii="Times New Roman" w:hAnsi="Times New Roman" w:eastAsia="仿宋_GB2312" w:cs="Times New Roman"/>
          <w:color w:val="auto"/>
          <w:spacing w:val="0"/>
          <w:sz w:val="32"/>
          <w:szCs w:val="32"/>
          <w:highlight w:val="none"/>
          <w:lang w:val="en-US" w:eastAsia="zh-CN"/>
        </w:rPr>
        <w:t>深入推进依法行政，</w:t>
      </w:r>
      <w:r>
        <w:rPr>
          <w:rFonts w:hint="default" w:ascii="Times New Roman" w:hAnsi="Times New Roman" w:eastAsia="仿宋_GB2312" w:cs="Times New Roman"/>
          <w:color w:val="auto"/>
          <w:sz w:val="32"/>
          <w:szCs w:val="32"/>
          <w:highlight w:val="none"/>
          <w:lang w:val="en-US" w:eastAsia="zh-CN"/>
        </w:rPr>
        <w:t>系统开展规范性文件清理修订，牵头起草市政府规章《苏州市医疗保障办法》，夯实事业发展的法治基础。</w:t>
      </w:r>
      <w:r>
        <w:rPr>
          <w:rFonts w:hint="eastAsia" w:ascii="Times New Roman" w:hAnsi="Times New Roman" w:eastAsia="仿宋_GB2312" w:cs="Times New Roman"/>
          <w:color w:val="auto"/>
          <w:sz w:val="32"/>
          <w:szCs w:val="32"/>
          <w:highlight w:val="none"/>
          <w:lang w:val="en-US" w:eastAsia="zh-CN"/>
        </w:rPr>
        <w:t>上半年</w:t>
      </w:r>
      <w:r>
        <w:rPr>
          <w:rFonts w:hint="default" w:ascii="Times New Roman" w:hAnsi="Times New Roman" w:eastAsia="仿宋_GB2312" w:cs="Times New Roman"/>
          <w:color w:val="auto"/>
          <w:sz w:val="32"/>
          <w:szCs w:val="32"/>
          <w:highlight w:val="none"/>
          <w:lang w:val="en-US" w:eastAsia="zh-CN"/>
        </w:rPr>
        <w:t>城区医保行政和经办体制改革取得突破性成效，管理体制基本理顺，为顺利推进城区医保事业发展奠定了坚实的组织基础。</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hint="default" w:ascii="Times New Roman" w:hAnsi="Times New Roman" w:eastAsia="仿宋_GB2312" w:cs="Times New Roman"/>
          <w:b/>
          <w:bCs/>
          <w:color w:val="auto"/>
          <w:spacing w:val="0"/>
          <w:kern w:val="2"/>
          <w:sz w:val="32"/>
          <w:szCs w:val="32"/>
          <w:highlight w:val="none"/>
          <w:lang w:val="en-US" w:eastAsia="zh-CN" w:bidi="ar-SA"/>
        </w:rPr>
      </w:pPr>
      <w:r>
        <w:rPr>
          <w:rFonts w:hint="default" w:ascii="Times New Roman" w:hAnsi="Times New Roman" w:eastAsia="仿宋_GB2312" w:cs="Times New Roman"/>
          <w:b/>
          <w:bCs/>
          <w:color w:val="auto"/>
          <w:spacing w:val="0"/>
          <w:kern w:val="2"/>
          <w:sz w:val="32"/>
          <w:szCs w:val="32"/>
          <w:highlight w:val="none"/>
          <w:lang w:val="en-US" w:eastAsia="zh-CN" w:bidi="ar-SA"/>
        </w:rPr>
        <w:t>三是聚焦意识形态，筑牢思想阵地。</w:t>
      </w:r>
      <w:r>
        <w:rPr>
          <w:rFonts w:hint="default" w:ascii="Times New Roman" w:hAnsi="Times New Roman" w:eastAsia="仿宋_GB2312" w:cs="Times New Roman"/>
          <w:color w:val="000000"/>
          <w:spacing w:val="0"/>
          <w:kern w:val="2"/>
          <w:sz w:val="32"/>
          <w:szCs w:val="32"/>
          <w:highlight w:val="none"/>
          <w:lang w:val="en-US" w:eastAsia="zh-CN" w:bidi="ar-SA"/>
        </w:rPr>
        <w:t>把握意识形态工作主动权，加强医保行业媒介管理，对医保公众号、客户端、门户网站等媒介进行全方位、全流程、全链条管理。</w:t>
      </w:r>
      <w:r>
        <w:rPr>
          <w:rFonts w:hint="default" w:ascii="Times New Roman" w:hAnsi="Times New Roman" w:eastAsia="仿宋_GB2312" w:cs="Times New Roman"/>
          <w:color w:val="auto"/>
          <w:spacing w:val="0"/>
          <w:kern w:val="2"/>
          <w:sz w:val="32"/>
          <w:szCs w:val="32"/>
          <w:highlight w:val="none"/>
          <w:lang w:val="en-US" w:eastAsia="zh-CN" w:bidi="ar-SA"/>
        </w:rPr>
        <w:t>严格内容生产与发布管理，</w:t>
      </w:r>
      <w:r>
        <w:rPr>
          <w:rFonts w:hint="eastAsia" w:ascii="Times New Roman" w:hAnsi="Times New Roman" w:eastAsia="仿宋_GB2312" w:cs="Times New Roman"/>
          <w:color w:val="auto"/>
          <w:spacing w:val="0"/>
          <w:kern w:val="2"/>
          <w:sz w:val="32"/>
          <w:szCs w:val="32"/>
          <w:highlight w:val="none"/>
          <w:lang w:val="en-US" w:eastAsia="zh-CN" w:bidi="ar-SA"/>
        </w:rPr>
        <w:t>2025年</w:t>
      </w:r>
      <w:r>
        <w:rPr>
          <w:rFonts w:hint="default" w:ascii="Times New Roman" w:hAnsi="Times New Roman" w:eastAsia="仿宋_GB2312" w:cs="Times New Roman"/>
          <w:color w:val="auto"/>
          <w:spacing w:val="0"/>
          <w:kern w:val="2"/>
          <w:sz w:val="32"/>
          <w:szCs w:val="32"/>
          <w:highlight w:val="none"/>
          <w:lang w:val="en-US" w:eastAsia="zh-CN" w:bidi="ar-SA"/>
        </w:rPr>
        <w:t>平台媒体共发布医保信息600余篇，组织开展全民参保、基金监管等集中宣传月活动，</w:t>
      </w:r>
      <w:r>
        <w:rPr>
          <w:rFonts w:hint="default" w:ascii="Times New Roman" w:hAnsi="Times New Roman" w:eastAsia="仿宋_GB2312" w:cs="Times New Roman"/>
          <w:color w:val="000000"/>
          <w:spacing w:val="0"/>
          <w:kern w:val="2"/>
          <w:sz w:val="32"/>
          <w:szCs w:val="32"/>
          <w:highlight w:val="none"/>
          <w:lang w:val="en-US" w:eastAsia="zh-CN" w:bidi="ar-SA"/>
        </w:rPr>
        <w:t>营造全社会关注、支持医疗保障工作的良好氛围。</w:t>
      </w:r>
      <w:r>
        <w:rPr>
          <w:rFonts w:hint="default" w:ascii="Times New Roman" w:hAnsi="Times New Roman" w:eastAsia="仿宋_GB2312" w:cs="Times New Roman"/>
          <w:color w:val="auto"/>
          <w:spacing w:val="0"/>
          <w:kern w:val="2"/>
          <w:sz w:val="32"/>
          <w:szCs w:val="32"/>
          <w:highlight w:val="none"/>
          <w:lang w:val="en-US" w:eastAsia="zh-CN" w:bidi="ar-SA"/>
        </w:rPr>
        <w:t>健全信访矛盾化解机制和网络舆情防控机制，畅通群众诉求渠道，确保改革推进、政策惠民和社会稳定有机统一。全年12393热线接通量202万次，办理寒山闻钟、部门信箱等各类工单3.3万件，群众综合满意率达到98.95%。</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hint="default" w:ascii="Times New Roman" w:hAnsi="Times New Roman" w:eastAsia="仿宋_GB2312" w:cs="Times New Roman"/>
          <w:color w:val="auto"/>
          <w:spacing w:val="0"/>
          <w:sz w:val="32"/>
          <w:szCs w:val="32"/>
          <w:highlight w:val="none"/>
          <w:lang w:val="en-US" w:eastAsia="zh-CN"/>
        </w:rPr>
      </w:pPr>
      <w:r>
        <w:rPr>
          <w:rFonts w:hint="eastAsia" w:ascii="Times New Roman" w:hAnsi="Times New Roman" w:eastAsia="仿宋_GB2312" w:cs="Times New Roman"/>
          <w:b/>
          <w:bCs/>
          <w:color w:val="auto"/>
          <w:spacing w:val="0"/>
          <w:kern w:val="2"/>
          <w:sz w:val="32"/>
          <w:szCs w:val="32"/>
          <w:highlight w:val="none"/>
          <w:lang w:val="en-US" w:eastAsia="zh-CN" w:bidi="ar-SA"/>
        </w:rPr>
        <w:t>四是</w:t>
      </w:r>
      <w:r>
        <w:rPr>
          <w:rFonts w:hint="default" w:ascii="Times New Roman" w:hAnsi="Times New Roman" w:eastAsia="仿宋_GB2312" w:cs="Times New Roman"/>
          <w:b/>
          <w:bCs/>
          <w:color w:val="auto"/>
          <w:spacing w:val="0"/>
          <w:kern w:val="2"/>
          <w:sz w:val="32"/>
          <w:szCs w:val="32"/>
          <w:highlight w:val="none"/>
          <w:lang w:val="en-US" w:eastAsia="zh-CN" w:bidi="ar-SA"/>
        </w:rPr>
        <w:t>聚焦强基固本，锻造过硬队伍。</w:t>
      </w:r>
      <w:r>
        <w:rPr>
          <w:rFonts w:hint="default" w:ascii="Times New Roman" w:hAnsi="Times New Roman" w:eastAsia="仿宋_GB2312" w:cs="Times New Roman"/>
          <w:color w:val="auto"/>
          <w:sz w:val="32"/>
          <w:szCs w:val="32"/>
          <w:highlight w:val="none"/>
          <w:lang w:val="en-US" w:eastAsia="zh-CN"/>
        </w:rPr>
        <w:t>深入开展群众身边不正之风和腐败问题集中整治工作，常态化开展廉政警示教育</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对新提拔和平职轮岗的</w:t>
      </w:r>
      <w:r>
        <w:rPr>
          <w:rFonts w:hint="default" w:ascii="Times New Roman" w:hAnsi="Times New Roman" w:eastAsia="仿宋_GB2312" w:cs="Times New Roman"/>
          <w:sz w:val="32"/>
          <w:szCs w:val="32"/>
          <w:highlight w:val="none"/>
          <w:lang w:val="en-US" w:eastAsia="zh-CN"/>
        </w:rPr>
        <w:t>17</w:t>
      </w:r>
      <w:r>
        <w:rPr>
          <w:rFonts w:hint="default" w:ascii="Times New Roman" w:hAnsi="Times New Roman" w:eastAsia="仿宋_GB2312" w:cs="Times New Roman"/>
          <w:sz w:val="32"/>
          <w:szCs w:val="32"/>
          <w:highlight w:val="none"/>
        </w:rPr>
        <w:t>名干部</w:t>
      </w:r>
      <w:r>
        <w:rPr>
          <w:rFonts w:hint="default" w:ascii="Times New Roman" w:hAnsi="Times New Roman" w:eastAsia="仿宋_GB2312" w:cs="Times New Roman"/>
          <w:sz w:val="32"/>
          <w:szCs w:val="32"/>
          <w:highlight w:val="none"/>
          <w:lang w:val="en-US" w:eastAsia="zh-CN"/>
        </w:rPr>
        <w:t>进行</w:t>
      </w:r>
      <w:r>
        <w:rPr>
          <w:rFonts w:hint="default" w:ascii="Times New Roman" w:hAnsi="Times New Roman" w:eastAsia="仿宋_GB2312" w:cs="Times New Roman"/>
          <w:sz w:val="32"/>
          <w:szCs w:val="32"/>
          <w:highlight w:val="none"/>
        </w:rPr>
        <w:t>廉政谈话，进一步增强干部的廉洁自律意识和责任担当意识</w:t>
      </w:r>
      <w:r>
        <w:rPr>
          <w:rFonts w:hint="default" w:ascii="Times New Roman" w:hAnsi="Times New Roman" w:eastAsia="仿宋_GB2312" w:cs="Times New Roman"/>
          <w:b/>
          <w:bCs/>
          <w:color w:val="auto"/>
          <w:sz w:val="32"/>
          <w:szCs w:val="32"/>
          <w:highlight w:val="none"/>
          <w:lang w:val="en-US" w:eastAsia="zh-CN"/>
        </w:rPr>
        <w:t>。</w:t>
      </w:r>
      <w:r>
        <w:rPr>
          <w:rFonts w:hint="default" w:ascii="Times New Roman" w:hAnsi="Times New Roman" w:eastAsia="仿宋_GB2312" w:cs="Times New Roman"/>
          <w:snapToGrid w:val="0"/>
          <w:color w:val="auto"/>
          <w:spacing w:val="-4"/>
          <w:kern w:val="0"/>
          <w:sz w:val="32"/>
          <w:szCs w:val="32"/>
          <w:highlight w:val="none"/>
          <w:lang w:val="en-US" w:eastAsia="zh-CN"/>
        </w:rPr>
        <w:t>加强干部培训，</w:t>
      </w:r>
      <w:r>
        <w:rPr>
          <w:rFonts w:hint="default" w:ascii="Times New Roman" w:hAnsi="Times New Roman" w:eastAsia="仿宋_GB2312" w:cs="Times New Roman"/>
          <w:snapToGrid w:val="0"/>
          <w:spacing w:val="-4"/>
          <w:kern w:val="0"/>
          <w:sz w:val="32"/>
          <w:szCs w:val="32"/>
          <w:highlight w:val="none"/>
          <w:lang w:val="en-US" w:eastAsia="zh-CN"/>
        </w:rPr>
        <w:t>围绕党风廉政、医保业务、智能应用等方面</w:t>
      </w:r>
      <w:r>
        <w:rPr>
          <w:rFonts w:hint="default" w:ascii="Times New Roman" w:hAnsi="Times New Roman" w:eastAsia="仿宋_GB2312" w:cs="Times New Roman"/>
          <w:snapToGrid w:val="0"/>
          <w:color w:val="auto"/>
          <w:spacing w:val="-4"/>
          <w:kern w:val="0"/>
          <w:sz w:val="32"/>
          <w:szCs w:val="32"/>
          <w:highlight w:val="none"/>
          <w:lang w:val="en-US" w:eastAsia="zh-CN"/>
        </w:rPr>
        <w:t>举办</w:t>
      </w:r>
      <w:r>
        <w:rPr>
          <w:rFonts w:hint="default" w:ascii="Times New Roman" w:hAnsi="Times New Roman" w:eastAsia="仿宋_GB2312" w:cs="Times New Roman"/>
          <w:snapToGrid w:val="0"/>
          <w:spacing w:val="-4"/>
          <w:kern w:val="0"/>
          <w:sz w:val="32"/>
          <w:szCs w:val="32"/>
          <w:highlight w:val="none"/>
          <w:lang w:val="en-US" w:eastAsia="zh-CN"/>
        </w:rPr>
        <w:t>“医保大讲堂”“医保青年说”“法治开讲”等培训活动8场</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自觉接受人大法律监督和政协民主监督，</w:t>
      </w:r>
      <w:r>
        <w:rPr>
          <w:rFonts w:hint="eastAsia" w:ascii="Times New Roman" w:hAnsi="Times New Roman" w:eastAsia="仿宋_GB2312" w:cs="Times New Roman"/>
          <w:color w:val="000000"/>
          <w:spacing w:val="0"/>
          <w:sz w:val="32"/>
          <w:szCs w:val="32"/>
          <w:highlight w:val="none"/>
          <w:lang w:val="en-US" w:eastAsia="zh-CN"/>
        </w:rPr>
        <w:t>市人大常委会听取市政府医疗保障基金使用监督管理情况报告，市政协主席会议就“提高基金使用效率推动健康事业高质量发展”进行专题协商。</w:t>
      </w:r>
      <w:r>
        <w:rPr>
          <w:rFonts w:hint="default" w:ascii="Times New Roman" w:hAnsi="Times New Roman" w:eastAsia="仿宋_GB2312" w:cs="Times New Roman"/>
          <w:color w:val="auto"/>
          <w:spacing w:val="0"/>
          <w:sz w:val="32"/>
          <w:szCs w:val="32"/>
          <w:highlight w:val="none"/>
          <w:lang w:val="en-US" w:eastAsia="zh-CN"/>
        </w:rPr>
        <w:t>做好两会建议提案办理工作，</w:t>
      </w:r>
      <w:r>
        <w:rPr>
          <w:rFonts w:hint="default" w:ascii="Times New Roman" w:hAnsi="Times New Roman" w:eastAsia="仿宋_GB2312" w:cs="Times New Roman"/>
          <w:color w:val="000000"/>
          <w:spacing w:val="0"/>
          <w:sz w:val="32"/>
          <w:szCs w:val="32"/>
          <w:highlight w:val="none"/>
          <w:lang w:val="en-US" w:eastAsia="zh-CN"/>
        </w:rPr>
        <w:t>共办理43件人大代表、政协委员建议提案，</w:t>
      </w:r>
      <w:r>
        <w:rPr>
          <w:rFonts w:hint="default" w:ascii="Times New Roman" w:hAnsi="Times New Roman" w:eastAsia="仿宋_GB2312" w:cs="Times New Roman"/>
          <w:color w:val="auto"/>
          <w:spacing w:val="0"/>
          <w:sz w:val="32"/>
          <w:szCs w:val="32"/>
          <w:highlight w:val="none"/>
          <w:lang w:val="en-US" w:eastAsia="zh-CN"/>
        </w:rPr>
        <w:t>及时办结率和答复满意率均为100%，我局被评为提案先进承办单位，医保中心孙婷</w:t>
      </w:r>
      <w:r>
        <w:rPr>
          <w:rFonts w:hint="eastAsia" w:ascii="Times New Roman" w:hAnsi="Times New Roman" w:eastAsia="仿宋_GB2312" w:cs="Times New Roman"/>
          <w:color w:val="auto"/>
          <w:spacing w:val="0"/>
          <w:sz w:val="32"/>
          <w:szCs w:val="32"/>
          <w:highlight w:val="none"/>
          <w:lang w:val="en-US" w:eastAsia="zh-CN"/>
        </w:rPr>
        <w:t>同志</w:t>
      </w:r>
      <w:r>
        <w:rPr>
          <w:rFonts w:hint="default" w:ascii="Times New Roman" w:hAnsi="Times New Roman" w:eastAsia="仿宋_GB2312" w:cs="Times New Roman"/>
          <w:color w:val="auto"/>
          <w:spacing w:val="0"/>
          <w:sz w:val="32"/>
          <w:szCs w:val="32"/>
          <w:highlight w:val="none"/>
          <w:lang w:val="en-US" w:eastAsia="zh-CN"/>
        </w:rPr>
        <w:t>被评为先进提案工作者，其中主办件“关于优化医保政策，推动基层医疗卫生事业高质量发展的建议”被评为优质代表建议办理件。</w:t>
      </w:r>
      <w:r>
        <w:rPr>
          <w:rFonts w:hint="eastAsia" w:ascii="Times New Roman" w:hAnsi="Times New Roman" w:eastAsia="仿宋_GB2312" w:cs="Times New Roman"/>
          <w:color w:val="auto"/>
          <w:spacing w:val="0"/>
          <w:sz w:val="32"/>
          <w:szCs w:val="32"/>
          <w:highlight w:val="none"/>
          <w:lang w:val="en-US" w:eastAsia="zh-CN"/>
        </w:rPr>
        <w:t>陈晓磊同志荣获市委“抓项目、强治理、推动高质量发展”先进个人表彰。</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楷体_GB2312" w:cs="Times New Roman"/>
          <w:color w:val="auto"/>
          <w:spacing w:val="0"/>
          <w:kern w:val="2"/>
          <w:sz w:val="32"/>
          <w:szCs w:val="32"/>
          <w:highlight w:val="none"/>
          <w:lang w:val="en-US" w:eastAsia="zh-CN" w:bidi="ar-SA"/>
        </w:rPr>
      </w:pPr>
      <w:r>
        <w:rPr>
          <w:rFonts w:hint="default" w:ascii="Times New Roman" w:hAnsi="Times New Roman" w:eastAsia="楷体_GB2312" w:cs="Times New Roman"/>
          <w:color w:val="auto"/>
          <w:spacing w:val="0"/>
          <w:kern w:val="2"/>
          <w:sz w:val="32"/>
          <w:szCs w:val="32"/>
          <w:highlight w:val="none"/>
          <w:lang w:val="en-US" w:eastAsia="zh-CN" w:bidi="ar-SA"/>
        </w:rPr>
        <w:t>强化参保扩面，保障基金运行基础持续稳定</w:t>
      </w:r>
    </w:p>
    <w:p>
      <w:pPr>
        <w:keepNext w:val="0"/>
        <w:keepLines w:val="0"/>
        <w:pageBreakBefore w:val="0"/>
        <w:widowControl w:val="0"/>
        <w:numPr>
          <w:ilvl w:val="0"/>
          <w:numId w:val="0"/>
        </w:numPr>
        <w:wordWrap/>
        <w:overflowPunct/>
        <w:autoSpaceDE/>
        <w:autoSpaceDN/>
        <w:bidi w:val="0"/>
        <w:adjustRightInd/>
        <w:snapToGrid/>
        <w:spacing w:line="560" w:lineRule="exact"/>
        <w:ind w:firstLine="642" w:firstLineChars="200"/>
        <w:jc w:val="left"/>
        <w:textAlignment w:val="auto"/>
        <w:rPr>
          <w:rFonts w:hint="default" w:ascii="Times New Roman" w:hAnsi="Times New Roman" w:eastAsia="仿宋_GB2312" w:cs="Times New Roman"/>
          <w:color w:val="auto"/>
          <w:kern w:val="0"/>
          <w:sz w:val="32"/>
          <w:szCs w:val="32"/>
          <w:highlight w:val="none"/>
          <w:lang w:val="zh-TW" w:eastAsia="zh-CN"/>
        </w:rPr>
      </w:pPr>
      <w:r>
        <w:rPr>
          <w:rFonts w:hint="default" w:ascii="Times New Roman" w:hAnsi="Times New Roman" w:eastAsia="仿宋_GB2312" w:cs="Times New Roman"/>
          <w:b/>
          <w:bCs/>
          <w:color w:val="auto"/>
          <w:spacing w:val="0"/>
          <w:kern w:val="2"/>
          <w:sz w:val="32"/>
          <w:szCs w:val="32"/>
          <w:highlight w:val="none"/>
          <w:lang w:val="en-US" w:eastAsia="zh-CN" w:bidi="ar-SA"/>
        </w:rPr>
        <w:t>巩固拓展全民参保成果。一是</w:t>
      </w:r>
      <w:r>
        <w:rPr>
          <w:rFonts w:hint="default" w:ascii="Times New Roman" w:hAnsi="Times New Roman" w:eastAsia="仿宋_GB2312" w:cs="Times New Roman"/>
          <w:b/>
          <w:bCs/>
          <w:color w:val="auto"/>
          <w:sz w:val="32"/>
          <w:szCs w:val="32"/>
          <w:highlight w:val="none"/>
          <w:lang w:val="en-US" w:eastAsia="zh-CN"/>
        </w:rPr>
        <w:t>持续优化参保政策</w:t>
      </w:r>
      <w:r>
        <w:rPr>
          <w:rFonts w:hint="default" w:ascii="Times New Roman" w:hAnsi="Times New Roman" w:eastAsia="仿宋_GB2312" w:cs="Times New Roman"/>
          <w:color w:val="auto"/>
          <w:sz w:val="32"/>
          <w:szCs w:val="32"/>
          <w:highlight w:val="none"/>
          <w:lang w:val="zh-TW"/>
        </w:rPr>
        <w:t>。</w:t>
      </w:r>
      <w:r>
        <w:rPr>
          <w:rFonts w:hint="default" w:ascii="Times New Roman" w:hAnsi="Times New Roman" w:eastAsia="仿宋_GB2312" w:cs="Times New Roman"/>
          <w:color w:val="000000"/>
          <w:sz w:val="32"/>
          <w:szCs w:val="32"/>
          <w:highlight w:val="none"/>
          <w:lang w:val="en-US" w:eastAsia="zh-CN"/>
        </w:rPr>
        <w:t>放宽居民医保</w:t>
      </w:r>
      <w:r>
        <w:rPr>
          <w:rFonts w:hint="default" w:ascii="Times New Roman" w:hAnsi="Times New Roman" w:eastAsia="仿宋_GB2312" w:cs="Times New Roman"/>
          <w:color w:val="000000"/>
          <w:sz w:val="32"/>
          <w:szCs w:val="32"/>
          <w:highlight w:val="none"/>
          <w:lang w:val="zh-TW"/>
        </w:rPr>
        <w:t>征缴期</w:t>
      </w:r>
      <w:r>
        <w:rPr>
          <w:rFonts w:hint="default" w:ascii="Times New Roman" w:hAnsi="Times New Roman" w:eastAsia="仿宋_GB2312" w:cs="Times New Roman"/>
          <w:color w:val="000000"/>
          <w:sz w:val="32"/>
          <w:szCs w:val="32"/>
          <w:highlight w:val="none"/>
          <w:lang w:val="en-US" w:eastAsia="zh-CN"/>
        </w:rPr>
        <w:t>限制，允许</w:t>
      </w:r>
      <w:r>
        <w:rPr>
          <w:rFonts w:hint="default" w:ascii="Times New Roman" w:hAnsi="Times New Roman" w:eastAsia="仿宋_GB2312" w:cs="Times New Roman"/>
          <w:color w:val="000000"/>
          <w:sz w:val="32"/>
          <w:szCs w:val="32"/>
          <w:highlight w:val="none"/>
          <w:lang w:val="zh-TW"/>
        </w:rPr>
        <w:t>符合条件</w:t>
      </w:r>
      <w:r>
        <w:rPr>
          <w:rFonts w:hint="default" w:ascii="Times New Roman" w:hAnsi="Times New Roman" w:eastAsia="仿宋_GB2312" w:cs="Times New Roman"/>
          <w:color w:val="000000"/>
          <w:sz w:val="32"/>
          <w:szCs w:val="32"/>
          <w:highlight w:val="none"/>
          <w:lang w:val="en-US" w:eastAsia="zh-CN"/>
        </w:rPr>
        <w:t>的</w:t>
      </w:r>
      <w:r>
        <w:rPr>
          <w:rFonts w:hint="default" w:ascii="Times New Roman" w:hAnsi="Times New Roman" w:eastAsia="仿宋_GB2312" w:cs="Times New Roman"/>
          <w:color w:val="000000"/>
          <w:sz w:val="32"/>
          <w:szCs w:val="32"/>
          <w:highlight w:val="none"/>
          <w:lang w:val="zh-TW"/>
        </w:rPr>
        <w:t>申请人</w:t>
      </w:r>
      <w:r>
        <w:rPr>
          <w:rFonts w:hint="default" w:ascii="Times New Roman" w:hAnsi="Times New Roman" w:eastAsia="仿宋_GB2312" w:cs="Times New Roman"/>
          <w:color w:val="000000"/>
          <w:sz w:val="32"/>
          <w:szCs w:val="32"/>
          <w:highlight w:val="none"/>
          <w:lang w:val="en-US" w:eastAsia="zh-CN"/>
        </w:rPr>
        <w:t>在非集中征缴期</w:t>
      </w:r>
      <w:r>
        <w:rPr>
          <w:rFonts w:hint="default" w:ascii="Times New Roman" w:hAnsi="Times New Roman" w:eastAsia="仿宋_GB2312" w:cs="Times New Roman"/>
          <w:color w:val="000000"/>
          <w:sz w:val="32"/>
          <w:szCs w:val="32"/>
          <w:highlight w:val="none"/>
          <w:lang w:val="zh-TW"/>
        </w:rPr>
        <w:t>进行日常申报</w:t>
      </w:r>
      <w:r>
        <w:rPr>
          <w:rFonts w:hint="default" w:ascii="Times New Roman" w:hAnsi="Times New Roman" w:eastAsia="仿宋_GB2312" w:cs="Times New Roman"/>
          <w:color w:val="000000"/>
          <w:sz w:val="32"/>
          <w:szCs w:val="32"/>
          <w:highlight w:val="none"/>
          <w:lang w:val="zh-TW" w:eastAsia="zh-CN"/>
        </w:rPr>
        <w:t>，</w:t>
      </w:r>
      <w:r>
        <w:rPr>
          <w:rFonts w:hint="default" w:ascii="Times New Roman" w:hAnsi="Times New Roman" w:eastAsia="仿宋_GB2312" w:cs="Times New Roman"/>
          <w:color w:val="000000"/>
          <w:sz w:val="32"/>
          <w:szCs w:val="32"/>
          <w:highlight w:val="none"/>
          <w:lang w:val="zh-TW"/>
        </w:rPr>
        <w:t>将</w:t>
      </w:r>
      <w:r>
        <w:rPr>
          <w:rFonts w:hint="default" w:ascii="Times New Roman" w:hAnsi="Times New Roman" w:eastAsia="仿宋_GB2312" w:cs="Times New Roman"/>
          <w:color w:val="000000"/>
          <w:sz w:val="32"/>
          <w:szCs w:val="32"/>
          <w:highlight w:val="none"/>
          <w:lang w:val="en-US" w:eastAsia="zh-CN"/>
        </w:rPr>
        <w:t>非户籍</w:t>
      </w:r>
      <w:r>
        <w:rPr>
          <w:rFonts w:hint="default" w:ascii="Times New Roman" w:hAnsi="Times New Roman" w:eastAsia="仿宋_GB2312" w:cs="Times New Roman"/>
          <w:color w:val="000000"/>
          <w:sz w:val="32"/>
          <w:szCs w:val="32"/>
          <w:highlight w:val="none"/>
          <w:lang w:val="zh-TW"/>
        </w:rPr>
        <w:t>学龄前儿童纳入</w:t>
      </w:r>
      <w:r>
        <w:rPr>
          <w:rFonts w:hint="default" w:ascii="Times New Roman" w:hAnsi="Times New Roman" w:eastAsia="仿宋_GB2312" w:cs="Times New Roman"/>
          <w:color w:val="000000"/>
          <w:sz w:val="32"/>
          <w:szCs w:val="32"/>
          <w:highlight w:val="none"/>
          <w:lang w:val="en-US" w:eastAsia="zh-CN"/>
        </w:rPr>
        <w:t>我市居民医保</w:t>
      </w:r>
      <w:r>
        <w:rPr>
          <w:rFonts w:hint="default" w:ascii="Times New Roman" w:hAnsi="Times New Roman" w:eastAsia="仿宋_GB2312" w:cs="Times New Roman"/>
          <w:color w:val="000000"/>
          <w:sz w:val="32"/>
          <w:szCs w:val="32"/>
          <w:highlight w:val="none"/>
          <w:lang w:val="zh-TW"/>
        </w:rPr>
        <w:t>参保范围</w:t>
      </w:r>
      <w:r>
        <w:rPr>
          <w:rFonts w:hint="default" w:ascii="Times New Roman" w:hAnsi="Times New Roman" w:eastAsia="仿宋_GB2312" w:cs="Times New Roman"/>
          <w:color w:val="000000"/>
          <w:sz w:val="32"/>
          <w:szCs w:val="32"/>
          <w:highlight w:val="none"/>
          <w:lang w:val="zh-TW" w:eastAsia="zh-CN"/>
        </w:rPr>
        <w:t>，</w:t>
      </w:r>
      <w:r>
        <w:rPr>
          <w:rFonts w:hint="default" w:ascii="Times New Roman" w:hAnsi="Times New Roman" w:eastAsia="仿宋_GB2312" w:cs="Times New Roman"/>
          <w:color w:val="000000"/>
          <w:sz w:val="32"/>
          <w:szCs w:val="32"/>
          <w:highlight w:val="none"/>
          <w:lang w:val="en-US" w:eastAsia="zh-CN"/>
        </w:rPr>
        <w:t>进一步扩大基本医保惠及面</w:t>
      </w:r>
      <w:r>
        <w:rPr>
          <w:rFonts w:hint="default" w:ascii="Times New Roman" w:hAnsi="Times New Roman" w:eastAsia="仿宋_GB2312" w:cs="Times New Roman"/>
          <w:color w:val="000000"/>
          <w:sz w:val="32"/>
          <w:szCs w:val="32"/>
          <w:highlight w:val="none"/>
          <w:lang w:val="zh-TW" w:eastAsia="zh-CN"/>
        </w:rPr>
        <w:t>。</w:t>
      </w:r>
      <w:r>
        <w:rPr>
          <w:rFonts w:hint="default" w:ascii="Times New Roman" w:hAnsi="Times New Roman" w:eastAsia="仿宋_GB2312" w:cs="Times New Roman"/>
          <w:b/>
          <w:bCs/>
          <w:color w:val="auto"/>
          <w:sz w:val="32"/>
          <w:szCs w:val="32"/>
          <w:highlight w:val="none"/>
          <w:lang w:val="en-US" w:eastAsia="zh-CN"/>
        </w:rPr>
        <w:t>二是</w:t>
      </w:r>
      <w:r>
        <w:rPr>
          <w:rFonts w:hint="default" w:ascii="Times New Roman" w:hAnsi="Times New Roman" w:eastAsia="仿宋_GB2312" w:cs="Times New Roman"/>
          <w:b/>
          <w:bCs/>
          <w:color w:val="auto"/>
          <w:spacing w:val="0"/>
          <w:sz w:val="32"/>
          <w:szCs w:val="32"/>
          <w:highlight w:val="none"/>
          <w:lang w:val="en-US" w:eastAsia="zh-CN"/>
        </w:rPr>
        <w:t>完善“数据找人”工作机制。</w:t>
      </w:r>
      <w:r>
        <w:rPr>
          <w:rFonts w:hint="default" w:ascii="Times New Roman" w:hAnsi="Times New Roman" w:eastAsia="仿宋_GB2312" w:cs="Times New Roman"/>
          <w:b w:val="0"/>
          <w:bCs w:val="0"/>
          <w:color w:val="000000"/>
          <w:spacing w:val="0"/>
          <w:sz w:val="32"/>
          <w:szCs w:val="32"/>
          <w:highlight w:val="none"/>
          <w:lang w:val="en-US" w:eastAsia="zh-CN"/>
        </w:rPr>
        <w:t>加强与人社、公安、卫健等部门数据协同</w:t>
      </w:r>
      <w:r>
        <w:rPr>
          <w:rFonts w:hint="default" w:ascii="Times New Roman" w:hAnsi="Times New Roman" w:eastAsia="仿宋_GB2312" w:cs="Times New Roman"/>
          <w:color w:val="000000"/>
          <w:sz w:val="32"/>
          <w:szCs w:val="32"/>
          <w:highlight w:val="none"/>
        </w:rPr>
        <w:t>，</w:t>
      </w:r>
      <w:r>
        <w:rPr>
          <w:rFonts w:hint="default" w:ascii="Times New Roman" w:hAnsi="Times New Roman" w:eastAsia="仿宋_GB2312" w:cs="Times New Roman"/>
          <w:color w:val="000000"/>
          <w:sz w:val="32"/>
          <w:szCs w:val="32"/>
          <w:highlight w:val="none"/>
          <w:lang w:val="zh-TW"/>
        </w:rPr>
        <w:t>完善</w:t>
      </w:r>
      <w:r>
        <w:rPr>
          <w:rFonts w:hint="default" w:ascii="Times New Roman" w:hAnsi="Times New Roman" w:eastAsia="仿宋_GB2312" w:cs="Times New Roman"/>
          <w:color w:val="000000"/>
          <w:sz w:val="32"/>
          <w:szCs w:val="32"/>
          <w:highlight w:val="none"/>
          <w:lang w:val="en-US" w:eastAsia="zh-CN"/>
        </w:rPr>
        <w:t>全</w:t>
      </w:r>
      <w:r>
        <w:rPr>
          <w:rFonts w:hint="default" w:ascii="Times New Roman" w:hAnsi="Times New Roman" w:eastAsia="仿宋_GB2312" w:cs="Times New Roman"/>
          <w:color w:val="000000"/>
          <w:sz w:val="32"/>
          <w:szCs w:val="32"/>
          <w:highlight w:val="none"/>
          <w:lang w:val="zh-TW"/>
        </w:rPr>
        <w:t>市“一人一档”全民参保数据库</w:t>
      </w:r>
      <w:r>
        <w:rPr>
          <w:rFonts w:hint="default" w:ascii="Times New Roman" w:hAnsi="Times New Roman" w:eastAsia="仿宋_GB2312" w:cs="Times New Roman"/>
          <w:color w:val="000000"/>
          <w:sz w:val="32"/>
          <w:szCs w:val="32"/>
          <w:highlight w:val="none"/>
          <w:lang w:val="zh-TW" w:eastAsia="zh-CN"/>
        </w:rPr>
        <w:t>，</w:t>
      </w:r>
      <w:r>
        <w:rPr>
          <w:rFonts w:hint="default" w:ascii="Times New Roman" w:hAnsi="Times New Roman" w:eastAsia="仿宋_GB2312" w:cs="Times New Roman"/>
          <w:color w:val="000000"/>
          <w:sz w:val="32"/>
          <w:szCs w:val="32"/>
          <w:highlight w:val="none"/>
          <w:lang w:val="en-US" w:eastAsia="zh-CN"/>
        </w:rPr>
        <w:t>通过数据比对，快速挖掘新参保对象及</w:t>
      </w:r>
      <w:r>
        <w:rPr>
          <w:rFonts w:hint="default" w:ascii="Times New Roman" w:hAnsi="Times New Roman" w:eastAsia="仿宋_GB2312" w:cs="Times New Roman"/>
          <w:b w:val="0"/>
          <w:bCs w:val="0"/>
          <w:color w:val="000000"/>
          <w:spacing w:val="0"/>
          <w:sz w:val="32"/>
          <w:szCs w:val="32"/>
          <w:highlight w:val="none"/>
          <w:lang w:val="en-US" w:eastAsia="zh-CN"/>
        </w:rPr>
        <w:t>断保、漏保、脱保人群</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b/>
          <w:bCs/>
          <w:color w:val="auto"/>
          <w:sz w:val="32"/>
          <w:szCs w:val="32"/>
          <w:highlight w:val="none"/>
          <w:lang w:val="en-US" w:eastAsia="zh-CN"/>
        </w:rPr>
        <w:t>三是精准做好参保提醒</w:t>
      </w:r>
      <w:r>
        <w:rPr>
          <w:rFonts w:hint="default" w:ascii="Times New Roman" w:hAnsi="Times New Roman" w:eastAsia="仿宋_GB2312" w:cs="Times New Roman"/>
          <w:b/>
          <w:bCs/>
          <w:color w:val="auto"/>
          <w:sz w:val="32"/>
          <w:szCs w:val="32"/>
          <w:highlight w:val="none"/>
          <w:lang w:val="zh-TW" w:eastAsia="zh-CN"/>
        </w:rPr>
        <w:t>。</w:t>
      </w:r>
      <w:r>
        <w:rPr>
          <w:rFonts w:hint="default" w:ascii="Times New Roman" w:hAnsi="Times New Roman" w:eastAsia="仿宋_GB2312" w:cs="Times New Roman"/>
          <w:b w:val="0"/>
          <w:bCs w:val="0"/>
          <w:color w:val="auto"/>
          <w:spacing w:val="0"/>
          <w:sz w:val="32"/>
          <w:szCs w:val="32"/>
          <w:highlight w:val="none"/>
          <w:lang w:val="en-US" w:eastAsia="zh-CN"/>
        </w:rPr>
        <w:t>通过数据比对，</w:t>
      </w:r>
      <w:r>
        <w:rPr>
          <w:rFonts w:hint="default" w:ascii="Times New Roman" w:hAnsi="Times New Roman" w:eastAsia="仿宋_GB2312" w:cs="Times New Roman"/>
          <w:b w:val="0"/>
          <w:bCs w:val="0"/>
          <w:color w:val="000000"/>
          <w:sz w:val="32"/>
          <w:szCs w:val="32"/>
          <w:highlight w:val="none"/>
          <w:lang w:val="en-US" w:eastAsia="zh-CN"/>
        </w:rPr>
        <w:t>全年</w:t>
      </w:r>
      <w:r>
        <w:rPr>
          <w:rFonts w:hint="default" w:ascii="Times New Roman" w:hAnsi="Times New Roman" w:eastAsia="仿宋_GB2312" w:cs="Times New Roman"/>
          <w:b w:val="0"/>
          <w:bCs w:val="0"/>
          <w:color w:val="000000"/>
          <w:sz w:val="32"/>
          <w:szCs w:val="32"/>
          <w:highlight w:val="none"/>
        </w:rPr>
        <w:t>向各类未参保人群推送</w:t>
      </w:r>
      <w:r>
        <w:rPr>
          <w:rFonts w:hint="default" w:ascii="Times New Roman" w:hAnsi="Times New Roman" w:eastAsia="仿宋_GB2312" w:cs="Times New Roman"/>
          <w:b w:val="0"/>
          <w:bCs w:val="0"/>
          <w:color w:val="000000"/>
          <w:sz w:val="32"/>
          <w:szCs w:val="32"/>
          <w:highlight w:val="none"/>
          <w:lang w:val="en-US" w:eastAsia="zh-CN"/>
        </w:rPr>
        <w:t>参保提醒</w:t>
      </w:r>
      <w:r>
        <w:rPr>
          <w:rFonts w:hint="default" w:ascii="Times New Roman" w:hAnsi="Times New Roman" w:eastAsia="仿宋_GB2312" w:cs="Times New Roman"/>
          <w:b w:val="0"/>
          <w:bCs w:val="0"/>
          <w:color w:val="000000"/>
          <w:sz w:val="32"/>
          <w:szCs w:val="32"/>
          <w:highlight w:val="none"/>
        </w:rPr>
        <w:t>短信</w:t>
      </w:r>
      <w:r>
        <w:rPr>
          <w:rFonts w:hint="default" w:ascii="Times New Roman" w:hAnsi="Times New Roman" w:eastAsia="仿宋_GB2312" w:cs="Times New Roman"/>
          <w:snapToGrid w:val="0"/>
          <w:color w:val="000000"/>
          <w:spacing w:val="-4"/>
          <w:kern w:val="0"/>
          <w:sz w:val="32"/>
          <w:szCs w:val="32"/>
          <w:highlight w:val="none"/>
          <w:lang w:val="en-US" w:eastAsia="zh-CN"/>
        </w:rPr>
        <w:t>141.19</w:t>
      </w:r>
      <w:r>
        <w:rPr>
          <w:rFonts w:hint="default" w:ascii="Times New Roman" w:hAnsi="Times New Roman" w:eastAsia="仿宋_GB2312" w:cs="Times New Roman"/>
          <w:b w:val="0"/>
          <w:bCs w:val="0"/>
          <w:color w:val="000000"/>
          <w:sz w:val="32"/>
          <w:szCs w:val="32"/>
          <w:highlight w:val="none"/>
        </w:rPr>
        <w:t>万条</w:t>
      </w:r>
      <w:r>
        <w:rPr>
          <w:rFonts w:hint="default"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color w:val="000000"/>
          <w:sz w:val="32"/>
          <w:szCs w:val="32"/>
          <w:highlight w:val="none"/>
          <w:lang w:val="en-US" w:eastAsia="zh-CN"/>
        </w:rPr>
        <w:t>做优新生儿参保</w:t>
      </w:r>
      <w:r>
        <w:rPr>
          <w:rFonts w:hint="default" w:ascii="Times New Roman" w:hAnsi="Times New Roman" w:eastAsia="仿宋_GB2312" w:cs="Times New Roman"/>
          <w:b w:val="0"/>
          <w:bCs w:val="0"/>
          <w:color w:val="000000"/>
          <w:sz w:val="32"/>
          <w:szCs w:val="32"/>
          <w:highlight w:val="none"/>
        </w:rPr>
        <w:t>“一件事”</w:t>
      </w:r>
      <w:r>
        <w:rPr>
          <w:rFonts w:hint="default"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color w:val="000000"/>
          <w:sz w:val="32"/>
          <w:szCs w:val="32"/>
          <w:highlight w:val="none"/>
          <w:lang w:val="en-US" w:eastAsia="zh-CN"/>
        </w:rPr>
        <w:t>创新运用人工智能</w:t>
      </w:r>
      <w:r>
        <w:rPr>
          <w:rFonts w:hint="default" w:ascii="Times New Roman" w:hAnsi="Times New Roman" w:eastAsia="仿宋_GB2312" w:cs="Times New Roman"/>
          <w:color w:val="000000"/>
          <w:sz w:val="32"/>
          <w:szCs w:val="32"/>
          <w:highlight w:val="none"/>
          <w:lang w:val="en-US" w:eastAsia="zh-CN"/>
        </w:rPr>
        <w:t>对新生儿家长发送参保</w:t>
      </w:r>
      <w:r>
        <w:rPr>
          <w:rFonts w:hint="default" w:ascii="Times New Roman" w:hAnsi="Times New Roman" w:eastAsia="仿宋_GB2312" w:cs="Times New Roman"/>
          <w:color w:val="000000"/>
          <w:sz w:val="32"/>
          <w:szCs w:val="32"/>
          <w:highlight w:val="none"/>
          <w:lang w:val="zh-TW"/>
        </w:rPr>
        <w:t>提醒电话</w:t>
      </w:r>
      <w:r>
        <w:rPr>
          <w:rFonts w:hint="default" w:ascii="Times New Roman" w:hAnsi="Times New Roman" w:eastAsia="仿宋_GB2312" w:cs="Times New Roman"/>
          <w:color w:val="000000"/>
          <w:sz w:val="32"/>
          <w:szCs w:val="32"/>
          <w:highlight w:val="none"/>
          <w:lang w:val="en-US" w:eastAsia="zh-CN"/>
        </w:rPr>
        <w:t>3.58</w:t>
      </w:r>
      <w:r>
        <w:rPr>
          <w:rFonts w:hint="default" w:ascii="Times New Roman" w:hAnsi="Times New Roman" w:eastAsia="仿宋_GB2312" w:cs="Times New Roman"/>
          <w:color w:val="000000"/>
          <w:sz w:val="32"/>
          <w:szCs w:val="32"/>
          <w:highlight w:val="none"/>
          <w:lang w:val="zh-TW"/>
        </w:rPr>
        <w:t>万次</w:t>
      </w:r>
      <w:r>
        <w:rPr>
          <w:rFonts w:hint="default" w:ascii="Times New Roman" w:hAnsi="Times New Roman" w:eastAsia="仿宋_GB2312" w:cs="Times New Roman"/>
          <w:color w:val="000000"/>
          <w:sz w:val="32"/>
          <w:szCs w:val="32"/>
          <w:highlight w:val="none"/>
          <w:lang w:val="zh-TW" w:eastAsia="zh-CN"/>
        </w:rPr>
        <w:t>。</w:t>
      </w:r>
      <w:r>
        <w:rPr>
          <w:rFonts w:hint="default" w:ascii="Times New Roman" w:hAnsi="Times New Roman" w:eastAsia="仿宋_GB2312" w:cs="Times New Roman"/>
          <w:color w:val="000000"/>
          <w:sz w:val="32"/>
          <w:szCs w:val="32"/>
          <w:highlight w:val="none"/>
          <w:lang w:val="en-US" w:eastAsia="zh-CN"/>
        </w:rPr>
        <w:t>截至</w:t>
      </w:r>
      <w:r>
        <w:rPr>
          <w:rFonts w:hint="default" w:ascii="Times New Roman" w:hAnsi="Times New Roman" w:eastAsia="仿宋_GB2312" w:cs="Times New Roman"/>
          <w:color w:val="000000"/>
          <w:kern w:val="0"/>
          <w:sz w:val="32"/>
          <w:szCs w:val="32"/>
          <w:highlight w:val="none"/>
          <w:lang w:val="en-US" w:eastAsia="zh-CN"/>
        </w:rPr>
        <w:t>2025</w:t>
      </w:r>
      <w:r>
        <w:rPr>
          <w:rFonts w:hint="default" w:ascii="Times New Roman" w:hAnsi="Times New Roman" w:eastAsia="仿宋_GB2312" w:cs="Times New Roman"/>
          <w:color w:val="000000"/>
          <w:kern w:val="0"/>
          <w:sz w:val="32"/>
          <w:szCs w:val="32"/>
          <w:highlight w:val="none"/>
          <w:lang w:val="zh-TW" w:eastAsia="zh-CN"/>
        </w:rPr>
        <w:t>年</w:t>
      </w:r>
      <w:r>
        <w:rPr>
          <w:rFonts w:hint="default" w:ascii="Times New Roman" w:hAnsi="Times New Roman" w:eastAsia="仿宋_GB2312" w:cs="Times New Roman"/>
          <w:color w:val="000000"/>
          <w:kern w:val="0"/>
          <w:sz w:val="32"/>
          <w:szCs w:val="32"/>
          <w:highlight w:val="none"/>
          <w:lang w:val="en-US" w:eastAsia="zh-CN"/>
        </w:rPr>
        <w:t>底</w:t>
      </w:r>
      <w:r>
        <w:rPr>
          <w:rFonts w:hint="default" w:ascii="Times New Roman" w:hAnsi="Times New Roman" w:eastAsia="仿宋_GB2312" w:cs="Times New Roman"/>
          <w:color w:val="000000"/>
          <w:kern w:val="0"/>
          <w:sz w:val="32"/>
          <w:szCs w:val="32"/>
          <w:highlight w:val="none"/>
          <w:lang w:val="zh-TW" w:eastAsia="zh-CN"/>
        </w:rPr>
        <w:t>，</w:t>
      </w:r>
      <w:r>
        <w:rPr>
          <w:rFonts w:hint="default" w:ascii="Times New Roman" w:hAnsi="Times New Roman" w:eastAsia="仿宋_GB2312" w:cs="Times New Roman"/>
          <w:color w:val="auto"/>
          <w:kern w:val="0"/>
          <w:sz w:val="32"/>
          <w:szCs w:val="32"/>
          <w:highlight w:val="none"/>
          <w:lang w:val="zh-TW" w:eastAsia="zh-CN"/>
        </w:rPr>
        <w:t>全市基本医疗保险参保人数</w:t>
      </w:r>
      <w:r>
        <w:rPr>
          <w:rFonts w:hint="default" w:ascii="Times New Roman" w:hAnsi="Times New Roman" w:eastAsia="仿宋_GB2312" w:cs="Times New Roman"/>
          <w:color w:val="auto"/>
          <w:kern w:val="0"/>
          <w:sz w:val="32"/>
          <w:szCs w:val="32"/>
          <w:highlight w:val="none"/>
          <w:lang w:val="en-US" w:eastAsia="zh-CN"/>
        </w:rPr>
        <w:t>达</w:t>
      </w:r>
      <w:r>
        <w:rPr>
          <w:rFonts w:hint="default" w:ascii="Times New Roman" w:hAnsi="Times New Roman" w:eastAsia="仿宋_GB2312" w:cs="Times New Roman"/>
          <w:b w:val="0"/>
          <w:bCs w:val="0"/>
          <w:color w:val="000000"/>
          <w:kern w:val="2"/>
          <w:sz w:val="32"/>
          <w:szCs w:val="32"/>
          <w:highlight w:val="none"/>
          <w:lang w:val="en-US" w:eastAsia="zh-CN" w:bidi="ar-SA"/>
        </w:rPr>
        <w:t>1178.25</w:t>
      </w:r>
      <w:r>
        <w:rPr>
          <w:rFonts w:hint="default" w:ascii="Times New Roman" w:hAnsi="Times New Roman" w:eastAsia="仿宋_GB2312" w:cs="Times New Roman"/>
          <w:color w:val="auto"/>
          <w:kern w:val="0"/>
          <w:sz w:val="32"/>
          <w:szCs w:val="32"/>
          <w:highlight w:val="none"/>
          <w:lang w:val="zh-TW" w:eastAsia="zh-CN"/>
        </w:rPr>
        <w:t>万人，</w:t>
      </w:r>
      <w:r>
        <w:rPr>
          <w:rFonts w:hint="default" w:ascii="Times New Roman" w:hAnsi="Times New Roman" w:eastAsia="仿宋_GB2312" w:cs="Times New Roman"/>
          <w:color w:val="000000"/>
          <w:kern w:val="0"/>
          <w:sz w:val="32"/>
          <w:szCs w:val="32"/>
          <w:highlight w:val="none"/>
          <w:lang w:val="en-US" w:eastAsia="zh-CN"/>
        </w:rPr>
        <w:t>超额完成省定任务</w:t>
      </w:r>
      <w:r>
        <w:rPr>
          <w:rFonts w:hint="eastAsia" w:ascii="Times New Roman" w:hAnsi="Times New Roman" w:eastAsia="仿宋_GB2312" w:cs="Times New Roman"/>
          <w:color w:val="auto"/>
          <w:kern w:val="0"/>
          <w:sz w:val="32"/>
          <w:szCs w:val="32"/>
          <w:highlight w:val="none"/>
          <w:lang w:val="en-US" w:eastAsia="zh-CN"/>
        </w:rPr>
        <w:t>。</w:t>
      </w:r>
      <w:r>
        <w:rPr>
          <w:rFonts w:hint="default" w:ascii="Times New Roman" w:hAnsi="Times New Roman" w:eastAsia="仿宋_GB2312" w:cs="Times New Roman"/>
          <w:color w:val="auto"/>
          <w:kern w:val="0"/>
          <w:sz w:val="32"/>
          <w:szCs w:val="32"/>
          <w:highlight w:val="none"/>
          <w:lang w:val="zh-TW" w:eastAsia="zh-CN"/>
        </w:rPr>
        <w:t>其中，职工基本医疗保险参保人数</w:t>
      </w:r>
      <w:r>
        <w:rPr>
          <w:rFonts w:hint="eastAsia" w:ascii="Times New Roman" w:hAnsi="Times New Roman" w:eastAsia="仿宋_GB2312" w:cs="仿宋_GB2312"/>
          <w:color w:val="auto"/>
          <w:kern w:val="0"/>
          <w:sz w:val="32"/>
          <w:szCs w:val="32"/>
          <w:highlight w:val="none"/>
        </w:rPr>
        <w:t>863.55</w:t>
      </w:r>
      <w:r>
        <w:rPr>
          <w:rFonts w:hint="default" w:ascii="Times New Roman" w:hAnsi="Times New Roman" w:eastAsia="仿宋_GB2312" w:cs="Times New Roman"/>
          <w:color w:val="auto"/>
          <w:kern w:val="0"/>
          <w:sz w:val="32"/>
          <w:szCs w:val="32"/>
          <w:highlight w:val="none"/>
          <w:lang w:val="zh-TW" w:eastAsia="zh-CN"/>
        </w:rPr>
        <w:t>万人，居民基本医疗保险参保人数</w:t>
      </w:r>
      <w:r>
        <w:rPr>
          <w:rFonts w:hint="eastAsia" w:ascii="Times New Roman" w:hAnsi="Times New Roman" w:eastAsia="仿宋_GB2312" w:cs="仿宋_GB2312"/>
          <w:color w:val="auto"/>
          <w:kern w:val="0"/>
          <w:sz w:val="32"/>
          <w:szCs w:val="32"/>
          <w:highlight w:val="none"/>
        </w:rPr>
        <w:t>314.70</w:t>
      </w:r>
      <w:r>
        <w:rPr>
          <w:rFonts w:hint="default" w:ascii="Times New Roman" w:hAnsi="Times New Roman" w:eastAsia="仿宋_GB2312" w:cs="Times New Roman"/>
          <w:color w:val="auto"/>
          <w:kern w:val="0"/>
          <w:sz w:val="32"/>
          <w:szCs w:val="32"/>
          <w:highlight w:val="none"/>
          <w:lang w:val="zh-TW" w:eastAsia="zh-CN"/>
        </w:rPr>
        <w:t>万人，参保结构良好。</w:t>
      </w:r>
    </w:p>
    <w:p>
      <w:pPr>
        <w:keepNext w:val="0"/>
        <w:keepLines w:val="0"/>
        <w:pageBreakBefore w:val="0"/>
        <w:numPr>
          <w:ilvl w:val="0"/>
          <w:numId w:val="0"/>
        </w:numPr>
        <w:wordWrap/>
        <w:overflowPunct/>
        <w:autoSpaceDE/>
        <w:autoSpaceDN/>
        <w:bidi w:val="0"/>
        <w:adjustRightInd w:val="0"/>
        <w:snapToGrid w:val="0"/>
        <w:spacing w:line="600" w:lineRule="exact"/>
        <w:ind w:firstLine="642" w:firstLineChars="200"/>
        <w:textAlignment w:val="auto"/>
        <w:rPr>
          <w:rFonts w:hint="default" w:ascii="Times New Roman" w:hAnsi="Times New Roman" w:eastAsia="仿宋_GB2312" w:cs="Times New Roman"/>
          <w:color w:val="auto"/>
          <w:spacing w:val="0"/>
          <w:kern w:val="2"/>
          <w:sz w:val="32"/>
          <w:szCs w:val="32"/>
          <w:highlight w:val="none"/>
          <w:lang w:val="en-US" w:eastAsia="zh-CN" w:bidi="ar-SA"/>
        </w:rPr>
      </w:pPr>
      <w:r>
        <w:rPr>
          <w:rFonts w:hint="default" w:ascii="Times New Roman" w:hAnsi="Times New Roman" w:eastAsia="仿宋_GB2312" w:cs="Times New Roman"/>
          <w:b/>
          <w:bCs/>
          <w:color w:val="auto"/>
          <w:kern w:val="0"/>
          <w:sz w:val="32"/>
          <w:szCs w:val="32"/>
          <w:highlight w:val="none"/>
          <w:lang w:val="zh-TW" w:eastAsia="zh-CN"/>
        </w:rPr>
        <w:t>全面保障基金安全运行。</w:t>
      </w:r>
      <w:r>
        <w:rPr>
          <w:rFonts w:hint="eastAsia" w:ascii="Times New Roman" w:hAnsi="Times New Roman" w:eastAsia="仿宋_GB2312" w:cs="Times New Roman"/>
          <w:b w:val="0"/>
          <w:bCs w:val="0"/>
          <w:color w:val="auto"/>
          <w:kern w:val="0"/>
          <w:sz w:val="32"/>
          <w:szCs w:val="32"/>
          <w:highlight w:val="none"/>
          <w:lang w:val="en-US" w:eastAsia="zh-CN"/>
        </w:rPr>
        <w:t>截至2025年底，</w:t>
      </w:r>
      <w:r>
        <w:rPr>
          <w:rFonts w:hint="default" w:ascii="Times New Roman" w:hAnsi="Times New Roman" w:eastAsia="仿宋_GB2312" w:cs="Times New Roman"/>
          <w:b w:val="0"/>
          <w:bCs w:val="0"/>
          <w:color w:val="auto"/>
          <w:sz w:val="32"/>
          <w:szCs w:val="32"/>
          <w:highlight w:val="none"/>
          <w:lang w:eastAsia="zh-CN"/>
        </w:rPr>
        <w:t>全市职工基本医疗保险基金收入</w:t>
      </w:r>
      <w:r>
        <w:rPr>
          <w:rFonts w:hint="eastAsia" w:ascii="Times New Roman" w:hAnsi="Times New Roman" w:eastAsia="仿宋_GB2312" w:cs="Times New Roman"/>
          <w:b w:val="0"/>
          <w:bCs w:val="0"/>
          <w:color w:val="auto"/>
          <w:sz w:val="32"/>
          <w:szCs w:val="32"/>
          <w:highlight w:val="none"/>
          <w:lang w:val="en-US" w:eastAsia="zh-CN"/>
        </w:rPr>
        <w:t>520.78</w:t>
      </w:r>
      <w:r>
        <w:rPr>
          <w:rFonts w:hint="default" w:ascii="Times New Roman" w:hAnsi="Times New Roman" w:eastAsia="仿宋_GB2312" w:cs="Times New Roman"/>
          <w:b w:val="0"/>
          <w:bCs w:val="0"/>
          <w:color w:val="auto"/>
          <w:sz w:val="32"/>
          <w:szCs w:val="32"/>
          <w:highlight w:val="none"/>
          <w:lang w:eastAsia="zh-CN"/>
        </w:rPr>
        <w:t>亿元，支出</w:t>
      </w:r>
      <w:r>
        <w:rPr>
          <w:rFonts w:hint="eastAsia" w:ascii="Times New Roman" w:hAnsi="Times New Roman" w:eastAsia="仿宋_GB2312" w:cs="Times New Roman"/>
          <w:b w:val="0"/>
          <w:bCs w:val="0"/>
          <w:color w:val="auto"/>
          <w:sz w:val="32"/>
          <w:szCs w:val="32"/>
          <w:highlight w:val="none"/>
          <w:lang w:val="en-US" w:eastAsia="zh-CN"/>
        </w:rPr>
        <w:t>450.10</w:t>
      </w:r>
      <w:r>
        <w:rPr>
          <w:rFonts w:hint="default" w:ascii="Times New Roman" w:hAnsi="Times New Roman" w:eastAsia="仿宋_GB2312" w:cs="Times New Roman"/>
          <w:b w:val="0"/>
          <w:bCs w:val="0"/>
          <w:color w:val="auto"/>
          <w:sz w:val="32"/>
          <w:szCs w:val="32"/>
          <w:highlight w:val="none"/>
          <w:lang w:eastAsia="zh-CN"/>
        </w:rPr>
        <w:t>亿元，累计结余</w:t>
      </w:r>
      <w:r>
        <w:rPr>
          <w:rFonts w:hint="eastAsia" w:ascii="Times New Roman" w:hAnsi="Times New Roman" w:eastAsia="仿宋_GB2312" w:cs="Times New Roman"/>
          <w:b w:val="0"/>
          <w:bCs w:val="0"/>
          <w:color w:val="auto"/>
          <w:sz w:val="32"/>
          <w:szCs w:val="32"/>
          <w:highlight w:val="none"/>
          <w:lang w:val="en-US" w:eastAsia="zh-CN"/>
        </w:rPr>
        <w:t>806.53</w:t>
      </w:r>
      <w:r>
        <w:rPr>
          <w:rFonts w:hint="default" w:ascii="Times New Roman" w:hAnsi="Times New Roman" w:eastAsia="仿宋_GB2312" w:cs="Times New Roman"/>
          <w:b w:val="0"/>
          <w:bCs w:val="0"/>
          <w:color w:val="auto"/>
          <w:sz w:val="32"/>
          <w:szCs w:val="32"/>
          <w:highlight w:val="none"/>
          <w:lang w:eastAsia="zh-CN"/>
        </w:rPr>
        <w:t>亿元，统筹基金备付月份</w:t>
      </w:r>
      <w:r>
        <w:rPr>
          <w:rFonts w:hint="default" w:ascii="Times New Roman" w:hAnsi="Times New Roman" w:eastAsia="仿宋_GB2312" w:cs="Times New Roman"/>
          <w:b w:val="0"/>
          <w:bCs w:val="0"/>
          <w:color w:val="000000"/>
          <w:sz w:val="32"/>
          <w:szCs w:val="32"/>
          <w:highlight w:val="none"/>
          <w:lang w:val="en-US" w:eastAsia="zh-CN"/>
        </w:rPr>
        <w:t>15.0</w:t>
      </w:r>
      <w:r>
        <w:rPr>
          <w:rFonts w:hint="eastAsia" w:ascii="Times New Roman" w:hAnsi="Times New Roman" w:eastAsia="仿宋_GB2312" w:cs="Times New Roman"/>
          <w:b w:val="0"/>
          <w:bCs w:val="0"/>
          <w:color w:val="000000"/>
          <w:sz w:val="32"/>
          <w:szCs w:val="32"/>
          <w:highlight w:val="none"/>
          <w:lang w:val="en-US" w:eastAsia="zh-CN"/>
        </w:rPr>
        <w:t>5</w:t>
      </w:r>
      <w:r>
        <w:rPr>
          <w:rFonts w:hint="default" w:ascii="Times New Roman" w:hAnsi="Times New Roman" w:eastAsia="仿宋_GB2312" w:cs="Times New Roman"/>
          <w:b w:val="0"/>
          <w:bCs w:val="0"/>
          <w:color w:val="auto"/>
          <w:sz w:val="32"/>
          <w:szCs w:val="32"/>
          <w:highlight w:val="none"/>
          <w:lang w:eastAsia="zh-CN"/>
        </w:rPr>
        <w:t>个月</w:t>
      </w:r>
      <w:r>
        <w:rPr>
          <w:rFonts w:hint="default" w:ascii="Times New Roman" w:hAnsi="Times New Roman" w:eastAsia="仿宋_GB2312" w:cs="Times New Roman"/>
          <w:b w:val="0"/>
          <w:bCs w:val="0"/>
          <w:color w:val="000000"/>
          <w:sz w:val="32"/>
          <w:szCs w:val="32"/>
          <w:highlight w:val="none"/>
          <w:lang w:val="en-US" w:eastAsia="zh-CN"/>
        </w:rPr>
        <w:t>，较2024年末增长2.2个月</w:t>
      </w:r>
      <w:r>
        <w:rPr>
          <w:rFonts w:hint="default" w:ascii="Times New Roman" w:hAnsi="Times New Roman" w:eastAsia="仿宋_GB2312" w:cs="Times New Roman"/>
          <w:b w:val="0"/>
          <w:bCs w:val="0"/>
          <w:color w:val="auto"/>
          <w:sz w:val="32"/>
          <w:szCs w:val="32"/>
          <w:highlight w:val="none"/>
          <w:lang w:eastAsia="zh-CN"/>
        </w:rPr>
        <w:t>；居民基本医保基金收入</w:t>
      </w:r>
      <w:r>
        <w:rPr>
          <w:rFonts w:hint="eastAsia" w:ascii="Times New Roman" w:hAnsi="Times New Roman" w:eastAsia="仿宋_GB2312" w:cs="Times New Roman"/>
          <w:b w:val="0"/>
          <w:bCs w:val="0"/>
          <w:color w:val="auto"/>
          <w:sz w:val="32"/>
          <w:szCs w:val="32"/>
          <w:highlight w:val="none"/>
          <w:lang w:val="en-US" w:eastAsia="zh-CN"/>
        </w:rPr>
        <w:t>53.04</w:t>
      </w:r>
      <w:r>
        <w:rPr>
          <w:rFonts w:hint="default" w:ascii="Times New Roman" w:hAnsi="Times New Roman" w:eastAsia="仿宋_GB2312" w:cs="Times New Roman"/>
          <w:b w:val="0"/>
          <w:bCs w:val="0"/>
          <w:color w:val="auto"/>
          <w:sz w:val="32"/>
          <w:szCs w:val="32"/>
          <w:highlight w:val="none"/>
          <w:lang w:eastAsia="zh-CN"/>
        </w:rPr>
        <w:t>亿元，支出</w:t>
      </w:r>
      <w:r>
        <w:rPr>
          <w:rFonts w:hint="eastAsia" w:ascii="Times New Roman" w:hAnsi="Times New Roman" w:eastAsia="仿宋_GB2312" w:cs="Times New Roman"/>
          <w:b w:val="0"/>
          <w:bCs w:val="0"/>
          <w:color w:val="auto"/>
          <w:sz w:val="32"/>
          <w:szCs w:val="32"/>
          <w:highlight w:val="none"/>
          <w:lang w:val="en-US" w:eastAsia="zh-CN"/>
        </w:rPr>
        <w:t>48.92</w:t>
      </w:r>
      <w:r>
        <w:rPr>
          <w:rFonts w:hint="default" w:ascii="Times New Roman" w:hAnsi="Times New Roman" w:eastAsia="仿宋_GB2312" w:cs="Times New Roman"/>
          <w:b w:val="0"/>
          <w:bCs w:val="0"/>
          <w:color w:val="auto"/>
          <w:sz w:val="32"/>
          <w:szCs w:val="32"/>
          <w:highlight w:val="none"/>
          <w:lang w:eastAsia="zh-CN"/>
        </w:rPr>
        <w:t>亿元，累计结余</w:t>
      </w:r>
      <w:r>
        <w:rPr>
          <w:rFonts w:hint="eastAsia" w:ascii="Times New Roman" w:hAnsi="Times New Roman" w:eastAsia="仿宋_GB2312" w:cs="Times New Roman"/>
          <w:b w:val="0"/>
          <w:bCs w:val="0"/>
          <w:color w:val="auto"/>
          <w:sz w:val="32"/>
          <w:szCs w:val="32"/>
          <w:highlight w:val="none"/>
          <w:lang w:val="en-US" w:eastAsia="zh-CN"/>
        </w:rPr>
        <w:t>24.48</w:t>
      </w:r>
      <w:r>
        <w:rPr>
          <w:rFonts w:hint="default" w:ascii="Times New Roman" w:hAnsi="Times New Roman" w:eastAsia="仿宋_GB2312" w:cs="Times New Roman"/>
          <w:b w:val="0"/>
          <w:bCs w:val="0"/>
          <w:color w:val="auto"/>
          <w:sz w:val="32"/>
          <w:szCs w:val="32"/>
          <w:highlight w:val="none"/>
          <w:lang w:eastAsia="zh-CN"/>
        </w:rPr>
        <w:t>亿元，备付月份</w:t>
      </w:r>
      <w:r>
        <w:rPr>
          <w:rFonts w:hint="eastAsia" w:ascii="Times New Roman" w:hAnsi="Times New Roman" w:eastAsia="仿宋_GB2312" w:cs="Times New Roman"/>
          <w:b w:val="0"/>
          <w:bCs w:val="0"/>
          <w:color w:val="auto"/>
          <w:sz w:val="32"/>
          <w:szCs w:val="32"/>
          <w:highlight w:val="none"/>
          <w:lang w:val="en-US" w:eastAsia="zh-CN"/>
        </w:rPr>
        <w:t>6.01</w:t>
      </w:r>
      <w:r>
        <w:rPr>
          <w:rFonts w:hint="default" w:ascii="Times New Roman" w:hAnsi="Times New Roman" w:eastAsia="仿宋_GB2312" w:cs="Times New Roman"/>
          <w:b w:val="0"/>
          <w:bCs w:val="0"/>
          <w:color w:val="auto"/>
          <w:sz w:val="32"/>
          <w:szCs w:val="32"/>
          <w:highlight w:val="none"/>
          <w:lang w:eastAsia="zh-CN"/>
        </w:rPr>
        <w:t>个月，</w:t>
      </w:r>
      <w:r>
        <w:rPr>
          <w:rFonts w:hint="default" w:ascii="Times New Roman" w:hAnsi="Times New Roman" w:eastAsia="仿宋_GB2312" w:cs="Times New Roman"/>
          <w:b w:val="0"/>
          <w:bCs w:val="0"/>
          <w:color w:val="000000"/>
          <w:sz w:val="32"/>
          <w:szCs w:val="32"/>
          <w:highlight w:val="none"/>
          <w:lang w:val="en-US" w:eastAsia="zh-CN"/>
        </w:rPr>
        <w:t>较2024年末增长1.33个月，医保基金运行态势持续向好，稳健可持续</w:t>
      </w:r>
      <w:r>
        <w:rPr>
          <w:rFonts w:hint="default" w:ascii="Times New Roman" w:hAnsi="Times New Roman" w:eastAsia="仿宋_GB2312" w:cs="Times New Roman"/>
          <w:b w:val="0"/>
          <w:bCs w:val="0"/>
          <w:color w:val="000000"/>
          <w:sz w:val="32"/>
          <w:szCs w:val="32"/>
          <w:highlight w:val="none"/>
          <w:lang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640"/>
        <w:jc w:val="left"/>
        <w:textAlignment w:val="auto"/>
        <w:rPr>
          <w:rFonts w:hint="default" w:ascii="Times New Roman" w:hAnsi="Times New Roman" w:eastAsia="楷体_GB2312" w:cs="Times New Roman"/>
          <w:color w:val="auto"/>
          <w:spacing w:val="0"/>
          <w:kern w:val="2"/>
          <w:sz w:val="32"/>
          <w:szCs w:val="32"/>
          <w:highlight w:val="none"/>
          <w:lang w:val="en-US" w:eastAsia="zh-CN" w:bidi="ar-SA"/>
        </w:rPr>
      </w:pPr>
      <w:r>
        <w:rPr>
          <w:rFonts w:hint="default" w:ascii="Times New Roman" w:hAnsi="Times New Roman" w:eastAsia="楷体_GB2312" w:cs="Times New Roman"/>
          <w:color w:val="auto"/>
          <w:spacing w:val="0"/>
          <w:kern w:val="2"/>
          <w:sz w:val="32"/>
          <w:szCs w:val="32"/>
          <w:highlight w:val="none"/>
          <w:lang w:val="en-US" w:eastAsia="zh-CN" w:bidi="ar-SA"/>
        </w:rPr>
        <w:t>注重多元联动，织密织牢民生兜底保障网</w:t>
      </w:r>
    </w:p>
    <w:p>
      <w:pPr>
        <w:keepNext w:val="0"/>
        <w:keepLines w:val="0"/>
        <w:pageBreakBefore w:val="0"/>
        <w:numPr>
          <w:ilvl w:val="0"/>
          <w:numId w:val="0"/>
        </w:numPr>
        <w:wordWrap/>
        <w:overflowPunct/>
        <w:topLinePunct w:val="0"/>
        <w:bidi w:val="0"/>
        <w:adjustRightInd w:val="0"/>
        <w:snapToGrid w:val="0"/>
        <w:spacing w:line="600" w:lineRule="exact"/>
        <w:ind w:firstLine="640" w:firstLineChars="200"/>
        <w:jc w:val="both"/>
        <w:textAlignment w:val="auto"/>
        <w:rPr>
          <w:rFonts w:hint="default" w:ascii="Times New Roman" w:hAnsi="Times New Roman" w:eastAsia="仿宋_GB2312" w:cs="Times New Roman"/>
          <w:b w:val="0"/>
          <w:bCs w:val="0"/>
          <w:color w:val="000000"/>
          <w:kern w:val="2"/>
          <w:sz w:val="32"/>
          <w:szCs w:val="32"/>
          <w:highlight w:val="none"/>
          <w:lang w:val="en-US" w:eastAsia="zh-CN" w:bidi="ar-SA"/>
        </w:rPr>
      </w:pPr>
      <w:r>
        <w:rPr>
          <w:rFonts w:hint="default" w:ascii="Times New Roman" w:hAnsi="Times New Roman" w:eastAsia="仿宋_GB2312" w:cs="Times New Roman"/>
          <w:b w:val="0"/>
          <w:bCs w:val="0"/>
          <w:color w:val="000000"/>
          <w:kern w:val="2"/>
          <w:sz w:val="32"/>
          <w:szCs w:val="32"/>
          <w:highlight w:val="none"/>
          <w:lang w:val="en-US" w:eastAsia="zh-CN" w:bidi="ar-SA"/>
        </w:rPr>
        <w:t>不断完善以基本医保为主体、大病保险为补充、医疗救助为托底，长期护理保险和商业补充医疗保险等其他保障共同发展的多层次医疗保障制度体系。</w:t>
      </w:r>
      <w:r>
        <w:rPr>
          <w:rFonts w:hint="default" w:ascii="Times New Roman" w:hAnsi="Times New Roman" w:eastAsia="仿宋_GB2312" w:cs="Times New Roman"/>
          <w:b w:val="0"/>
          <w:bCs w:val="0"/>
          <w:color w:val="auto"/>
          <w:spacing w:val="0"/>
          <w:kern w:val="2"/>
          <w:sz w:val="32"/>
          <w:szCs w:val="32"/>
          <w:highlight w:val="none"/>
          <w:lang w:val="en-US" w:eastAsia="zh-CN" w:bidi="ar-SA"/>
        </w:rPr>
        <w:t>全市职工、居民医保政策范围内住院医疗费用基金支付比例分别达到</w:t>
      </w:r>
      <w:r>
        <w:rPr>
          <w:rFonts w:hint="eastAsia" w:ascii="Times New Roman" w:hAnsi="Times New Roman" w:eastAsia="仿宋_GB2312" w:cs="Times New Roman"/>
          <w:sz w:val="32"/>
          <w:szCs w:val="32"/>
          <w:highlight w:val="none"/>
          <w:lang w:val="en-US" w:eastAsia="zh-CN"/>
        </w:rPr>
        <w:t>88.4</w:t>
      </w:r>
      <w:r>
        <w:rPr>
          <w:rFonts w:hint="default" w:ascii="Times New Roman" w:hAnsi="Times New Roman" w:eastAsia="仿宋_GB2312" w:cs="Times New Roman"/>
          <w:sz w:val="32"/>
          <w:szCs w:val="32"/>
          <w:highlight w:val="none"/>
          <w:lang w:val="en-US" w:eastAsia="zh-CN"/>
        </w:rPr>
        <w:t>%和77.89%</w:t>
      </w:r>
      <w:r>
        <w:rPr>
          <w:rFonts w:hint="default" w:ascii="Times New Roman" w:hAnsi="Times New Roman" w:eastAsia="仿宋_GB2312" w:cs="Times New Roman"/>
          <w:b w:val="0"/>
          <w:bCs w:val="0"/>
          <w:color w:val="auto"/>
          <w:spacing w:val="0"/>
          <w:kern w:val="2"/>
          <w:sz w:val="32"/>
          <w:szCs w:val="32"/>
          <w:highlight w:val="none"/>
          <w:lang w:val="en-US" w:eastAsia="zh-CN" w:bidi="ar-SA"/>
        </w:rPr>
        <w:t>，大病保险</w:t>
      </w:r>
      <w:r>
        <w:rPr>
          <w:rFonts w:hint="default" w:ascii="Times New Roman" w:hAnsi="Times New Roman" w:eastAsia="仿宋_GB2312" w:cs="Times New Roman"/>
          <w:sz w:val="32"/>
          <w:szCs w:val="32"/>
          <w:highlight w:val="none"/>
          <w:lang w:val="en-US" w:eastAsia="zh-CN"/>
        </w:rPr>
        <w:t>保障21.51</w:t>
      </w:r>
      <w:r>
        <w:rPr>
          <w:rFonts w:hint="default" w:ascii="Times New Roman" w:hAnsi="Times New Roman" w:eastAsia="仿宋_GB2312" w:cs="Times New Roman"/>
          <w:b w:val="0"/>
          <w:bCs w:val="0"/>
          <w:color w:val="auto"/>
          <w:spacing w:val="0"/>
          <w:kern w:val="2"/>
          <w:sz w:val="32"/>
          <w:szCs w:val="32"/>
          <w:highlight w:val="none"/>
          <w:lang w:val="en-US" w:eastAsia="zh-CN" w:bidi="ar-SA"/>
        </w:rPr>
        <w:t>万人，大病基金支出</w:t>
      </w:r>
      <w:r>
        <w:rPr>
          <w:rFonts w:hint="default" w:ascii="Times New Roman" w:hAnsi="Times New Roman" w:eastAsia="仿宋_GB2312" w:cs="Times New Roman"/>
          <w:sz w:val="32"/>
          <w:szCs w:val="32"/>
          <w:highlight w:val="none"/>
          <w:lang w:val="en-US" w:eastAsia="zh-CN"/>
        </w:rPr>
        <w:t>16.14</w:t>
      </w:r>
      <w:r>
        <w:rPr>
          <w:rFonts w:hint="default" w:ascii="Times New Roman" w:hAnsi="Times New Roman" w:eastAsia="仿宋_GB2312" w:cs="Times New Roman"/>
          <w:b w:val="0"/>
          <w:bCs w:val="0"/>
          <w:color w:val="auto"/>
          <w:spacing w:val="0"/>
          <w:kern w:val="2"/>
          <w:sz w:val="32"/>
          <w:szCs w:val="32"/>
          <w:highlight w:val="none"/>
          <w:lang w:val="en-US" w:eastAsia="zh-CN" w:bidi="ar-SA"/>
        </w:rPr>
        <w:t>亿元，</w:t>
      </w:r>
      <w:r>
        <w:rPr>
          <w:rFonts w:hint="default" w:ascii="Times New Roman" w:hAnsi="Times New Roman" w:eastAsia="仿宋_GB2312" w:cs="Times New Roman"/>
          <w:sz w:val="32"/>
          <w:szCs w:val="32"/>
          <w:highlight w:val="none"/>
          <w:lang w:val="en-US" w:eastAsia="zh-CN"/>
        </w:rPr>
        <w:t>医疗救助</w:t>
      </w:r>
      <w:r>
        <w:rPr>
          <w:rFonts w:hint="default" w:ascii="Times New Roman" w:hAnsi="Times New Roman" w:eastAsia="仿宋_GB2312" w:cs="Times New Roman"/>
          <w:b w:val="0"/>
          <w:bCs w:val="0"/>
          <w:color w:val="auto"/>
          <w:spacing w:val="0"/>
          <w:kern w:val="2"/>
          <w:sz w:val="32"/>
          <w:szCs w:val="32"/>
          <w:highlight w:val="none"/>
          <w:lang w:val="en-US" w:eastAsia="zh-CN" w:bidi="ar-SA"/>
        </w:rPr>
        <w:t>实时救助</w:t>
      </w:r>
      <w:r>
        <w:rPr>
          <w:rFonts w:hint="default" w:ascii="Times New Roman" w:hAnsi="Times New Roman" w:eastAsia="仿宋_GB2312" w:cs="Times New Roman"/>
          <w:sz w:val="32"/>
          <w:szCs w:val="32"/>
          <w:highlight w:val="none"/>
          <w:lang w:val="en-US" w:eastAsia="zh-CN"/>
        </w:rPr>
        <w:t>93.79</w:t>
      </w:r>
      <w:r>
        <w:rPr>
          <w:rFonts w:hint="default" w:ascii="Times New Roman" w:hAnsi="Times New Roman" w:eastAsia="仿宋_GB2312" w:cs="Times New Roman"/>
          <w:b w:val="0"/>
          <w:bCs w:val="0"/>
          <w:color w:val="auto"/>
          <w:spacing w:val="0"/>
          <w:kern w:val="2"/>
          <w:sz w:val="32"/>
          <w:szCs w:val="32"/>
          <w:highlight w:val="none"/>
          <w:lang w:val="en-US" w:eastAsia="zh-CN" w:bidi="ar-SA"/>
        </w:rPr>
        <w:t>万人次，救助基金支出</w:t>
      </w:r>
      <w:r>
        <w:rPr>
          <w:rFonts w:hint="default" w:ascii="Times New Roman" w:hAnsi="Times New Roman" w:eastAsia="仿宋_GB2312" w:cs="Times New Roman"/>
          <w:sz w:val="32"/>
          <w:szCs w:val="32"/>
          <w:highlight w:val="none"/>
          <w:lang w:val="en-US" w:eastAsia="zh-CN"/>
        </w:rPr>
        <w:t>1.45</w:t>
      </w:r>
      <w:r>
        <w:rPr>
          <w:rFonts w:hint="default" w:ascii="Times New Roman" w:hAnsi="Times New Roman" w:eastAsia="仿宋_GB2312" w:cs="Times New Roman"/>
          <w:b w:val="0"/>
          <w:bCs w:val="0"/>
          <w:color w:val="000000"/>
          <w:kern w:val="2"/>
          <w:sz w:val="32"/>
          <w:szCs w:val="32"/>
          <w:highlight w:val="none"/>
          <w:lang w:val="en-US" w:eastAsia="zh-CN"/>
        </w:rPr>
        <w:t>亿</w:t>
      </w:r>
      <w:r>
        <w:rPr>
          <w:rFonts w:hint="default" w:ascii="Times New Roman" w:hAnsi="Times New Roman" w:eastAsia="仿宋_GB2312" w:cs="Times New Roman"/>
          <w:b w:val="0"/>
          <w:bCs w:val="0"/>
          <w:color w:val="auto"/>
          <w:kern w:val="0"/>
          <w:sz w:val="32"/>
          <w:szCs w:val="32"/>
          <w:highlight w:val="none"/>
        </w:rPr>
        <w:t>元</w:t>
      </w:r>
      <w:r>
        <w:rPr>
          <w:rFonts w:hint="default" w:ascii="Times New Roman" w:hAnsi="Times New Roman" w:eastAsia="仿宋_GB2312" w:cs="Times New Roman"/>
          <w:b w:val="0"/>
          <w:bCs w:val="0"/>
          <w:color w:val="auto"/>
          <w:spacing w:val="0"/>
          <w:kern w:val="2"/>
          <w:sz w:val="32"/>
          <w:szCs w:val="32"/>
          <w:highlight w:val="none"/>
          <w:lang w:val="en-US" w:eastAsia="zh-CN" w:bidi="ar-SA"/>
        </w:rPr>
        <w:t>。</w:t>
      </w:r>
      <w:r>
        <w:rPr>
          <w:rFonts w:hint="default" w:ascii="Times New Roman" w:hAnsi="Times New Roman" w:eastAsia="仿宋_GB2312" w:cs="Times New Roman"/>
          <w:b/>
          <w:bCs/>
          <w:sz w:val="32"/>
          <w:szCs w:val="32"/>
          <w:highlight w:val="none"/>
          <w:lang w:val="en-US" w:eastAsia="zh-CN"/>
        </w:rPr>
        <w:t>长期护理保险覆盖基本医保参保人群，</w:t>
      </w:r>
      <w:r>
        <w:rPr>
          <w:rFonts w:hint="default" w:ascii="Times New Roman" w:hAnsi="Times New Roman" w:eastAsia="仿宋_GB2312" w:cs="Times New Roman"/>
          <w:sz w:val="32"/>
          <w:szCs w:val="32"/>
          <w:highlight w:val="none"/>
          <w:lang w:val="en-US" w:eastAsia="zh-CN"/>
        </w:rPr>
        <w:t>7.12万失能群众享受长期护理服务。积极推进长期护理照护师队伍建设，指导苏州卫生职业技术学院成为省定职业技能等级认定考点，全市持证照护师达216名。6家基层医疗机构转型提供长期护理服务。</w:t>
      </w:r>
      <w:r>
        <w:rPr>
          <w:rFonts w:hint="default" w:ascii="Times New Roman" w:hAnsi="Times New Roman" w:eastAsia="仿宋_GB2312" w:cs="Times New Roman"/>
          <w:b/>
          <w:bCs/>
          <w:sz w:val="32"/>
          <w:szCs w:val="32"/>
          <w:highlight w:val="none"/>
          <w:lang w:val="en-US" w:eastAsia="zh-CN"/>
        </w:rPr>
        <w:t>大力实施生育支持政策，</w:t>
      </w:r>
      <w:r>
        <w:rPr>
          <w:rFonts w:hint="default" w:ascii="Times New Roman" w:hAnsi="Times New Roman" w:eastAsia="仿宋_GB2312" w:cs="Times New Roman"/>
          <w:sz w:val="32"/>
          <w:szCs w:val="32"/>
          <w:highlight w:val="none"/>
          <w:lang w:val="en-US" w:eastAsia="zh-CN"/>
        </w:rPr>
        <w:t>实现目录范围内生育费用“个人零负担”，生育津贴直接发放至个人账户，女职工一次性营养补助金标准上调至2873元。</w:t>
      </w:r>
      <w:r>
        <w:rPr>
          <w:rFonts w:hint="default" w:ascii="Times New Roman" w:hAnsi="Times New Roman" w:eastAsia="仿宋_GB2312" w:cs="Times New Roman"/>
          <w:b/>
          <w:bCs/>
          <w:sz w:val="32"/>
          <w:szCs w:val="32"/>
          <w:highlight w:val="none"/>
          <w:lang w:val="en-US" w:eastAsia="zh-CN"/>
        </w:rPr>
        <w:t>惠民保险补充作用有效发挥</w:t>
      </w:r>
      <w:r>
        <w:rPr>
          <w:rFonts w:hint="eastAsia" w:ascii="Times New Roman" w:hAnsi="Times New Roman" w:eastAsia="仿宋_GB2312" w:cs="Times New Roman"/>
          <w:b/>
          <w:bCs/>
          <w:sz w:val="32"/>
          <w:szCs w:val="32"/>
          <w:highlight w:val="none"/>
          <w:lang w:val="en-US" w:eastAsia="zh-CN"/>
        </w:rPr>
        <w:t>，</w:t>
      </w:r>
      <w:r>
        <w:rPr>
          <w:rFonts w:hint="default" w:ascii="Times New Roman" w:hAnsi="Times New Roman" w:eastAsia="仿宋_GB2312" w:cs="Times New Roman"/>
          <w:b w:val="0"/>
          <w:bCs w:val="0"/>
          <w:color w:val="000000"/>
          <w:spacing w:val="0"/>
          <w:kern w:val="2"/>
          <w:sz w:val="32"/>
          <w:szCs w:val="32"/>
          <w:highlight w:val="none"/>
          <w:lang w:val="en-US" w:eastAsia="zh-CN" w:bidi="ar-SA"/>
        </w:rPr>
        <w:t>持续加强对普惠型商业健康保险的指导力度，提升惠民险覆盖率和赔付率，</w:t>
      </w:r>
      <w:r>
        <w:rPr>
          <w:rFonts w:hint="default" w:ascii="Times New Roman" w:hAnsi="Times New Roman" w:eastAsia="仿宋_GB2312" w:cs="Times New Roman"/>
          <w:b w:val="0"/>
          <w:bCs w:val="0"/>
          <w:color w:val="000000"/>
          <w:kern w:val="2"/>
          <w:sz w:val="32"/>
          <w:szCs w:val="32"/>
          <w:highlight w:val="none"/>
          <w:lang w:val="en-US" w:eastAsia="zh-CN" w:bidi="ar-SA"/>
        </w:rPr>
        <w:t>苏惠保赔付率达99.05%，较</w:t>
      </w:r>
      <w:r>
        <w:rPr>
          <w:rFonts w:hint="eastAsia" w:ascii="Times New Roman" w:hAnsi="Times New Roman" w:eastAsia="仿宋_GB2312" w:cs="Times New Roman"/>
          <w:b w:val="0"/>
          <w:bCs w:val="0"/>
          <w:color w:val="000000"/>
          <w:kern w:val="2"/>
          <w:sz w:val="32"/>
          <w:szCs w:val="32"/>
          <w:highlight w:val="none"/>
          <w:lang w:val="en-US" w:eastAsia="zh-CN" w:bidi="ar-SA"/>
        </w:rPr>
        <w:t>2024年</w:t>
      </w:r>
      <w:r>
        <w:rPr>
          <w:rFonts w:hint="default" w:ascii="Times New Roman" w:hAnsi="Times New Roman" w:eastAsia="仿宋_GB2312" w:cs="Times New Roman"/>
          <w:b w:val="0"/>
          <w:bCs w:val="0"/>
          <w:color w:val="000000"/>
          <w:kern w:val="2"/>
          <w:sz w:val="32"/>
          <w:szCs w:val="32"/>
          <w:highlight w:val="none"/>
          <w:lang w:val="en-US" w:eastAsia="zh-CN" w:bidi="ar-SA"/>
        </w:rPr>
        <w:t>提升10.6个百分点。指导苏州人保财险</w:t>
      </w:r>
      <w:r>
        <w:rPr>
          <w:rFonts w:hint="default" w:ascii="Times New Roman" w:hAnsi="Times New Roman" w:eastAsia="仿宋_GB2312" w:cs="Times New Roman"/>
          <w:b w:val="0"/>
          <w:bCs/>
          <w:kern w:val="0"/>
          <w:sz w:val="32"/>
          <w:szCs w:val="32"/>
          <w:highlight w:val="none"/>
          <w:lang w:val="en-US" w:eastAsia="zh-CN"/>
        </w:rPr>
        <w:t>开发面向企事业单位职工的惠民险产品“苏职保”，</w:t>
      </w:r>
      <w:r>
        <w:rPr>
          <w:rFonts w:hint="eastAsia" w:ascii="Times New Roman" w:hAnsi="Times New Roman" w:eastAsia="仿宋_GB2312" w:cs="Times New Roman"/>
          <w:b w:val="0"/>
          <w:bCs/>
          <w:kern w:val="0"/>
          <w:sz w:val="32"/>
          <w:szCs w:val="32"/>
          <w:highlight w:val="none"/>
          <w:lang w:val="en-US" w:eastAsia="zh-CN"/>
        </w:rPr>
        <w:t>吸纳</w:t>
      </w:r>
      <w:r>
        <w:rPr>
          <w:rFonts w:hint="default" w:ascii="Times New Roman" w:hAnsi="Times New Roman" w:eastAsia="仿宋_GB2312" w:cs="Times New Roman"/>
          <w:b w:val="0"/>
          <w:bCs/>
          <w:kern w:val="0"/>
          <w:sz w:val="32"/>
          <w:szCs w:val="32"/>
          <w:highlight w:val="none"/>
          <w:lang w:val="en-US" w:eastAsia="zh-CN"/>
        </w:rPr>
        <w:t>国家最新发布的商保创新药目录和优质创新药械，成为构筑“1+3+N”多层次医疗保障体系的又一有力举措。</w:t>
      </w:r>
      <w:r>
        <w:rPr>
          <w:rFonts w:hint="default" w:ascii="Times New Roman" w:hAnsi="Times New Roman" w:eastAsia="仿宋_GB2312" w:cs="Times New Roman"/>
          <w:b/>
          <w:bCs/>
          <w:color w:val="000000"/>
          <w:kern w:val="2"/>
          <w:sz w:val="32"/>
          <w:szCs w:val="32"/>
          <w:highlight w:val="none"/>
          <w:lang w:val="en-US" w:eastAsia="zh-CN" w:bidi="ar-SA"/>
        </w:rPr>
        <w:t>持续推进困难群众医疗费用纾困工程，</w:t>
      </w:r>
      <w:r>
        <w:rPr>
          <w:rFonts w:hint="default" w:ascii="Times New Roman" w:hAnsi="Times New Roman" w:eastAsia="仿宋_GB2312" w:cs="Times New Roman"/>
          <w:b w:val="0"/>
          <w:bCs w:val="0"/>
          <w:color w:val="000000"/>
          <w:kern w:val="2"/>
          <w:sz w:val="32"/>
          <w:szCs w:val="32"/>
          <w:highlight w:val="none"/>
          <w:lang w:val="en-US" w:eastAsia="zh-CN" w:bidi="ar-SA"/>
        </w:rPr>
        <w:t>将3.56万名困难群众发生的8.65亿元医疗费用纳入纾困保障，困难群众医疗费用综合保障率从2023年底的82.97%提升至88.4%，</w:t>
      </w:r>
      <w:r>
        <w:rPr>
          <w:rFonts w:hint="default" w:ascii="Times New Roman" w:hAnsi="Times New Roman" w:eastAsia="仿宋_GB2312" w:cs="Times New Roman"/>
          <w:sz w:val="32"/>
          <w:szCs w:val="32"/>
          <w:highlight w:val="none"/>
          <w:lang w:val="en-US" w:eastAsia="zh-CN"/>
        </w:rPr>
        <w:t>项目入选“2025年度苏州十大民心工程”。</w:t>
      </w:r>
    </w:p>
    <w:p>
      <w:pPr>
        <w:keepNext w:val="0"/>
        <w:keepLines w:val="0"/>
        <w:pageBreakBefore w:val="0"/>
        <w:numPr>
          <w:ilvl w:val="0"/>
          <w:numId w:val="0"/>
        </w:numPr>
        <w:wordWrap/>
        <w:overflowPunct/>
        <w:topLinePunct w:val="0"/>
        <w:bidi w:val="0"/>
        <w:adjustRightInd/>
        <w:snapToGrid/>
        <w:spacing w:line="560" w:lineRule="exact"/>
        <w:ind w:firstLine="640" w:firstLineChars="200"/>
        <w:jc w:val="left"/>
        <w:textAlignment w:val="auto"/>
        <w:rPr>
          <w:rFonts w:hint="default" w:ascii="Times New Roman" w:hAnsi="Times New Roman" w:eastAsia="楷体_GB2312" w:cs="Times New Roman"/>
          <w:color w:val="auto"/>
          <w:spacing w:val="0"/>
          <w:kern w:val="2"/>
          <w:sz w:val="32"/>
          <w:szCs w:val="32"/>
          <w:highlight w:val="none"/>
          <w:lang w:val="en-US" w:eastAsia="zh-CN" w:bidi="ar-SA"/>
        </w:rPr>
      </w:pPr>
      <w:r>
        <w:rPr>
          <w:rFonts w:hint="default" w:ascii="Times New Roman" w:hAnsi="Times New Roman" w:eastAsia="楷体_GB2312" w:cs="Times New Roman"/>
          <w:b w:val="0"/>
          <w:bCs w:val="0"/>
          <w:color w:val="000000"/>
          <w:kern w:val="2"/>
          <w:sz w:val="32"/>
          <w:szCs w:val="32"/>
          <w:highlight w:val="none"/>
          <w:lang w:val="en-US" w:eastAsia="zh-CN" w:bidi="ar-SA"/>
        </w:rPr>
        <w:t>（四）</w:t>
      </w:r>
      <w:r>
        <w:rPr>
          <w:rFonts w:hint="default" w:ascii="Times New Roman" w:hAnsi="Times New Roman" w:eastAsia="楷体_GB2312" w:cs="Times New Roman"/>
          <w:color w:val="auto"/>
          <w:spacing w:val="0"/>
          <w:kern w:val="2"/>
          <w:sz w:val="32"/>
          <w:szCs w:val="32"/>
          <w:highlight w:val="none"/>
          <w:lang w:val="en-US" w:eastAsia="zh-CN" w:bidi="ar-SA"/>
        </w:rPr>
        <w:t>深化医保改革，协同推进医药行业健康发展</w:t>
      </w:r>
    </w:p>
    <w:p>
      <w:pPr>
        <w:keepNext w:val="0"/>
        <w:topLinePunct w:val="0"/>
        <w:adjustRightInd w:val="0"/>
        <w:snapToGrid w:val="0"/>
        <w:spacing w:line="600" w:lineRule="exact"/>
        <w:ind w:firstLine="642" w:firstLineChars="200"/>
        <w:rPr>
          <w:rFonts w:hint="default" w:ascii="Times New Roman" w:hAnsi="Times New Roman" w:eastAsia="仿宋_GB2312" w:cs="Times New Roman"/>
          <w:bCs/>
          <w:color w:val="000000"/>
          <w:sz w:val="32"/>
          <w:szCs w:val="32"/>
          <w:highlight w:val="none"/>
          <w:lang w:val="en-US" w:eastAsia="zh-CN"/>
        </w:rPr>
      </w:pPr>
      <w:r>
        <w:rPr>
          <w:rFonts w:hint="default" w:ascii="Times New Roman" w:hAnsi="Times New Roman" w:eastAsia="仿宋_GB2312" w:cs="Times New Roman"/>
          <w:b/>
          <w:bCs/>
          <w:color w:val="auto"/>
          <w:spacing w:val="0"/>
          <w:kern w:val="2"/>
          <w:sz w:val="32"/>
          <w:szCs w:val="32"/>
          <w:highlight w:val="none"/>
          <w:lang w:val="en-US" w:eastAsia="zh-CN" w:bidi="ar-SA"/>
        </w:rPr>
        <w:t>充分发挥医疗保障战略购买作用</w:t>
      </w:r>
      <w:r>
        <w:rPr>
          <w:rFonts w:hint="eastAsia" w:ascii="Times New Roman" w:hAnsi="Times New Roman" w:eastAsia="仿宋_GB2312" w:cs="Times New Roman"/>
          <w:b/>
          <w:bCs/>
          <w:color w:val="auto"/>
          <w:spacing w:val="0"/>
          <w:kern w:val="2"/>
          <w:sz w:val="32"/>
          <w:szCs w:val="32"/>
          <w:highlight w:val="none"/>
          <w:lang w:val="en-US" w:eastAsia="zh-CN" w:bidi="ar-SA"/>
        </w:rPr>
        <w:t>，</w:t>
      </w:r>
      <w:r>
        <w:rPr>
          <w:rFonts w:hint="default" w:ascii="Times New Roman" w:hAnsi="Times New Roman" w:eastAsia="仿宋_GB2312" w:cs="Times New Roman"/>
          <w:b w:val="0"/>
          <w:bCs w:val="0"/>
          <w:color w:val="auto"/>
          <w:sz w:val="32"/>
          <w:szCs w:val="32"/>
          <w:highlight w:val="none"/>
          <w:lang w:val="en-US" w:eastAsia="zh-CN"/>
        </w:rPr>
        <w:t>落实国家、省药品耗材集中带量采购改革成果，</w:t>
      </w:r>
      <w:r>
        <w:rPr>
          <w:rFonts w:hint="default" w:ascii="Times New Roman" w:hAnsi="Times New Roman" w:eastAsia="仿宋_GB2312" w:cs="Times New Roman"/>
          <w:b w:val="0"/>
          <w:bCs w:val="0"/>
          <w:color w:val="000000"/>
          <w:sz w:val="32"/>
          <w:szCs w:val="32"/>
          <w:highlight w:val="none"/>
          <w:lang w:val="en-US" w:eastAsia="zh-CN"/>
        </w:rPr>
        <w:t>推动57批集采药品耗材及时落地惠民。</w:t>
      </w:r>
      <w:r>
        <w:rPr>
          <w:rFonts w:hint="default" w:ascii="Times New Roman" w:hAnsi="Times New Roman" w:eastAsia="仿宋_GB2312" w:cs="Times New Roman"/>
          <w:b/>
          <w:bCs/>
          <w:color w:val="auto"/>
          <w:spacing w:val="0"/>
          <w:kern w:val="2"/>
          <w:sz w:val="32"/>
          <w:szCs w:val="32"/>
          <w:highlight w:val="none"/>
          <w:lang w:val="en-US" w:eastAsia="zh-CN" w:bidi="ar-SA"/>
        </w:rPr>
        <w:t>持续深化医疗服务价格改革</w:t>
      </w:r>
      <w:r>
        <w:rPr>
          <w:rFonts w:hint="eastAsia" w:ascii="Times New Roman" w:hAnsi="Times New Roman" w:eastAsia="仿宋_GB2312" w:cs="Times New Roman"/>
          <w:b/>
          <w:bCs/>
          <w:color w:val="auto"/>
          <w:spacing w:val="0"/>
          <w:kern w:val="2"/>
          <w:sz w:val="32"/>
          <w:szCs w:val="32"/>
          <w:highlight w:val="none"/>
          <w:lang w:val="en-US" w:eastAsia="zh-CN" w:bidi="ar-SA"/>
        </w:rPr>
        <w:t>，</w:t>
      </w:r>
      <w:r>
        <w:rPr>
          <w:rFonts w:hint="default" w:ascii="Times New Roman" w:hAnsi="Times New Roman" w:eastAsia="仿宋_GB2312" w:cs="Times New Roman"/>
          <w:b w:val="0"/>
          <w:bCs w:val="0"/>
          <w:color w:val="000000"/>
          <w:sz w:val="32"/>
          <w:szCs w:val="32"/>
          <w:highlight w:val="none"/>
          <w:lang w:val="en-US" w:eastAsia="zh-CN"/>
        </w:rPr>
        <w:t>推进中医骨伤、针刺、部分市定价项目价格制定，落地13批国家医疗服务价格立项指南</w:t>
      </w:r>
      <w:r>
        <w:rPr>
          <w:rFonts w:hint="eastAsia" w:ascii="Times New Roman" w:hAnsi="Times New Roman" w:eastAsia="仿宋_GB2312" w:cs="Times New Roman"/>
          <w:color w:val="auto"/>
          <w:spacing w:val="0"/>
          <w:kern w:val="2"/>
          <w:sz w:val="32"/>
          <w:szCs w:val="32"/>
          <w:highlight w:val="none"/>
          <w:lang w:val="en-US" w:eastAsia="zh-CN" w:bidi="ar-SA"/>
        </w:rPr>
        <w:t>。</w:t>
      </w:r>
      <w:r>
        <w:rPr>
          <w:rFonts w:hint="eastAsia" w:ascii="Times New Roman" w:hAnsi="Times New Roman" w:eastAsia="仿宋_GB2312" w:cs="Times New Roman"/>
          <w:b/>
          <w:bCs/>
          <w:color w:val="auto"/>
          <w:kern w:val="2"/>
          <w:sz w:val="32"/>
          <w:szCs w:val="32"/>
          <w:highlight w:val="none"/>
          <w:lang w:val="en-US" w:eastAsia="zh-CN" w:bidi="ar-SA"/>
        </w:rPr>
        <w:t>稳步</w:t>
      </w:r>
      <w:r>
        <w:rPr>
          <w:rFonts w:hint="default" w:ascii="Times New Roman" w:hAnsi="Times New Roman" w:eastAsia="仿宋_GB2312" w:cs="Times New Roman"/>
          <w:b/>
          <w:bCs/>
          <w:color w:val="auto"/>
          <w:kern w:val="2"/>
          <w:sz w:val="32"/>
          <w:szCs w:val="32"/>
          <w:highlight w:val="none"/>
          <w:lang w:val="en-US" w:eastAsia="zh-CN" w:bidi="ar-SA"/>
        </w:rPr>
        <w:t>推进</w:t>
      </w:r>
      <w:r>
        <w:rPr>
          <w:rFonts w:hint="eastAsia" w:ascii="Times New Roman" w:hAnsi="Times New Roman" w:eastAsia="仿宋_GB2312" w:cs="Times New Roman"/>
          <w:b/>
          <w:bCs/>
          <w:color w:val="auto"/>
          <w:kern w:val="2"/>
          <w:sz w:val="32"/>
          <w:szCs w:val="32"/>
          <w:highlight w:val="none"/>
          <w:lang w:val="en-US" w:eastAsia="zh-CN" w:bidi="ar-SA"/>
        </w:rPr>
        <w:t>医保</w:t>
      </w:r>
      <w:r>
        <w:rPr>
          <w:rFonts w:hint="default" w:ascii="Times New Roman" w:hAnsi="Times New Roman" w:eastAsia="仿宋_GB2312" w:cs="Times New Roman"/>
          <w:b/>
          <w:bCs/>
          <w:color w:val="auto"/>
          <w:kern w:val="2"/>
          <w:sz w:val="32"/>
          <w:szCs w:val="32"/>
          <w:highlight w:val="none"/>
          <w:lang w:val="en-US" w:eastAsia="zh-CN" w:bidi="ar-SA"/>
        </w:rPr>
        <w:t>支付方式改革</w:t>
      </w:r>
      <w:r>
        <w:rPr>
          <w:rFonts w:hint="eastAsia" w:ascii="Times New Roman" w:hAnsi="Times New Roman" w:eastAsia="仿宋_GB2312" w:cs="Times New Roman"/>
          <w:b/>
          <w:bCs/>
          <w:color w:val="auto"/>
          <w:kern w:val="2"/>
          <w:sz w:val="32"/>
          <w:szCs w:val="32"/>
          <w:highlight w:val="none"/>
          <w:lang w:val="en-US" w:eastAsia="zh-CN" w:bidi="ar-SA"/>
        </w:rPr>
        <w:t>。</w:t>
      </w:r>
      <w:r>
        <w:rPr>
          <w:rFonts w:hint="default" w:ascii="Times New Roman" w:hAnsi="Times New Roman" w:eastAsia="仿宋_GB2312" w:cs="Times New Roman"/>
          <w:b w:val="0"/>
          <w:color w:val="auto"/>
          <w:sz w:val="32"/>
          <w:szCs w:val="32"/>
          <w:highlight w:val="none"/>
          <w:vertAlign w:val="baseline"/>
          <w:lang w:val="en-US" w:eastAsia="zh-CN"/>
        </w:rPr>
        <w:t>全市符合条件的183家医疗机构全部纳入</w:t>
      </w:r>
      <w:r>
        <w:rPr>
          <w:rFonts w:hint="eastAsia" w:ascii="Times New Roman" w:hAnsi="Times New Roman" w:eastAsia="仿宋_GB2312" w:cs="Times New Roman"/>
          <w:b w:val="0"/>
          <w:color w:val="auto"/>
          <w:sz w:val="32"/>
          <w:szCs w:val="32"/>
          <w:highlight w:val="none"/>
          <w:vertAlign w:val="baseline"/>
          <w:lang w:val="en-US" w:eastAsia="zh-CN"/>
        </w:rPr>
        <w:t>按疾病诊断相关分组（</w:t>
      </w:r>
      <w:r>
        <w:rPr>
          <w:rFonts w:hint="default" w:ascii="Times New Roman" w:hAnsi="Times New Roman" w:eastAsia="仿宋_GB2312" w:cs="Times New Roman"/>
          <w:b w:val="0"/>
          <w:color w:val="auto"/>
          <w:sz w:val="32"/>
          <w:szCs w:val="32"/>
          <w:highlight w:val="none"/>
          <w:vertAlign w:val="baseline"/>
          <w:lang w:val="en-US" w:eastAsia="zh-CN"/>
        </w:rPr>
        <w:t>DRG</w:t>
      </w:r>
      <w:r>
        <w:rPr>
          <w:rFonts w:hint="eastAsia" w:ascii="Times New Roman" w:hAnsi="Times New Roman" w:eastAsia="仿宋_GB2312" w:cs="Times New Roman"/>
          <w:b w:val="0"/>
          <w:color w:val="auto"/>
          <w:sz w:val="32"/>
          <w:szCs w:val="32"/>
          <w:highlight w:val="none"/>
          <w:vertAlign w:val="baseline"/>
          <w:lang w:val="en-US" w:eastAsia="zh-CN"/>
        </w:rPr>
        <w:t>）</w:t>
      </w:r>
      <w:r>
        <w:rPr>
          <w:rFonts w:hint="default" w:ascii="Times New Roman" w:hAnsi="Times New Roman" w:eastAsia="仿宋_GB2312" w:cs="Times New Roman"/>
          <w:b w:val="0"/>
          <w:color w:val="auto"/>
          <w:sz w:val="32"/>
          <w:szCs w:val="32"/>
          <w:highlight w:val="none"/>
          <w:vertAlign w:val="baseline"/>
          <w:lang w:val="en-US" w:eastAsia="zh-CN"/>
        </w:rPr>
        <w:t>付费范围</w:t>
      </w:r>
      <w:r>
        <w:rPr>
          <w:rFonts w:hint="eastAsia" w:ascii="Times New Roman" w:hAnsi="Times New Roman" w:eastAsia="仿宋_GB2312" w:cs="Times New Roman"/>
          <w:b w:val="0"/>
          <w:color w:val="auto"/>
          <w:sz w:val="32"/>
          <w:szCs w:val="32"/>
          <w:highlight w:val="none"/>
          <w:vertAlign w:val="baseline"/>
          <w:lang w:val="en-US" w:eastAsia="zh-CN"/>
        </w:rPr>
        <w:t>。</w:t>
      </w:r>
      <w:r>
        <w:rPr>
          <w:rFonts w:hint="default" w:ascii="Times New Roman" w:hAnsi="Times New Roman" w:eastAsia="仿宋_GB2312" w:cs="Times New Roman"/>
          <w:b/>
          <w:bCs/>
          <w:color w:val="auto"/>
          <w:sz w:val="32"/>
          <w:szCs w:val="32"/>
          <w:highlight w:val="none"/>
          <w:vertAlign w:val="baseline"/>
          <w:lang w:val="en-US" w:eastAsia="zh-CN"/>
        </w:rPr>
        <w:t>强化医药价格信息监测与医保支付协同。</w:t>
      </w:r>
      <w:r>
        <w:rPr>
          <w:rFonts w:hint="default" w:ascii="Times New Roman" w:hAnsi="Times New Roman" w:eastAsia="仿宋_GB2312" w:cs="Times New Roman"/>
          <w:b w:val="0"/>
          <w:bCs w:val="0"/>
          <w:color w:val="000000"/>
          <w:sz w:val="32"/>
          <w:szCs w:val="32"/>
          <w:highlight w:val="none"/>
        </w:rPr>
        <w:t>建立</w:t>
      </w:r>
      <w:r>
        <w:rPr>
          <w:rFonts w:hint="default" w:ascii="Times New Roman" w:hAnsi="Times New Roman" w:eastAsia="仿宋_GB2312" w:cs="Times New Roman"/>
          <w:b w:val="0"/>
          <w:bCs w:val="0"/>
          <w:color w:val="000000"/>
          <w:sz w:val="32"/>
          <w:szCs w:val="32"/>
          <w:highlight w:val="none"/>
          <w:lang w:val="en-US" w:eastAsia="zh-CN"/>
        </w:rPr>
        <w:t>省</w:t>
      </w:r>
      <w:r>
        <w:rPr>
          <w:rFonts w:hint="default" w:ascii="Times New Roman" w:hAnsi="Times New Roman" w:eastAsia="仿宋_GB2312" w:cs="Times New Roman"/>
          <w:b w:val="0"/>
          <w:bCs w:val="0"/>
          <w:color w:val="000000"/>
          <w:sz w:val="32"/>
          <w:szCs w:val="32"/>
          <w:highlight w:val="none"/>
        </w:rPr>
        <w:t>阳光</w:t>
      </w:r>
      <w:r>
        <w:rPr>
          <w:rFonts w:hint="default" w:ascii="Times New Roman" w:hAnsi="Times New Roman" w:eastAsia="仿宋_GB2312" w:cs="Times New Roman"/>
          <w:b w:val="0"/>
          <w:bCs w:val="0"/>
          <w:color w:val="000000"/>
          <w:sz w:val="32"/>
          <w:szCs w:val="32"/>
          <w:highlight w:val="none"/>
          <w:lang w:val="en-US" w:eastAsia="zh-CN"/>
        </w:rPr>
        <w:t>采购</w:t>
      </w:r>
      <w:r>
        <w:rPr>
          <w:rFonts w:hint="default" w:ascii="Times New Roman" w:hAnsi="Times New Roman" w:eastAsia="仿宋_GB2312" w:cs="Times New Roman"/>
          <w:b w:val="0"/>
          <w:bCs w:val="0"/>
          <w:color w:val="000000"/>
          <w:sz w:val="32"/>
          <w:szCs w:val="32"/>
          <w:highlight w:val="none"/>
        </w:rPr>
        <w:t>挂网</w:t>
      </w:r>
      <w:r>
        <w:rPr>
          <w:rFonts w:hint="default" w:ascii="Times New Roman" w:hAnsi="Times New Roman" w:eastAsia="仿宋_GB2312" w:cs="Times New Roman"/>
          <w:b w:val="0"/>
          <w:bCs w:val="0"/>
          <w:color w:val="000000"/>
          <w:sz w:val="32"/>
          <w:szCs w:val="32"/>
          <w:highlight w:val="none"/>
          <w:lang w:val="en-US" w:eastAsia="zh-CN"/>
        </w:rPr>
        <w:t>价格预警</w:t>
      </w:r>
      <w:r>
        <w:rPr>
          <w:rFonts w:hint="default" w:ascii="Times New Roman" w:hAnsi="Times New Roman" w:eastAsia="仿宋_GB2312" w:cs="Times New Roman"/>
          <w:b w:val="0"/>
          <w:bCs w:val="0"/>
          <w:color w:val="000000"/>
          <w:sz w:val="32"/>
          <w:szCs w:val="32"/>
          <w:highlight w:val="none"/>
        </w:rPr>
        <w:t>与</w:t>
      </w:r>
      <w:r>
        <w:rPr>
          <w:rFonts w:hint="default" w:ascii="Times New Roman" w:hAnsi="Times New Roman" w:eastAsia="仿宋_GB2312" w:cs="Times New Roman"/>
          <w:b w:val="0"/>
          <w:bCs w:val="0"/>
          <w:color w:val="000000"/>
          <w:sz w:val="32"/>
          <w:szCs w:val="32"/>
          <w:highlight w:val="none"/>
          <w:lang w:val="en-US" w:eastAsia="zh-CN"/>
        </w:rPr>
        <w:t>医保</w:t>
      </w:r>
      <w:r>
        <w:rPr>
          <w:rFonts w:hint="default" w:ascii="Times New Roman" w:hAnsi="Times New Roman" w:eastAsia="仿宋_GB2312" w:cs="Times New Roman"/>
          <w:b w:val="0"/>
          <w:bCs w:val="0"/>
          <w:color w:val="000000"/>
          <w:sz w:val="32"/>
          <w:szCs w:val="32"/>
          <w:highlight w:val="none"/>
        </w:rPr>
        <w:t>支付标准联动机制，</w:t>
      </w:r>
      <w:r>
        <w:rPr>
          <w:rFonts w:hint="default" w:ascii="Times New Roman" w:hAnsi="Times New Roman" w:eastAsia="仿宋_GB2312" w:cs="Times New Roman"/>
          <w:b w:val="0"/>
          <w:bCs w:val="0"/>
          <w:color w:val="000000"/>
          <w:sz w:val="32"/>
          <w:szCs w:val="32"/>
          <w:highlight w:val="none"/>
          <w:lang w:val="en-US" w:eastAsia="zh-CN"/>
        </w:rPr>
        <w:t>对</w:t>
      </w:r>
      <w:r>
        <w:rPr>
          <w:rFonts w:hint="default" w:ascii="Times New Roman" w:hAnsi="Times New Roman" w:eastAsia="仿宋_GB2312" w:cs="Times New Roman"/>
          <w:b w:val="0"/>
          <w:bCs w:val="0"/>
          <w:color w:val="000000"/>
          <w:sz w:val="32"/>
          <w:szCs w:val="32"/>
          <w:highlight w:val="none"/>
        </w:rPr>
        <w:t>暂停挂网、</w:t>
      </w:r>
      <w:r>
        <w:rPr>
          <w:rFonts w:hint="default" w:ascii="Times New Roman" w:hAnsi="Times New Roman" w:eastAsia="仿宋_GB2312" w:cs="Times New Roman"/>
          <w:b w:val="0"/>
          <w:bCs w:val="0"/>
          <w:color w:val="000000"/>
          <w:sz w:val="32"/>
          <w:szCs w:val="32"/>
          <w:highlight w:val="none"/>
          <w:lang w:val="en-US" w:eastAsia="zh-CN"/>
        </w:rPr>
        <w:t>价格畸高的预警</w:t>
      </w:r>
      <w:r>
        <w:rPr>
          <w:rFonts w:hint="default" w:ascii="Times New Roman" w:hAnsi="Times New Roman" w:eastAsia="仿宋_GB2312" w:cs="Times New Roman"/>
          <w:b w:val="0"/>
          <w:bCs w:val="0"/>
          <w:color w:val="000000"/>
          <w:sz w:val="32"/>
          <w:szCs w:val="32"/>
          <w:highlight w:val="none"/>
        </w:rPr>
        <w:t>药品</w:t>
      </w:r>
      <w:r>
        <w:rPr>
          <w:rFonts w:hint="default"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color w:val="000000"/>
          <w:sz w:val="32"/>
          <w:szCs w:val="32"/>
          <w:highlight w:val="none"/>
          <w:lang w:val="en-US" w:eastAsia="zh-CN"/>
        </w:rPr>
        <w:t>及时</w:t>
      </w:r>
      <w:r>
        <w:rPr>
          <w:rFonts w:hint="default" w:ascii="Times New Roman" w:hAnsi="Times New Roman" w:eastAsia="仿宋_GB2312" w:cs="Times New Roman"/>
          <w:b w:val="0"/>
          <w:bCs w:val="0"/>
          <w:color w:val="000000"/>
          <w:sz w:val="32"/>
          <w:szCs w:val="32"/>
          <w:highlight w:val="none"/>
        </w:rPr>
        <w:t>调整</w:t>
      </w:r>
      <w:r>
        <w:rPr>
          <w:rFonts w:hint="default" w:ascii="Times New Roman" w:hAnsi="Times New Roman" w:eastAsia="仿宋_GB2312" w:cs="Times New Roman"/>
          <w:b w:val="0"/>
          <w:bCs w:val="0"/>
          <w:color w:val="000000"/>
          <w:sz w:val="32"/>
          <w:szCs w:val="32"/>
          <w:highlight w:val="none"/>
          <w:lang w:val="en-US" w:eastAsia="zh-CN"/>
        </w:rPr>
        <w:t>基金</w:t>
      </w:r>
      <w:r>
        <w:rPr>
          <w:rFonts w:hint="default" w:ascii="Times New Roman" w:hAnsi="Times New Roman" w:eastAsia="仿宋_GB2312" w:cs="Times New Roman"/>
          <w:b w:val="0"/>
          <w:bCs w:val="0"/>
          <w:color w:val="000000"/>
          <w:sz w:val="32"/>
          <w:szCs w:val="32"/>
          <w:highlight w:val="none"/>
        </w:rPr>
        <w:t>支付</w:t>
      </w:r>
      <w:r>
        <w:rPr>
          <w:rFonts w:hint="default" w:ascii="Times New Roman" w:hAnsi="Times New Roman" w:eastAsia="仿宋_GB2312" w:cs="Times New Roman"/>
          <w:b w:val="0"/>
          <w:bCs w:val="0"/>
          <w:color w:val="000000"/>
          <w:sz w:val="32"/>
          <w:szCs w:val="32"/>
          <w:highlight w:val="none"/>
          <w:lang w:val="en-US" w:eastAsia="zh-CN"/>
        </w:rPr>
        <w:t>比例或不予支付，</w:t>
      </w:r>
      <w:r>
        <w:rPr>
          <w:rFonts w:hint="default" w:ascii="Times New Roman" w:hAnsi="Times New Roman" w:eastAsia="仿宋_GB2312" w:cs="Times New Roman"/>
          <w:b w:val="0"/>
          <w:bCs w:val="0"/>
          <w:color w:val="000000"/>
          <w:sz w:val="32"/>
          <w:szCs w:val="32"/>
          <w:highlight w:val="none"/>
        </w:rPr>
        <w:t>提高基金使用效率</w:t>
      </w:r>
      <w:r>
        <w:rPr>
          <w:rFonts w:hint="default" w:ascii="Times New Roman" w:hAnsi="Times New Roman" w:eastAsia="仿宋_GB2312" w:cs="Times New Roman"/>
          <w:b w:val="0"/>
          <w:color w:val="000000"/>
          <w:sz w:val="32"/>
          <w:szCs w:val="32"/>
          <w:highlight w:val="none"/>
          <w:vertAlign w:val="baseline"/>
          <w:lang w:val="en-US" w:eastAsia="zh-CN"/>
        </w:rPr>
        <w:t>。</w:t>
      </w:r>
      <w:r>
        <w:rPr>
          <w:rFonts w:hint="default" w:ascii="Times New Roman" w:hAnsi="Times New Roman" w:eastAsia="仿宋_GB2312" w:cs="Times New Roman"/>
          <w:b/>
          <w:bCs/>
          <w:color w:val="000000"/>
          <w:sz w:val="32"/>
          <w:szCs w:val="32"/>
          <w:highlight w:val="none"/>
          <w:vertAlign w:val="baseline"/>
          <w:lang w:val="en-US" w:eastAsia="zh-CN"/>
        </w:rPr>
        <w:t>承接真实世界医保综合价值评价国家试点任务，</w:t>
      </w:r>
      <w:r>
        <w:rPr>
          <w:rFonts w:hint="default" w:ascii="Times New Roman" w:hAnsi="Times New Roman" w:eastAsia="仿宋_GB2312" w:cs="Times New Roman"/>
          <w:b w:val="0"/>
          <w:color w:val="000000"/>
          <w:sz w:val="32"/>
          <w:szCs w:val="32"/>
          <w:highlight w:val="none"/>
          <w:vertAlign w:val="baseline"/>
          <w:lang w:val="en-US" w:eastAsia="zh-CN"/>
        </w:rPr>
        <w:t>开展医疗、医保、医药数据协同和治理，探索建立药械多维度综合价值评价体系，提升医保基金使用效率，赋能医药行业高质量发展。</w:t>
      </w:r>
      <w:r>
        <w:rPr>
          <w:rFonts w:hint="default" w:ascii="Times New Roman" w:hAnsi="Times New Roman" w:eastAsia="仿宋_GB2312" w:cs="Times New Roman"/>
          <w:b/>
          <w:bCs/>
          <w:color w:val="000000"/>
          <w:sz w:val="32"/>
          <w:szCs w:val="32"/>
          <w:highlight w:val="none"/>
          <w:vertAlign w:val="baseline"/>
          <w:lang w:val="en-US" w:eastAsia="zh-CN"/>
        </w:rPr>
        <w:t>统筹推进医保基金即时结算工作，</w:t>
      </w:r>
      <w:r>
        <w:rPr>
          <w:rFonts w:hint="default" w:ascii="Times New Roman" w:hAnsi="Times New Roman" w:eastAsia="仿宋_GB2312" w:cs="Times New Roman"/>
          <w:b w:val="0"/>
          <w:color w:val="000000"/>
          <w:sz w:val="32"/>
          <w:szCs w:val="32"/>
          <w:highlight w:val="none"/>
          <w:vertAlign w:val="baseline"/>
        </w:rPr>
        <w:t>构建医保基金“年初预付、即时预拨、按月结算、年终清算”的结算支付机制</w:t>
      </w:r>
      <w:r>
        <w:rPr>
          <w:rFonts w:hint="default" w:ascii="Times New Roman" w:hAnsi="Times New Roman" w:eastAsia="仿宋_GB2312" w:cs="Times New Roman"/>
          <w:b w:val="0"/>
          <w:color w:val="000000"/>
          <w:sz w:val="32"/>
          <w:szCs w:val="32"/>
          <w:highlight w:val="none"/>
          <w:vertAlign w:val="baseline"/>
          <w:lang w:eastAsia="zh-CN"/>
        </w:rPr>
        <w:t>，</w:t>
      </w:r>
      <w:r>
        <w:rPr>
          <w:rFonts w:hint="default" w:ascii="Times New Roman" w:hAnsi="Times New Roman" w:eastAsia="仿宋_GB2312" w:cs="Times New Roman"/>
          <w:b w:val="0"/>
          <w:bCs w:val="0"/>
          <w:color w:val="000000"/>
          <w:sz w:val="32"/>
          <w:szCs w:val="32"/>
          <w:highlight w:val="none"/>
          <w:vertAlign w:val="baseline"/>
          <w:lang w:val="en-US" w:eastAsia="zh-CN"/>
        </w:rPr>
        <w:t>真正实现“T+1”日拨付即时结算。</w:t>
      </w:r>
      <w:r>
        <w:rPr>
          <w:rFonts w:hint="default" w:ascii="Times New Roman" w:hAnsi="Times New Roman" w:eastAsia="仿宋_GB2312" w:cs="Times New Roman"/>
          <w:b/>
          <w:bCs/>
          <w:color w:val="000000"/>
          <w:sz w:val="32"/>
          <w:szCs w:val="32"/>
          <w:highlight w:val="none"/>
          <w:vertAlign w:val="baseline"/>
          <w:lang w:val="en-US" w:eastAsia="zh-CN"/>
        </w:rPr>
        <w:t>平稳实施</w:t>
      </w:r>
      <w:r>
        <w:rPr>
          <w:rFonts w:hint="default" w:ascii="Times New Roman" w:hAnsi="Times New Roman" w:eastAsia="仿宋_GB2312" w:cs="Times New Roman"/>
          <w:b/>
          <w:bCs/>
          <w:i w:val="0"/>
          <w:iCs w:val="0"/>
          <w:caps w:val="0"/>
          <w:color w:val="000000"/>
          <w:spacing w:val="0"/>
          <w:sz w:val="32"/>
          <w:szCs w:val="32"/>
          <w:highlight w:val="none"/>
        </w:rPr>
        <w:t>门诊共济改革</w:t>
      </w:r>
      <w:r>
        <w:rPr>
          <w:rFonts w:hint="default" w:ascii="Times New Roman" w:hAnsi="Times New Roman" w:eastAsia="仿宋_GB2312" w:cs="Times New Roman"/>
          <w:b/>
          <w:bCs/>
          <w:i w:val="0"/>
          <w:iCs w:val="0"/>
          <w:caps w:val="0"/>
          <w:color w:val="000000"/>
          <w:spacing w:val="0"/>
          <w:sz w:val="32"/>
          <w:szCs w:val="32"/>
          <w:highlight w:val="none"/>
          <w:lang w:eastAsia="zh-CN"/>
        </w:rPr>
        <w:t>，</w:t>
      </w:r>
      <w:r>
        <w:rPr>
          <w:rFonts w:hint="default" w:ascii="Times New Roman" w:hAnsi="Times New Roman" w:eastAsia="仿宋_GB2312" w:cs="Times New Roman"/>
          <w:bCs w:val="0"/>
          <w:i w:val="0"/>
          <w:iCs w:val="0"/>
          <w:caps w:val="0"/>
          <w:color w:val="000000"/>
          <w:spacing w:val="0"/>
          <w:sz w:val="32"/>
          <w:szCs w:val="32"/>
          <w:highlight w:val="none"/>
          <w:lang w:val="en-US" w:eastAsia="zh-CN"/>
        </w:rPr>
        <w:t>实现退休职工个人账户按月划拨，提升职工医保门诊共济保障水平</w:t>
      </w:r>
      <w:r>
        <w:rPr>
          <w:rFonts w:hint="default" w:ascii="Times New Roman" w:hAnsi="Times New Roman" w:eastAsia="仿宋_GB2312" w:cs="Times New Roman"/>
          <w:bCs w:val="0"/>
          <w:i w:val="0"/>
          <w:iCs w:val="0"/>
          <w:caps w:val="0"/>
          <w:color w:val="000000"/>
          <w:spacing w:val="0"/>
          <w:sz w:val="32"/>
          <w:szCs w:val="32"/>
          <w:highlight w:val="none"/>
          <w:lang w:eastAsia="zh-CN"/>
        </w:rPr>
        <w:t>。</w:t>
      </w:r>
    </w:p>
    <w:p>
      <w:pPr>
        <w:pStyle w:val="10"/>
        <w:keepNext/>
        <w:keepLines w:val="0"/>
        <w:pageBreakBefore w:val="0"/>
        <w:widowControl w:val="0"/>
        <w:kinsoku/>
        <w:wordWrap/>
        <w:overflowPunct/>
        <w:topLinePunct/>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楷体_GB2312" w:cs="Times New Roman"/>
          <w:color w:val="auto"/>
          <w:spacing w:val="0"/>
          <w:kern w:val="2"/>
          <w:sz w:val="32"/>
          <w:szCs w:val="32"/>
          <w:highlight w:val="none"/>
          <w:lang w:val="en-US" w:eastAsia="zh-CN" w:bidi="ar-SA"/>
        </w:rPr>
      </w:pPr>
      <w:r>
        <w:rPr>
          <w:rFonts w:hint="default" w:ascii="Times New Roman" w:hAnsi="Times New Roman" w:eastAsia="楷体_GB2312" w:cs="Times New Roman"/>
          <w:color w:val="auto"/>
          <w:spacing w:val="0"/>
          <w:kern w:val="2"/>
          <w:sz w:val="32"/>
          <w:szCs w:val="32"/>
          <w:highlight w:val="none"/>
          <w:lang w:val="en-US" w:eastAsia="zh-CN" w:bidi="ar-SA"/>
        </w:rPr>
        <w:t>（五）加强基金监管，巩固筑牢基金安全防护网</w:t>
      </w:r>
    </w:p>
    <w:p>
      <w:pPr>
        <w:keepNext w:val="0"/>
        <w:keepLines w:val="0"/>
        <w:pageBreakBefore w:val="0"/>
        <w:widowControl w:val="0"/>
        <w:kinsoku/>
        <w:wordWrap/>
        <w:overflowPunct/>
        <w:topLinePunct w:val="0"/>
        <w:autoSpaceDE/>
        <w:autoSpaceDN/>
        <w:bidi w:val="0"/>
        <w:adjustRightInd w:val="0"/>
        <w:snapToGrid w:val="0"/>
        <w:spacing w:line="600" w:lineRule="exact"/>
        <w:ind w:right="0" w:rightChars="0" w:firstLine="642" w:firstLineChars="200"/>
        <w:jc w:val="both"/>
        <w:textAlignment w:val="auto"/>
        <w:rPr>
          <w:rFonts w:hint="default" w:ascii="Times New Roman" w:hAnsi="Times New Roman" w:eastAsia="仿宋_GB2312" w:cs="Times New Roman"/>
          <w:b w:val="0"/>
          <w:bCs/>
          <w:color w:val="000000"/>
          <w:spacing w:val="0"/>
          <w:kern w:val="2"/>
          <w:sz w:val="32"/>
          <w:szCs w:val="32"/>
          <w:highlight w:val="none"/>
          <w:lang w:val="en-US" w:eastAsia="zh-CN" w:bidi="ar-SA"/>
        </w:rPr>
      </w:pPr>
      <w:r>
        <w:rPr>
          <w:rFonts w:hint="default" w:ascii="Times New Roman" w:hAnsi="Times New Roman" w:eastAsia="仿宋_GB2312" w:cs="Times New Roman"/>
          <w:b/>
          <w:bCs/>
          <w:sz w:val="32"/>
          <w:szCs w:val="32"/>
          <w:highlight w:val="none"/>
          <w:lang w:val="en-US" w:eastAsia="zh-CN"/>
        </w:rPr>
        <w:t>扎实推进专项整治。</w:t>
      </w:r>
      <w:r>
        <w:rPr>
          <w:rFonts w:hint="default" w:ascii="Times New Roman" w:hAnsi="Times New Roman" w:eastAsia="仿宋_GB2312" w:cs="Times New Roman"/>
          <w:sz w:val="32"/>
          <w:szCs w:val="32"/>
          <w:highlight w:val="none"/>
          <w:lang w:val="en-US" w:eastAsia="zh-CN"/>
        </w:rPr>
        <w:t>根据中央纪委部署群众身边不正之风和腐败问题集中整治工作要求，牵头开展医保基金管理突出问题专项整治，成立公安、检察院、法院、卫健、市场监管等八部门参与的专项整治工作专班，构建部门协同、市县联动的“一盘棋”工作格局。组织定点机构对照违法违规使用医保基金问题清单自查自纠，</w:t>
      </w:r>
      <w:r>
        <w:rPr>
          <w:rFonts w:hint="eastAsia" w:ascii="Times New Roman" w:hAnsi="Times New Roman" w:eastAsia="仿宋_GB2312" w:cs="Times New Roman"/>
          <w:sz w:val="32"/>
          <w:szCs w:val="32"/>
          <w:highlight w:val="none"/>
          <w:lang w:val="en-US" w:eastAsia="zh-CN"/>
        </w:rPr>
        <w:t>5580</w:t>
      </w:r>
      <w:r>
        <w:rPr>
          <w:rFonts w:hint="default" w:ascii="Times New Roman" w:hAnsi="Times New Roman" w:eastAsia="仿宋_GB2312" w:cs="Times New Roman"/>
          <w:sz w:val="32"/>
          <w:szCs w:val="32"/>
          <w:highlight w:val="none"/>
          <w:lang w:val="en-US" w:eastAsia="zh-CN"/>
        </w:rPr>
        <w:t>家定点机构自查退回基金8441.09万元。深入开展系统内部自查，对自查发现的61项管理问题逐项整改，对全市协议处理的合规性进行复核纠治。全面梳理核查基金使用信访举报线索，快速推进“三高一非”等线索核查处置。加大基金违规使用行政处罚力度，持续保持打击欺诈骗保高压态势。全年接受中央、省纪委专项整治督导4次，核查国家、省各类下发线索15批次8.44万条，接受国家、省级飞检两定机构138家，落实定点医药机构医保支付资格记分701人次，暂停医保支付资格11人次。积极推进中纪委督导反馈问题的整改，切实以整改实效筑牢医保基金安全防线。</w:t>
      </w:r>
      <w:r>
        <w:rPr>
          <w:rFonts w:hint="default" w:ascii="Times New Roman" w:hAnsi="Times New Roman" w:eastAsia="仿宋_GB2312" w:cs="Times New Roman"/>
          <w:b/>
          <w:bCs/>
          <w:sz w:val="32"/>
          <w:szCs w:val="32"/>
          <w:highlight w:val="none"/>
          <w:lang w:val="en-US" w:eastAsia="zh-CN"/>
        </w:rPr>
        <w:t>数智赋能提升监管能力。</w:t>
      </w:r>
      <w:r>
        <w:rPr>
          <w:rFonts w:hint="default" w:ascii="Times New Roman" w:hAnsi="Times New Roman" w:eastAsia="仿宋_GB2312" w:cs="Times New Roman"/>
          <w:sz w:val="32"/>
          <w:szCs w:val="32"/>
          <w:highlight w:val="none"/>
          <w:lang w:val="en-US" w:eastAsia="zh-CN"/>
        </w:rPr>
        <w:t>大力推进“人工智能+基金监管”，创新建设康复大数据模型，开发协议处理合规性AI智能体，实现“AI审核+人工复核”双保险。与药监部门联合建设零售药店综合监管平台，实现数据共享和联合监管，全面规范定点零售药店运营和基金使用行为。扎实推进数据治理工作，全面提升医保数据质量，创新推出医保监管报表体系，有力支撑医保监督管理与服务需要。</w:t>
      </w:r>
      <w:r>
        <w:rPr>
          <w:rFonts w:hint="default" w:ascii="Times New Roman" w:hAnsi="Times New Roman" w:eastAsia="仿宋_GB2312" w:cs="Times New Roman"/>
          <w:b/>
          <w:bCs/>
          <w:sz w:val="32"/>
          <w:szCs w:val="32"/>
          <w:highlight w:val="none"/>
          <w:lang w:val="en-US" w:eastAsia="zh-CN"/>
        </w:rPr>
        <w:t>系统推进基金运行全链条治理。</w:t>
      </w:r>
      <w:r>
        <w:rPr>
          <w:rFonts w:hint="default" w:ascii="Times New Roman" w:hAnsi="Times New Roman" w:eastAsia="仿宋_GB2312" w:cs="Times New Roman"/>
          <w:sz w:val="32"/>
          <w:szCs w:val="32"/>
          <w:highlight w:val="none"/>
          <w:lang w:val="en-US" w:eastAsia="zh-CN"/>
        </w:rPr>
        <w:t>编制发布定点医药服务资源配置三年规划，对定点机构进行数量调控和结构优化，源头控制基金运行风险。常态化开展基金运行监测预警与分析评估。全年通过两定平台发布各类提示函9件，对检查外包、“医保配镜”等风险做出预警提示。2025年，全市共现场检查定点医药机构8222家，暂停结算或中止协议646家，解除医保协议409家，追回违规使用基金3.07亿元（含罚款），形成</w:t>
      </w:r>
      <w:r>
        <w:rPr>
          <w:rFonts w:hint="default" w:ascii="Times New Roman" w:hAnsi="Times New Roman" w:eastAsia="仿宋_GB2312" w:cs="Times New Roman"/>
          <w:b w:val="0"/>
          <w:bCs/>
          <w:color w:val="000000"/>
          <w:spacing w:val="0"/>
          <w:kern w:val="2"/>
          <w:sz w:val="32"/>
          <w:szCs w:val="32"/>
          <w:highlight w:val="none"/>
          <w:lang w:val="en-US" w:eastAsia="zh-CN" w:bidi="ar-SA"/>
        </w:rPr>
        <w:t>有力震慑。</w:t>
      </w:r>
    </w:p>
    <w:p>
      <w:pPr>
        <w:pStyle w:val="10"/>
        <w:keepNext/>
        <w:keepLines w:val="0"/>
        <w:pageBreakBefore w:val="0"/>
        <w:widowControl w:val="0"/>
        <w:kinsoku/>
        <w:wordWrap/>
        <w:overflowPunct/>
        <w:topLinePunct/>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楷体_GB2312" w:cs="Times New Roman"/>
          <w:color w:val="auto"/>
          <w:spacing w:val="0"/>
          <w:kern w:val="2"/>
          <w:sz w:val="32"/>
          <w:szCs w:val="32"/>
          <w:highlight w:val="none"/>
          <w:lang w:val="en-US" w:eastAsia="zh-CN" w:bidi="ar-SA"/>
        </w:rPr>
      </w:pPr>
      <w:r>
        <w:rPr>
          <w:rFonts w:hint="default" w:ascii="Times New Roman" w:hAnsi="Times New Roman" w:eastAsia="楷体_GB2312" w:cs="Times New Roman"/>
          <w:color w:val="auto"/>
          <w:spacing w:val="0"/>
          <w:kern w:val="2"/>
          <w:sz w:val="32"/>
          <w:szCs w:val="32"/>
          <w:highlight w:val="none"/>
          <w:lang w:val="en-US" w:eastAsia="zh-CN" w:bidi="ar-SA"/>
        </w:rPr>
        <w:t>（六）强化数字赋能，稳步推进医保公共服务提质增效</w:t>
      </w:r>
    </w:p>
    <w:p>
      <w:pPr>
        <w:keepNext w:val="0"/>
        <w:keepLines w:val="0"/>
        <w:pageBreakBefore w:val="0"/>
        <w:widowControl w:val="0"/>
        <w:kinsoku/>
        <w:wordWrap/>
        <w:overflowPunct/>
        <w:topLinePunct w:val="0"/>
        <w:autoSpaceDE/>
        <w:autoSpaceDN/>
        <w:bidi w:val="0"/>
        <w:adjustRightInd w:val="0"/>
        <w:snapToGrid w:val="0"/>
        <w:spacing w:line="600" w:lineRule="exact"/>
        <w:ind w:right="0" w:rightChars="0" w:firstLine="640" w:firstLineChars="200"/>
        <w:jc w:val="both"/>
        <w:textAlignment w:val="auto"/>
        <w:rPr>
          <w:rFonts w:hint="default" w:ascii="Times New Roman" w:hAnsi="Times New Roman" w:eastAsia="仿宋_GB2312" w:cs="Times New Roman"/>
          <w:b w:val="0"/>
          <w:bCs w:val="0"/>
          <w:color w:val="000000"/>
          <w:kern w:val="2"/>
          <w:sz w:val="32"/>
          <w:szCs w:val="32"/>
          <w:highlight w:val="none"/>
          <w:lang w:val="zh-TW" w:eastAsia="zh-CN" w:bidi="ar-SA"/>
        </w:rPr>
      </w:pPr>
      <w:r>
        <w:rPr>
          <w:rFonts w:hint="default" w:ascii="Times New Roman" w:hAnsi="Times New Roman" w:eastAsia="仿宋_GB2312" w:cs="Times New Roman"/>
          <w:b w:val="0"/>
          <w:bCs w:val="0"/>
          <w:color w:val="000000"/>
          <w:kern w:val="2"/>
          <w:sz w:val="32"/>
          <w:szCs w:val="32"/>
          <w:highlight w:val="none"/>
          <w:lang w:val="en-US" w:eastAsia="zh-CN" w:bidi="ar-SA"/>
        </w:rPr>
        <w:t>不断健全市、县、乡、村四级医保经</w:t>
      </w:r>
      <w:r>
        <w:rPr>
          <w:rFonts w:hint="default" w:ascii="Times New Roman" w:hAnsi="Times New Roman" w:eastAsia="仿宋_GB2312" w:cs="Times New Roman"/>
          <w:b w:val="0"/>
          <w:bCs/>
          <w:color w:val="000000"/>
          <w:spacing w:val="0"/>
          <w:kern w:val="2"/>
          <w:sz w:val="32"/>
          <w:szCs w:val="32"/>
          <w:highlight w:val="none"/>
          <w:lang w:val="en-US" w:eastAsia="zh-CN" w:bidi="ar-SA"/>
        </w:rPr>
        <w:t>办服务体系，建设“线上线下家门口”医保服务网络。扎实开展医保领域“高效办成一件事”</w:t>
      </w:r>
      <w:r>
        <w:rPr>
          <w:rFonts w:hint="default" w:ascii="Times New Roman" w:hAnsi="Times New Roman" w:eastAsia="仿宋_GB2312" w:cs="Times New Roman"/>
          <w:b w:val="0"/>
          <w:bCs/>
          <w:color w:val="000000"/>
          <w:kern w:val="2"/>
          <w:sz w:val="32"/>
          <w:szCs w:val="32"/>
          <w:highlight w:val="none"/>
          <w:lang w:val="en-US" w:eastAsia="zh-CN" w:bidi="ar-SA"/>
        </w:rPr>
        <w:t>，16项高频服务实现“一平台办理”，</w:t>
      </w:r>
      <w:r>
        <w:rPr>
          <w:rFonts w:hint="default" w:ascii="Times New Roman" w:hAnsi="Times New Roman" w:eastAsia="仿宋_GB2312" w:cs="Times New Roman"/>
          <w:b w:val="0"/>
          <w:bCs/>
          <w:color w:val="000000"/>
          <w:spacing w:val="0"/>
          <w:kern w:val="2"/>
          <w:sz w:val="32"/>
          <w:szCs w:val="32"/>
          <w:highlight w:val="none"/>
          <w:lang w:val="en-US" w:eastAsia="zh-CN" w:bidi="ar-SA"/>
        </w:rPr>
        <w:t>省内医保转移接续“免申请、即时办”，个人账户资金秒到账。</w:t>
      </w:r>
      <w:r>
        <w:rPr>
          <w:rFonts w:hint="default" w:ascii="Times New Roman" w:hAnsi="Times New Roman" w:eastAsia="仿宋_GB2312" w:cs="Times New Roman"/>
          <w:b w:val="0"/>
          <w:bCs/>
          <w:color w:val="000000"/>
          <w:kern w:val="2"/>
          <w:sz w:val="32"/>
          <w:szCs w:val="32"/>
          <w:highlight w:val="none"/>
          <w:lang w:val="en-US" w:eastAsia="zh-CN" w:bidi="ar-SA"/>
        </w:rPr>
        <w:t>规范异地就医备案管理</w:t>
      </w:r>
      <w:r>
        <w:rPr>
          <w:rFonts w:hint="default" w:ascii="Times New Roman" w:hAnsi="Times New Roman" w:eastAsia="仿宋_GB2312" w:cs="Times New Roman"/>
          <w:bCs/>
          <w:snapToGrid/>
          <w:color w:val="000000"/>
          <w:spacing w:val="0"/>
          <w:kern w:val="2"/>
          <w:sz w:val="32"/>
          <w:szCs w:val="32"/>
          <w:highlight w:val="none"/>
          <w:lang w:eastAsia="zh-CN"/>
        </w:rPr>
        <w:t>。</w:t>
      </w:r>
      <w:r>
        <w:rPr>
          <w:rFonts w:hint="default" w:ascii="Times New Roman" w:hAnsi="Times New Roman" w:eastAsia="仿宋_GB2312" w:cs="Times New Roman"/>
          <w:b w:val="0"/>
          <w:bCs/>
          <w:color w:val="000000"/>
          <w:spacing w:val="0"/>
          <w:kern w:val="2"/>
          <w:sz w:val="32"/>
          <w:szCs w:val="32"/>
          <w:highlight w:val="none"/>
          <w:lang w:val="en-US" w:eastAsia="zh-CN" w:bidi="ar-SA"/>
        </w:rPr>
        <w:t>大力拓展数据赋能应用，推出基于大语言模型的智能语音服务，持续提升12393医保服务热线承接能力。</w:t>
      </w:r>
      <w:r>
        <w:rPr>
          <w:rFonts w:hint="default" w:ascii="Times New Roman" w:hAnsi="Times New Roman" w:eastAsia="仿宋_GB2312" w:cs="Times New Roman"/>
          <w:color w:val="000000"/>
          <w:kern w:val="2"/>
          <w:sz w:val="32"/>
          <w:szCs w:val="32"/>
          <w:highlight w:val="none"/>
          <w:lang w:val="en-US" w:eastAsia="zh-CN" w:bidi="ar"/>
        </w:rPr>
        <w:t>持续优化“先诊后付”线上服务，</w:t>
      </w:r>
      <w:r>
        <w:rPr>
          <w:rFonts w:hint="default" w:ascii="Times New Roman" w:hAnsi="Times New Roman" w:eastAsia="仿宋_GB2312" w:cs="Times New Roman"/>
          <w:b w:val="0"/>
          <w:bCs w:val="0"/>
          <w:color w:val="000000"/>
          <w:kern w:val="2"/>
          <w:sz w:val="32"/>
          <w:szCs w:val="32"/>
          <w:highlight w:val="none"/>
          <w:lang w:val="en-US" w:eastAsia="zh-CN" w:bidi="ar-SA"/>
        </w:rPr>
        <w:t>继续做好商业医疗保险“一键式”快速理赔。</w:t>
      </w:r>
      <w:r>
        <w:rPr>
          <w:rFonts w:hint="default" w:ascii="Times New Roman" w:hAnsi="Times New Roman" w:eastAsia="仿宋_GB2312" w:cs="Times New Roman"/>
          <w:b w:val="0"/>
          <w:bCs w:val="0"/>
          <w:color w:val="000000"/>
          <w:spacing w:val="0"/>
          <w:kern w:val="2"/>
          <w:sz w:val="32"/>
          <w:szCs w:val="32"/>
          <w:highlight w:val="none"/>
          <w:lang w:val="en-US" w:eastAsia="zh-CN" w:bidi="ar-SA"/>
        </w:rPr>
        <w:t>大力</w:t>
      </w:r>
      <w:r>
        <w:rPr>
          <w:rFonts w:hint="default" w:ascii="Times New Roman" w:hAnsi="Times New Roman" w:eastAsia="仿宋_GB2312" w:cs="Times New Roman"/>
          <w:b w:val="0"/>
          <w:bCs/>
          <w:color w:val="000000"/>
          <w:spacing w:val="0"/>
          <w:kern w:val="2"/>
          <w:sz w:val="32"/>
          <w:szCs w:val="32"/>
          <w:highlight w:val="none"/>
          <w:lang w:val="en-US" w:eastAsia="zh-CN" w:bidi="ar-SA"/>
        </w:rPr>
        <w:t>推进“互联网+”医保服务，建设“全天候智问、个性化智推、便捷化智办”综合服务体系，</w:t>
      </w:r>
      <w:r>
        <w:rPr>
          <w:rFonts w:hint="default" w:ascii="Times New Roman" w:hAnsi="Times New Roman" w:eastAsia="仿宋_GB2312" w:cs="Times New Roman"/>
          <w:b w:val="0"/>
          <w:bCs/>
          <w:color w:val="000000"/>
          <w:kern w:val="2"/>
          <w:sz w:val="32"/>
          <w:szCs w:val="32"/>
          <w:highlight w:val="none"/>
          <w:lang w:val="en-US" w:eastAsia="zh-CN" w:bidi="ar-SA"/>
        </w:rPr>
        <w:t>促进医保公共服务更加方便可及、均等普惠。</w:t>
      </w:r>
      <w:r>
        <w:rPr>
          <w:rFonts w:hint="default" w:ascii="Times New Roman" w:hAnsi="Times New Roman" w:eastAsia="仿宋_GB2312" w:cs="Times New Roman"/>
          <w:b w:val="0"/>
          <w:bCs w:val="0"/>
          <w:color w:val="000000"/>
          <w:kern w:val="2"/>
          <w:sz w:val="32"/>
          <w:szCs w:val="32"/>
          <w:highlight w:val="none"/>
          <w:lang w:val="zh-TW" w:eastAsia="zh-CN" w:bidi="ar-SA"/>
        </w:rPr>
        <w:t>我市“医保AI智能经办服务项目”荣获</w:t>
      </w:r>
      <w:r>
        <w:rPr>
          <w:rFonts w:hint="default" w:ascii="Times New Roman" w:hAnsi="Times New Roman" w:eastAsia="仿宋_GB2312" w:cs="Times New Roman"/>
          <w:b w:val="0"/>
          <w:bCs w:val="0"/>
          <w:color w:val="000000"/>
          <w:kern w:val="2"/>
          <w:sz w:val="32"/>
          <w:szCs w:val="32"/>
          <w:highlight w:val="none"/>
          <w:lang w:val="en-US" w:eastAsia="zh-CN" w:bidi="ar-SA"/>
        </w:rPr>
        <w:t>国家医保局主办的</w:t>
      </w:r>
      <w:r>
        <w:rPr>
          <w:rFonts w:hint="default" w:ascii="Times New Roman" w:hAnsi="Times New Roman" w:eastAsia="仿宋_GB2312" w:cs="Times New Roman"/>
          <w:b w:val="0"/>
          <w:bCs w:val="0"/>
          <w:color w:val="000000"/>
          <w:spacing w:val="0"/>
          <w:sz w:val="32"/>
          <w:szCs w:val="32"/>
          <w:highlight w:val="none"/>
          <w:lang w:val="zh-TW" w:eastAsia="zh-CN"/>
        </w:rPr>
        <w:t>全国智慧医保大赛一等奖</w:t>
      </w:r>
      <w:r>
        <w:rPr>
          <w:rFonts w:hint="default" w:ascii="Times New Roman" w:hAnsi="Times New Roman" w:eastAsia="仿宋_GB2312" w:cs="Times New Roman"/>
          <w:b w:val="0"/>
          <w:bCs w:val="0"/>
          <w:color w:val="000000"/>
          <w:kern w:val="2"/>
          <w:sz w:val="32"/>
          <w:szCs w:val="32"/>
          <w:highlight w:val="none"/>
          <w:lang w:val="zh-TW" w:eastAsia="zh-CN" w:bidi="ar-SA"/>
        </w:rPr>
        <w:t>，“</w:t>
      </w:r>
      <w:r>
        <w:rPr>
          <w:rFonts w:hint="default" w:ascii="Times New Roman" w:hAnsi="Times New Roman" w:eastAsia="仿宋_GB2312" w:cs="Times New Roman"/>
          <w:b w:val="0"/>
          <w:bCs w:val="0"/>
          <w:color w:val="000000"/>
          <w:kern w:val="2"/>
          <w:sz w:val="32"/>
          <w:szCs w:val="32"/>
          <w:highlight w:val="none"/>
          <w:lang w:val="en-US" w:eastAsia="zh-CN" w:bidi="ar-SA"/>
        </w:rPr>
        <w:t>12393热线智能客服</w:t>
      </w:r>
      <w:r>
        <w:rPr>
          <w:rFonts w:hint="default" w:ascii="Times New Roman" w:hAnsi="Times New Roman" w:eastAsia="仿宋_GB2312" w:cs="Times New Roman"/>
          <w:b w:val="0"/>
          <w:bCs w:val="0"/>
          <w:color w:val="000000"/>
          <w:kern w:val="2"/>
          <w:sz w:val="32"/>
          <w:szCs w:val="32"/>
          <w:highlight w:val="none"/>
          <w:lang w:val="zh-TW" w:eastAsia="zh-CN" w:bidi="ar-SA"/>
        </w:rPr>
        <w:t>”“</w:t>
      </w:r>
      <w:r>
        <w:rPr>
          <w:rFonts w:hint="default" w:ascii="Times New Roman" w:hAnsi="Times New Roman" w:eastAsia="仿宋_GB2312" w:cs="Times New Roman"/>
          <w:b w:val="0"/>
          <w:bCs w:val="0"/>
          <w:color w:val="000000"/>
          <w:kern w:val="2"/>
          <w:sz w:val="32"/>
          <w:szCs w:val="32"/>
          <w:highlight w:val="none"/>
          <w:lang w:val="en-US" w:eastAsia="zh-CN" w:bidi="ar-SA"/>
        </w:rPr>
        <w:t>先诊后付</w:t>
      </w:r>
      <w:r>
        <w:rPr>
          <w:rFonts w:hint="default" w:ascii="Times New Roman" w:hAnsi="Times New Roman" w:eastAsia="仿宋_GB2312" w:cs="Times New Roman"/>
          <w:b w:val="0"/>
          <w:bCs w:val="0"/>
          <w:color w:val="000000"/>
          <w:kern w:val="2"/>
          <w:sz w:val="32"/>
          <w:szCs w:val="32"/>
          <w:highlight w:val="none"/>
          <w:lang w:val="zh-TW" w:eastAsia="zh-CN" w:bidi="ar-SA"/>
        </w:rPr>
        <w:t>”</w:t>
      </w:r>
      <w:r>
        <w:rPr>
          <w:rFonts w:hint="default" w:ascii="Times New Roman" w:hAnsi="Times New Roman" w:eastAsia="仿宋_GB2312" w:cs="Times New Roman"/>
          <w:b w:val="0"/>
          <w:bCs w:val="0"/>
          <w:color w:val="000000"/>
          <w:kern w:val="2"/>
          <w:sz w:val="32"/>
          <w:szCs w:val="32"/>
          <w:highlight w:val="none"/>
          <w:lang w:val="en-US" w:eastAsia="zh-CN" w:bidi="ar-SA"/>
        </w:rPr>
        <w:t>等两个项目入选第一届全国医保经办智能体展示，获国家局通报表彰</w:t>
      </w:r>
      <w:r>
        <w:rPr>
          <w:rFonts w:hint="default" w:ascii="Times New Roman" w:hAnsi="Times New Roman" w:eastAsia="仿宋_GB2312" w:cs="Times New Roman"/>
          <w:b w:val="0"/>
          <w:bCs w:val="0"/>
          <w:color w:val="000000"/>
          <w:kern w:val="2"/>
          <w:sz w:val="32"/>
          <w:szCs w:val="32"/>
          <w:highlight w:val="none"/>
          <w:lang w:val="zh-TW" w:eastAsia="zh-CN" w:bidi="ar-SA"/>
        </w:rPr>
        <w:t>。</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楷体_GB2312" w:cs="Times New Roman"/>
          <w:b w:val="0"/>
          <w:bCs w:val="0"/>
          <w:color w:val="auto"/>
          <w:kern w:val="2"/>
          <w:sz w:val="32"/>
          <w:szCs w:val="32"/>
          <w:highlight w:val="none"/>
          <w:lang w:val="en-US" w:eastAsia="zh-CN" w:bidi="ar-SA"/>
        </w:rPr>
      </w:pPr>
      <w:r>
        <w:rPr>
          <w:rFonts w:hint="default" w:ascii="Times New Roman" w:hAnsi="Times New Roman" w:eastAsia="楷体_GB2312" w:cs="Times New Roman"/>
          <w:b w:val="0"/>
          <w:bCs w:val="0"/>
          <w:color w:val="auto"/>
          <w:kern w:val="2"/>
          <w:sz w:val="32"/>
          <w:szCs w:val="32"/>
          <w:highlight w:val="none"/>
          <w:lang w:val="en-US" w:eastAsia="zh-CN" w:bidi="ar-SA"/>
        </w:rPr>
        <w:t>（七）</w:t>
      </w:r>
      <w:r>
        <w:rPr>
          <w:rFonts w:hint="default" w:ascii="Times New Roman" w:hAnsi="Times New Roman" w:eastAsia="楷体_GB2312" w:cs="Times New Roman"/>
          <w:b w:val="0"/>
          <w:bCs w:val="0"/>
          <w:color w:val="auto"/>
          <w:kern w:val="2"/>
          <w:sz w:val="32"/>
          <w:szCs w:val="32"/>
          <w:highlight w:val="none"/>
          <w:lang w:val="en-US" w:eastAsia="zh-CN" w:bidi="ar-SA"/>
        </w:rPr>
        <w:t>支持生物医药产业发展，彰显医保责任担当</w:t>
      </w:r>
    </w:p>
    <w:p>
      <w:pPr>
        <w:keepNext w:val="0"/>
        <w:keepLines w:val="0"/>
        <w:pageBreakBefore w:val="0"/>
        <w:widowControl w:val="0"/>
        <w:kinsoku/>
        <w:wordWrap/>
        <w:overflowPunct/>
        <w:topLinePunct w:val="0"/>
        <w:autoSpaceDE/>
        <w:autoSpaceDN/>
        <w:bidi w:val="0"/>
        <w:adjustRightInd w:val="0"/>
        <w:snapToGrid w:val="0"/>
        <w:spacing w:line="600" w:lineRule="exact"/>
        <w:ind w:left="0" w:right="0" w:rightChars="0" w:firstLine="642"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val="0"/>
          <w:color w:val="000000"/>
          <w:sz w:val="32"/>
          <w:szCs w:val="32"/>
          <w:highlight w:val="none"/>
          <w:lang w:val="en-US" w:eastAsia="zh-CN"/>
        </w:rPr>
        <w:t>畅通政企沟通渠道，</w:t>
      </w:r>
      <w:r>
        <w:rPr>
          <w:rFonts w:hint="default" w:ascii="Times New Roman" w:hAnsi="Times New Roman" w:eastAsia="仿宋_GB2312" w:cs="Times New Roman"/>
          <w:bCs/>
          <w:color w:val="000000"/>
          <w:sz w:val="32"/>
          <w:szCs w:val="32"/>
          <w:highlight w:val="none"/>
          <w:lang w:val="en-US" w:eastAsia="zh-CN"/>
        </w:rPr>
        <w:t>建立完善“医保医企面对面”“医药企业信息直报”等多渠道联系机制，</w:t>
      </w:r>
      <w:r>
        <w:rPr>
          <w:rFonts w:hint="default" w:ascii="Times New Roman" w:hAnsi="Times New Roman" w:eastAsia="仿宋_GB2312" w:cs="Times New Roman"/>
          <w:bCs/>
          <w:color w:val="000000"/>
          <w:kern w:val="2"/>
          <w:sz w:val="32"/>
          <w:szCs w:val="32"/>
          <w:highlight w:val="none"/>
          <w:lang w:val="en-US" w:eastAsia="zh-CN" w:bidi="ar-SA"/>
        </w:rPr>
        <w:t>助力18个创新药品顺利进入</w:t>
      </w:r>
      <w:r>
        <w:rPr>
          <w:rFonts w:hint="eastAsia" w:ascii="Times New Roman" w:hAnsi="Times New Roman" w:eastAsia="仿宋_GB2312" w:cs="Times New Roman"/>
          <w:bCs/>
          <w:color w:val="000000"/>
          <w:kern w:val="2"/>
          <w:sz w:val="32"/>
          <w:szCs w:val="32"/>
          <w:highlight w:val="none"/>
          <w:lang w:val="en-US" w:eastAsia="zh-CN" w:bidi="ar-SA"/>
        </w:rPr>
        <w:t>新版</w:t>
      </w:r>
      <w:r>
        <w:rPr>
          <w:rFonts w:hint="default" w:ascii="Times New Roman" w:hAnsi="Times New Roman" w:eastAsia="仿宋_GB2312" w:cs="Times New Roman"/>
          <w:bCs/>
          <w:color w:val="000000"/>
          <w:kern w:val="2"/>
          <w:sz w:val="32"/>
          <w:szCs w:val="32"/>
          <w:highlight w:val="none"/>
          <w:lang w:val="en-US" w:eastAsia="zh-CN" w:bidi="ar-SA"/>
        </w:rPr>
        <w:t>国家医保药品目录及商业健康保险创新药品目录。</w:t>
      </w:r>
      <w:r>
        <w:rPr>
          <w:rFonts w:hint="default" w:ascii="Times New Roman" w:hAnsi="Times New Roman" w:eastAsia="仿宋_GB2312" w:cs="Times New Roman"/>
          <w:b/>
          <w:bCs w:val="0"/>
          <w:color w:val="000000"/>
          <w:sz w:val="32"/>
          <w:szCs w:val="32"/>
          <w:highlight w:val="none"/>
          <w:lang w:val="en-US" w:eastAsia="zh-CN"/>
        </w:rPr>
        <w:t>精准解决企业发展难点堵点，</w:t>
      </w:r>
      <w:r>
        <w:rPr>
          <w:rFonts w:hint="default" w:ascii="Times New Roman" w:hAnsi="Times New Roman" w:eastAsia="仿宋_GB2312" w:cs="Times New Roman"/>
          <w:bCs/>
          <w:color w:val="000000"/>
          <w:kern w:val="2"/>
          <w:sz w:val="32"/>
          <w:szCs w:val="32"/>
          <w:highlight w:val="none"/>
          <w:lang w:val="en-US" w:eastAsia="zh-CN" w:bidi="ar-SA"/>
        </w:rPr>
        <w:t>推动建立医药创新产品挂网绿色通道，助力企业快速达到挂网条件</w:t>
      </w:r>
      <w:r>
        <w:rPr>
          <w:rFonts w:hint="default" w:ascii="Times New Roman" w:hAnsi="Times New Roman" w:eastAsia="仿宋_GB2312" w:cs="Times New Roman"/>
          <w:bCs/>
          <w:color w:val="000000"/>
          <w:sz w:val="32"/>
          <w:szCs w:val="32"/>
          <w:highlight w:val="none"/>
          <w:lang w:val="en-US" w:eastAsia="zh-CN"/>
        </w:rPr>
        <w:t>。制定出台医用耗材目录动态调整、及时增补的工作机制，为企业创新产品快速进入临床提供坚强的医保支持。</w:t>
      </w:r>
      <w:r>
        <w:rPr>
          <w:rFonts w:hint="default" w:ascii="Times New Roman" w:hAnsi="Times New Roman" w:eastAsia="仿宋_GB2312" w:cs="Times New Roman"/>
          <w:b/>
          <w:bCs w:val="0"/>
          <w:color w:val="000000"/>
          <w:sz w:val="32"/>
          <w:szCs w:val="32"/>
          <w:highlight w:val="none"/>
          <w:lang w:val="en-US" w:eastAsia="zh-CN"/>
        </w:rPr>
        <w:t>引导医药机构落实国家谈判药配备主体责任，</w:t>
      </w:r>
      <w:r>
        <w:rPr>
          <w:rFonts w:hint="eastAsia" w:ascii="Times New Roman" w:hAnsi="Times New Roman" w:eastAsia="仿宋_GB2312" w:cs="Times New Roman"/>
          <w:b w:val="0"/>
          <w:bCs/>
          <w:color w:val="000000"/>
          <w:sz w:val="32"/>
          <w:szCs w:val="32"/>
          <w:highlight w:val="none"/>
          <w:lang w:val="en-US" w:eastAsia="zh-CN"/>
        </w:rPr>
        <w:t>召开全市国谈药院企协同落地推进会，推动创新药及时落地惠民，</w:t>
      </w:r>
      <w:r>
        <w:rPr>
          <w:rFonts w:hint="default" w:ascii="Times New Roman" w:hAnsi="Times New Roman" w:eastAsia="仿宋_GB2312" w:cs="Times New Roman"/>
          <w:bCs/>
          <w:color w:val="000000"/>
          <w:kern w:val="2"/>
          <w:sz w:val="32"/>
          <w:szCs w:val="32"/>
          <w:highlight w:val="none"/>
          <w:lang w:val="en-US" w:eastAsia="zh-CN" w:bidi="ar-SA"/>
        </w:rPr>
        <w:t>加大优质产品医保支付支持</w:t>
      </w:r>
      <w:r>
        <w:rPr>
          <w:rFonts w:hint="eastAsia" w:ascii="Times New Roman" w:hAnsi="Times New Roman" w:eastAsia="仿宋_GB2312" w:cs="Times New Roman"/>
          <w:bCs/>
          <w:color w:val="000000"/>
          <w:kern w:val="2"/>
          <w:sz w:val="32"/>
          <w:szCs w:val="32"/>
          <w:highlight w:val="none"/>
          <w:lang w:val="en-US" w:eastAsia="zh-CN" w:bidi="ar-SA"/>
        </w:rPr>
        <w:t>。</w:t>
      </w:r>
      <w:r>
        <w:rPr>
          <w:rFonts w:hint="default" w:ascii="Times New Roman" w:hAnsi="Times New Roman" w:eastAsia="仿宋_GB2312" w:cs="Times New Roman"/>
          <w:bCs/>
          <w:color w:val="000000"/>
          <w:kern w:val="2"/>
          <w:sz w:val="32"/>
          <w:szCs w:val="32"/>
          <w:highlight w:val="none"/>
          <w:lang w:val="en-US" w:eastAsia="zh-CN" w:bidi="ar-SA"/>
        </w:rPr>
        <w:t>目前，共有28家药品生产企业的116个品种、63家器械生产企业的20个品类医用耗材在集中带量采购中中选，覆盖全市200多家公立医疗机构。</w:t>
      </w:r>
    </w:p>
    <w:p>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default"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二、</w:t>
      </w:r>
      <w:r>
        <w:rPr>
          <w:rFonts w:hint="default" w:ascii="Times New Roman" w:hAnsi="Times New Roman" w:eastAsia="黑体" w:cs="Times New Roman"/>
          <w:sz w:val="32"/>
          <w:szCs w:val="32"/>
          <w:highlight w:val="none"/>
          <w:lang w:val="en-US" w:eastAsia="zh-CN"/>
        </w:rPr>
        <w:t>聚力攻坚、奋楫争先，全力推动2026年全市医保事业再启新征程</w:t>
      </w:r>
    </w:p>
    <w:p>
      <w:pPr>
        <w:keepNext w:val="0"/>
        <w:keepLines w:val="0"/>
        <w:pageBreakBefore w:val="0"/>
        <w:widowControl/>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000000"/>
          <w:spacing w:val="0"/>
          <w:sz w:val="32"/>
          <w:szCs w:val="32"/>
          <w:highlight w:val="none"/>
          <w:shd w:val="clear" w:color="auto" w:fill="auto"/>
          <w:lang w:val="zh-TW" w:eastAsia="zh-CN"/>
        </w:rPr>
      </w:pPr>
      <w:r>
        <w:rPr>
          <w:rFonts w:hint="default" w:ascii="Times New Roman" w:hAnsi="Times New Roman" w:eastAsia="仿宋_GB2312" w:cs="Times New Roman"/>
          <w:color w:val="auto"/>
          <w:spacing w:val="0"/>
          <w:sz w:val="32"/>
          <w:szCs w:val="32"/>
          <w:highlight w:val="none"/>
          <w:lang w:val="en-US" w:eastAsia="zh-CN"/>
        </w:rPr>
        <w:t>2026年是中国共产党成立105周年，是“十五五”开局之年。</w:t>
      </w:r>
      <w:r>
        <w:rPr>
          <w:rFonts w:ascii="Times New Roman" w:hAnsi="Times New Roman" w:eastAsia="仿宋_GB2312" w:cs="Times New Roman"/>
          <w:i w:val="0"/>
          <w:iCs w:val="0"/>
          <w:caps w:val="0"/>
          <w:color w:val="000000"/>
          <w:spacing w:val="0"/>
          <w:sz w:val="32"/>
          <w:szCs w:val="32"/>
          <w:highlight w:val="none"/>
          <w:shd w:val="clear" w:color="auto" w:fill="auto"/>
          <w:lang w:val="zh-TW"/>
        </w:rPr>
        <w:t>全市医保部门</w:t>
      </w:r>
      <w:r>
        <w:rPr>
          <w:rFonts w:hint="default" w:ascii="Times New Roman" w:hAnsi="Times New Roman" w:eastAsia="仿宋_GB2312" w:cs="Times New Roman"/>
          <w:i w:val="0"/>
          <w:iCs w:val="0"/>
          <w:caps w:val="0"/>
          <w:color w:val="000000"/>
          <w:spacing w:val="0"/>
          <w:sz w:val="32"/>
          <w:szCs w:val="32"/>
          <w:highlight w:val="none"/>
          <w:shd w:val="clear" w:color="auto" w:fill="auto"/>
          <w:lang w:val="zh-TW" w:eastAsia="zh-CN"/>
        </w:rPr>
        <w:t>将</w:t>
      </w:r>
      <w:r>
        <w:rPr>
          <w:rFonts w:hint="default" w:ascii="Times New Roman" w:hAnsi="Times New Roman" w:eastAsia="仿宋_GB2312" w:cs="Times New Roman"/>
          <w:color w:val="auto"/>
          <w:spacing w:val="0"/>
          <w:sz w:val="32"/>
          <w:szCs w:val="32"/>
          <w:highlight w:val="none"/>
          <w:lang w:val="en-US" w:eastAsia="zh-CN"/>
        </w:rPr>
        <w:t>继续锚定“奋力解除全体人民的疾病医疗后顾之忧”的根本目的，坚定不移推进医保改革，呵护“小的”、照顾“老的”、兜住“难”的、支持“新的”、打击“骗的”，守好用好人民群众的“看病钱”“救命钱”，赋能医药机构和医药产业高质量发展，促进医疗、医保、医药协同发展和治理，确保“十五五”开好局</w:t>
      </w:r>
      <w:r>
        <w:rPr>
          <w:rFonts w:hint="eastAsia" w:ascii="Times New Roman" w:hAnsi="Times New Roman" w:eastAsia="仿宋_GB2312" w:cs="Times New Roman"/>
          <w:color w:val="auto"/>
          <w:spacing w:val="0"/>
          <w:sz w:val="32"/>
          <w:szCs w:val="32"/>
          <w:highlight w:val="none"/>
          <w:lang w:val="en-US" w:eastAsia="zh-CN"/>
        </w:rPr>
        <w:t>、</w:t>
      </w:r>
      <w:r>
        <w:rPr>
          <w:rFonts w:hint="default" w:ascii="Times New Roman" w:hAnsi="Times New Roman" w:eastAsia="仿宋_GB2312" w:cs="Times New Roman"/>
          <w:color w:val="auto"/>
          <w:spacing w:val="0"/>
          <w:sz w:val="32"/>
          <w:szCs w:val="32"/>
          <w:highlight w:val="none"/>
          <w:lang w:val="en-US" w:eastAsia="zh-CN"/>
        </w:rPr>
        <w:t>起好步。</w:t>
      </w:r>
    </w:p>
    <w:p>
      <w:pPr>
        <w:keepNext w:val="0"/>
        <w:keepLines w:val="0"/>
        <w:pageBreakBefore w:val="0"/>
        <w:widowControl/>
        <w:numPr>
          <w:ilvl w:val="0"/>
          <w:numId w:val="3"/>
        </w:numPr>
        <w:pBdr>
          <w:bottom w:val="single" w:color="FFFFFF" w:sz="4" w:space="31"/>
        </w:pBdr>
        <w:tabs>
          <w:tab w:val="left" w:pos="1440"/>
        </w:tabs>
        <w:kinsoku/>
        <w:wordWrap/>
        <w:overflowPunct/>
        <w:topLinePunct w:val="0"/>
        <w:autoSpaceDE/>
        <w:autoSpaceDN/>
        <w:bidi w:val="0"/>
        <w:spacing w:line="560" w:lineRule="exact"/>
        <w:ind w:firstLine="640" w:firstLineChars="200"/>
        <w:jc w:val="left"/>
        <w:textAlignment w:val="auto"/>
        <w:rPr>
          <w:rFonts w:hint="default"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sz w:val="32"/>
          <w:szCs w:val="32"/>
          <w:highlight w:val="none"/>
          <w:lang w:val="en-US" w:eastAsia="zh-CN"/>
        </w:rPr>
        <w:t>坚持应保尽保、保障基本，持续增进医保民生福祉</w:t>
      </w:r>
    </w:p>
    <w:p>
      <w:pPr>
        <w:keepNext w:val="0"/>
        <w:keepLines w:val="0"/>
        <w:pageBreakBefore w:val="0"/>
        <w:widowControl/>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left="0" w:right="0" w:rightChars="0" w:firstLine="642" w:firstLineChars="200"/>
        <w:jc w:val="left"/>
        <w:textAlignment w:val="auto"/>
        <w:rPr>
          <w:rFonts w:hint="eastAsia"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一是深入推进参保扩面。</w:t>
      </w:r>
      <w:r>
        <w:rPr>
          <w:rFonts w:hint="default" w:ascii="Times New Roman" w:hAnsi="Times New Roman" w:eastAsia="仿宋_GB2312" w:cs="Times New Roman"/>
          <w:b w:val="0"/>
          <w:bCs w:val="0"/>
          <w:color w:val="auto"/>
          <w:sz w:val="32"/>
          <w:szCs w:val="32"/>
          <w:highlight w:val="none"/>
          <w:lang w:val="en-US" w:eastAsia="zh-CN"/>
        </w:rPr>
        <w:t>继续</w:t>
      </w:r>
      <w:r>
        <w:rPr>
          <w:rFonts w:hint="default" w:ascii="Times New Roman" w:hAnsi="Times New Roman" w:eastAsia="仿宋_GB2312" w:cs="Times New Roman"/>
          <w:color w:val="auto"/>
          <w:spacing w:val="0"/>
          <w:sz w:val="32"/>
          <w:szCs w:val="32"/>
          <w:highlight w:val="none"/>
          <w:lang w:val="en-US" w:eastAsia="zh-CN"/>
        </w:rPr>
        <w:t>加强与人社、公安、税务、教育、住建等部门数据信息共享，</w:t>
      </w:r>
      <w:r>
        <w:rPr>
          <w:rFonts w:hint="default" w:ascii="Times New Roman" w:hAnsi="Times New Roman" w:eastAsia="仿宋_GB2312" w:cs="Times New Roman"/>
          <w:sz w:val="32"/>
          <w:szCs w:val="32"/>
          <w:highlight w:val="none"/>
          <w:lang w:val="en-US" w:eastAsia="zh-CN"/>
        </w:rPr>
        <w:t>全面落实参保长效机制，加强政策解读，用好激励政策，稳妥推进约束措施</w:t>
      </w:r>
      <w:r>
        <w:rPr>
          <w:rFonts w:hint="default" w:ascii="Times New Roman" w:hAnsi="Times New Roman" w:eastAsia="仿宋_GB2312" w:cs="Times New Roman"/>
          <w:color w:val="auto"/>
          <w:spacing w:val="0"/>
          <w:sz w:val="32"/>
          <w:szCs w:val="32"/>
          <w:highlight w:val="none"/>
          <w:lang w:val="en-US" w:eastAsia="zh-CN"/>
        </w:rPr>
        <w:t>。聚焦重点人群，深挖参保潜力，推进</w:t>
      </w:r>
      <w:r>
        <w:rPr>
          <w:rFonts w:hint="default" w:ascii="Times New Roman" w:hAnsi="Times New Roman" w:eastAsia="仿宋_GB2312" w:cs="Times New Roman"/>
          <w:sz w:val="32"/>
          <w:szCs w:val="32"/>
          <w:highlight w:val="none"/>
          <w:lang w:val="en-US" w:eastAsia="zh-CN"/>
        </w:rPr>
        <w:t>灵活就业人员、农民工、新就业形态人员等参加职工医保，做好中小学生、学龄前儿童持居住证在常住地参加居民医保。做好“一人一档”全民参保数据库建设的后续工程。发挥线上线下服务功能，实现参保登记等业务“一网通办、一站联办”。</w:t>
      </w:r>
      <w:r>
        <w:rPr>
          <w:rFonts w:hint="default" w:ascii="Times New Roman" w:hAnsi="Times New Roman" w:eastAsia="仿宋_GB2312" w:cs="Times New Roman"/>
          <w:b/>
          <w:bCs/>
          <w:sz w:val="32"/>
          <w:szCs w:val="32"/>
          <w:highlight w:val="none"/>
          <w:lang w:val="en-US" w:eastAsia="zh-CN"/>
        </w:rPr>
        <w:t>二是健全多层次保障体系。</w:t>
      </w:r>
      <w:r>
        <w:rPr>
          <w:rFonts w:hint="default" w:ascii="Times New Roman" w:hAnsi="Times New Roman" w:eastAsia="仿宋_GB2312" w:cs="Times New Roman"/>
          <w:sz w:val="32"/>
          <w:szCs w:val="32"/>
          <w:highlight w:val="none"/>
          <w:lang w:val="en-US" w:eastAsia="zh-CN"/>
        </w:rPr>
        <w:t>进一步</w:t>
      </w:r>
      <w:r>
        <w:rPr>
          <w:rFonts w:hint="eastAsia" w:ascii="Times New Roman" w:hAnsi="Times New Roman" w:eastAsia="仿宋_GB2312" w:cs="Times New Roman"/>
          <w:sz w:val="32"/>
          <w:szCs w:val="32"/>
          <w:highlight w:val="none"/>
          <w:lang w:val="en-US" w:eastAsia="zh-CN"/>
        </w:rPr>
        <w:t>规范基本医疗保险制度体系，</w:t>
      </w:r>
      <w:r>
        <w:rPr>
          <w:rFonts w:hint="default" w:ascii="Times New Roman" w:hAnsi="Times New Roman" w:eastAsia="仿宋_GB2312" w:cs="Times New Roman"/>
          <w:sz w:val="32"/>
          <w:szCs w:val="32"/>
          <w:highlight w:val="none"/>
          <w:lang w:val="en-US" w:eastAsia="zh-CN"/>
        </w:rPr>
        <w:t>完善大病保险政策</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启动新一轮大病保险招标工作。加强对“江苏医惠保1号”“苏惠保”等惠民保以及“苏职保”等团体保险的支持引导，发挥商业保险补充衔接保障作用。接续实施医保纾困民生工程，持续健全困难群众因病致贫返贫风险防范化解的长效机制，夯实救助托底保障。根据省局部署，稳妥推进省级统筹。</w:t>
      </w:r>
      <w:r>
        <w:rPr>
          <w:rFonts w:hint="default" w:ascii="Times New Roman" w:hAnsi="Times New Roman" w:eastAsia="仿宋_GB2312" w:cs="Times New Roman"/>
          <w:b/>
          <w:bCs/>
          <w:sz w:val="32"/>
          <w:szCs w:val="32"/>
          <w:highlight w:val="none"/>
          <w:lang w:val="en-US" w:eastAsia="zh-CN"/>
        </w:rPr>
        <w:t>三是持续优化“一老一小”保障政策</w:t>
      </w:r>
      <w:r>
        <w:rPr>
          <w:rFonts w:hint="default" w:ascii="Times New Roman" w:hAnsi="Times New Roman" w:eastAsia="仿宋_GB2312" w:cs="Times New Roman"/>
          <w:sz w:val="32"/>
          <w:szCs w:val="32"/>
          <w:highlight w:val="none"/>
          <w:lang w:val="en-US" w:eastAsia="zh-CN"/>
        </w:rPr>
        <w:t>。做好国家和省长护险相关政策的贯彻落实和衔接工作，持续完善长期护理保险制度，实现长护险信息系统平稳上线运行。支持引导基层医疗机构转型提供长护险</w:t>
      </w:r>
      <w:r>
        <w:rPr>
          <w:rFonts w:hint="eastAsia" w:ascii="Times New Roman" w:hAnsi="Times New Roman" w:eastAsia="仿宋_GB2312" w:cs="Times New Roman"/>
          <w:sz w:val="32"/>
          <w:szCs w:val="32"/>
          <w:highlight w:val="none"/>
          <w:lang w:val="en-US" w:eastAsia="zh-CN"/>
        </w:rPr>
        <w:t>服务</w:t>
      </w:r>
      <w:r>
        <w:rPr>
          <w:rFonts w:hint="default" w:ascii="Times New Roman" w:hAnsi="Times New Roman" w:eastAsia="仿宋_GB2312" w:cs="Times New Roman"/>
          <w:sz w:val="32"/>
          <w:szCs w:val="32"/>
          <w:highlight w:val="none"/>
          <w:lang w:val="en-US" w:eastAsia="zh-CN"/>
        </w:rPr>
        <w:t>，培育壮大照护师队伍。稳步落实生育补助政策，</w:t>
      </w:r>
      <w:r>
        <w:rPr>
          <w:rFonts w:hint="eastAsia" w:ascii="Times New Roman" w:hAnsi="Times New Roman" w:eastAsia="仿宋_GB2312" w:cs="Times New Roman"/>
          <w:sz w:val="32"/>
          <w:szCs w:val="32"/>
          <w:highlight w:val="none"/>
          <w:lang w:val="en-US" w:eastAsia="zh-CN"/>
        </w:rPr>
        <w:t>在医保政策上对</w:t>
      </w:r>
      <w:r>
        <w:rPr>
          <w:rFonts w:hint="default" w:ascii="Times New Roman" w:hAnsi="Times New Roman" w:eastAsia="仿宋_GB2312" w:cs="Times New Roman"/>
          <w:sz w:val="32"/>
          <w:szCs w:val="32"/>
          <w:highlight w:val="none"/>
          <w:lang w:val="en-US" w:eastAsia="zh-CN"/>
        </w:rPr>
        <w:t>儿科和儿童用药给予倾斜保障</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平稳实施生育津贴直接发放到职工个人</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扩大生育保险的保障覆盖面，</w:t>
      </w:r>
      <w:r>
        <w:rPr>
          <w:rFonts w:hint="eastAsia" w:ascii="Times New Roman" w:hAnsi="Times New Roman" w:eastAsia="仿宋_GB2312" w:cs="Times New Roman"/>
          <w:sz w:val="32"/>
          <w:szCs w:val="32"/>
          <w:highlight w:val="none"/>
          <w:lang w:val="en-US" w:eastAsia="zh-CN"/>
        </w:rPr>
        <w:t>将</w:t>
      </w:r>
      <w:r>
        <w:rPr>
          <w:rFonts w:hint="default" w:ascii="Times New Roman" w:hAnsi="Times New Roman" w:eastAsia="仿宋_GB2312" w:cs="Times New Roman"/>
          <w:sz w:val="32"/>
          <w:szCs w:val="32"/>
          <w:highlight w:val="none"/>
          <w:lang w:val="en-US" w:eastAsia="zh-CN"/>
        </w:rPr>
        <w:t>灵活就业人员、新就业形态人员</w:t>
      </w:r>
      <w:r>
        <w:rPr>
          <w:rFonts w:hint="eastAsia" w:ascii="Times New Roman" w:hAnsi="Times New Roman" w:eastAsia="仿宋_GB2312" w:cs="Times New Roman"/>
          <w:sz w:val="32"/>
          <w:szCs w:val="32"/>
          <w:highlight w:val="none"/>
          <w:lang w:val="en-US" w:eastAsia="zh-CN"/>
        </w:rPr>
        <w:t>等</w:t>
      </w:r>
      <w:r>
        <w:rPr>
          <w:rFonts w:hint="default" w:ascii="Times New Roman" w:hAnsi="Times New Roman" w:eastAsia="仿宋_GB2312" w:cs="Times New Roman"/>
          <w:sz w:val="32"/>
          <w:szCs w:val="32"/>
          <w:highlight w:val="none"/>
          <w:lang w:val="en-US" w:eastAsia="zh-CN"/>
        </w:rPr>
        <w:t>纳入生育保险。</w:t>
      </w:r>
      <w:r>
        <w:rPr>
          <w:rFonts w:hint="eastAsia" w:ascii="Times New Roman" w:hAnsi="Times New Roman" w:eastAsia="仿宋_GB2312" w:cs="Times New Roman"/>
          <w:sz w:val="32"/>
          <w:szCs w:val="32"/>
          <w:highlight w:val="none"/>
          <w:lang w:val="en-US" w:eastAsia="zh-CN"/>
        </w:rPr>
        <w:t xml:space="preserve">  </w:t>
      </w:r>
    </w:p>
    <w:p>
      <w:pPr>
        <w:keepNext w:val="0"/>
        <w:keepLines w:val="0"/>
        <w:pageBreakBefore w:val="0"/>
        <w:widowControl/>
        <w:numPr>
          <w:ilvl w:val="0"/>
          <w:numId w:val="3"/>
        </w:numPr>
        <w:pBdr>
          <w:bottom w:val="single" w:color="FFFFFF" w:sz="4" w:space="31"/>
        </w:pBdr>
        <w:tabs>
          <w:tab w:val="left" w:pos="1440"/>
        </w:tabs>
        <w:kinsoku/>
        <w:wordWrap/>
        <w:overflowPunct/>
        <w:topLinePunct w:val="0"/>
        <w:autoSpaceDE/>
        <w:autoSpaceDN/>
        <w:bidi w:val="0"/>
        <w:spacing w:line="560" w:lineRule="exact"/>
        <w:ind w:firstLine="640" w:firstLineChars="200"/>
        <w:jc w:val="left"/>
        <w:textAlignment w:val="auto"/>
        <w:rPr>
          <w:rFonts w:hint="default"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sz w:val="32"/>
          <w:szCs w:val="32"/>
          <w:highlight w:val="none"/>
          <w:lang w:val="en-US" w:eastAsia="zh-CN"/>
        </w:rPr>
        <w:t>坚持防控风险、稳健高效，着力构建全链条监管体系</w:t>
      </w:r>
    </w:p>
    <w:p>
      <w:pPr>
        <w:keepNext w:val="0"/>
        <w:keepLines w:val="0"/>
        <w:pageBreakBefore w:val="0"/>
        <w:widowControl/>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left="0" w:right="0" w:rightChars="0" w:firstLine="642" w:firstLineChars="200"/>
        <w:jc w:val="lef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一是严格实施定点资源规划。</w:t>
      </w:r>
      <w:r>
        <w:rPr>
          <w:rFonts w:hint="default" w:ascii="Times New Roman" w:hAnsi="Times New Roman" w:eastAsia="仿宋_GB2312" w:cs="Times New Roman"/>
          <w:sz w:val="32"/>
          <w:szCs w:val="32"/>
          <w:highlight w:val="none"/>
          <w:lang w:val="en-US" w:eastAsia="zh-CN"/>
        </w:rPr>
        <w:t>落实定点医药服务资源配置规划，对定点机构进行数量调控和结构优化。</w:t>
      </w:r>
      <w:r>
        <w:rPr>
          <w:rFonts w:hint="default" w:ascii="Times New Roman" w:hAnsi="Times New Roman" w:eastAsia="仿宋_GB2312" w:cs="Times New Roman"/>
          <w:b/>
          <w:bCs/>
          <w:sz w:val="32"/>
          <w:szCs w:val="32"/>
          <w:highlight w:val="none"/>
          <w:lang w:val="en-US" w:eastAsia="zh-CN"/>
        </w:rPr>
        <w:t>二是强化基金运行管理。</w:t>
      </w:r>
      <w:r>
        <w:rPr>
          <w:rFonts w:hint="default" w:ascii="Times New Roman" w:hAnsi="Times New Roman" w:eastAsia="仿宋_GB2312" w:cs="Times New Roman"/>
          <w:sz w:val="32"/>
          <w:szCs w:val="32"/>
          <w:highlight w:val="none"/>
          <w:lang w:val="en-US" w:eastAsia="zh-CN"/>
        </w:rPr>
        <w:t>科学精准编制医保基金预算，切实加强总额控制和预算执行刚性约束，坚决防止出现当期基金赤字。做好基金运行动态监测，不断健全“</w:t>
      </w:r>
      <w:r>
        <w:rPr>
          <w:rFonts w:hint="default" w:ascii="Times New Roman" w:hAnsi="Times New Roman" w:eastAsia="方正仿宋_GB2312" w:cs="Times New Roman"/>
          <w:sz w:val="32"/>
          <w:szCs w:val="32"/>
          <w:highlight w:val="none"/>
          <w:lang w:val="en-US" w:eastAsia="zh-CN"/>
        </w:rPr>
        <w:t>1+N”基金分析预警体系，</w:t>
      </w:r>
      <w:r>
        <w:rPr>
          <w:rFonts w:hint="default" w:ascii="Times New Roman" w:hAnsi="Times New Roman" w:eastAsia="仿宋_GB2312" w:cs="Times New Roman"/>
          <w:sz w:val="32"/>
          <w:szCs w:val="32"/>
          <w:highlight w:val="none"/>
          <w:lang w:val="en-US" w:eastAsia="zh-CN"/>
        </w:rPr>
        <w:t>前瞻研判风险苗头。全面开展审计自查自纠，围绕基金运行管理、政策制定执行、基金监督检查、历年审计巡视发现问题整改落实等，确保所有问题</w:t>
      </w:r>
      <w:r>
        <w:rPr>
          <w:rFonts w:hint="eastAsia" w:ascii="Times New Roman" w:hAnsi="Times New Roman" w:eastAsia="仿宋_GB2312" w:cs="Times New Roman"/>
          <w:sz w:val="32"/>
          <w:szCs w:val="32"/>
          <w:highlight w:val="none"/>
          <w:lang w:val="en-US" w:eastAsia="zh-CN"/>
        </w:rPr>
        <w:t>尽快全部</w:t>
      </w:r>
      <w:r>
        <w:rPr>
          <w:rFonts w:hint="default" w:ascii="Times New Roman" w:hAnsi="Times New Roman" w:eastAsia="仿宋_GB2312" w:cs="Times New Roman"/>
          <w:sz w:val="32"/>
          <w:szCs w:val="32"/>
          <w:highlight w:val="none"/>
          <w:lang w:val="en-US" w:eastAsia="zh-CN"/>
        </w:rPr>
        <w:t>整改到位。</w:t>
      </w:r>
      <w:r>
        <w:rPr>
          <w:rFonts w:hint="default" w:ascii="Times New Roman" w:hAnsi="Times New Roman" w:eastAsia="仿宋_GB2312" w:cs="Times New Roman"/>
          <w:b/>
          <w:bCs/>
          <w:sz w:val="32"/>
          <w:szCs w:val="32"/>
          <w:highlight w:val="none"/>
          <w:lang w:val="en-US" w:eastAsia="zh-CN"/>
        </w:rPr>
        <w:t>三是继续推进专项整治。</w:t>
      </w:r>
      <w:r>
        <w:rPr>
          <w:rFonts w:hint="default" w:ascii="Times New Roman" w:hAnsi="Times New Roman" w:eastAsia="仿宋_GB2312" w:cs="Times New Roman"/>
          <w:sz w:val="32"/>
          <w:szCs w:val="32"/>
          <w:highlight w:val="none"/>
          <w:lang w:val="en-US" w:eastAsia="zh-CN"/>
        </w:rPr>
        <w:t>进一步健全横向协作、纵向贯通的工作机制，加强与公安、卫生健康、市场监管等部门的协同联动，常态化开展数据互通、联合检查、线索移交和办案衔接。聚焦群众急难愁盼，推出更多有温度、见实效的惠民举措，真正把整治成果转化为群众可感可及的民生福祉。</w:t>
      </w:r>
      <w:r>
        <w:rPr>
          <w:rFonts w:hint="default" w:ascii="Times New Roman" w:hAnsi="Times New Roman" w:eastAsia="仿宋_GB2312" w:cs="Times New Roman"/>
          <w:b/>
          <w:bCs/>
          <w:sz w:val="32"/>
          <w:szCs w:val="32"/>
          <w:highlight w:val="none"/>
          <w:lang w:val="en-US" w:eastAsia="zh-CN"/>
        </w:rPr>
        <w:t>四是切实提高重点领域监管成效。</w:t>
      </w:r>
      <w:r>
        <w:rPr>
          <w:rFonts w:hint="default" w:ascii="Times New Roman" w:hAnsi="Times New Roman" w:eastAsia="仿宋_GB2312" w:cs="Times New Roman"/>
          <w:sz w:val="32"/>
          <w:szCs w:val="32"/>
          <w:highlight w:val="none"/>
          <w:lang w:val="en-US" w:eastAsia="zh-CN"/>
        </w:rPr>
        <w:t>聚焦“回流药”、血液透析、护理院骗保、生育津贴诈骗等重点问题开展专项行动，对涉嫌欺诈骗保以及追溯码线索密集的定点医药机构，精准开展检查。强化疑点数据和问题线索的核查处置，高度重视实名举报、重复举报、群众投诉举报集中的事项，实行接诉即办、限时办结。严格落实医保支付资格管理制度，对已解除医保服务协议的机构，主动协同卫生健康、药品监管等部门，完善证据链条，推动相关主管部门依法依规</w:t>
      </w:r>
      <w:r>
        <w:rPr>
          <w:rFonts w:hint="eastAsia" w:ascii="Times New Roman" w:hAnsi="Times New Roman" w:eastAsia="仿宋_GB2312" w:cs="Times New Roman"/>
          <w:sz w:val="32"/>
          <w:szCs w:val="32"/>
          <w:highlight w:val="none"/>
          <w:lang w:val="en-US" w:eastAsia="zh-CN"/>
        </w:rPr>
        <w:t>处理</w:t>
      </w:r>
      <w:r>
        <w:rPr>
          <w:rFonts w:hint="default"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b/>
          <w:bCs/>
          <w:sz w:val="32"/>
          <w:szCs w:val="32"/>
          <w:highlight w:val="none"/>
          <w:lang w:val="en-US" w:eastAsia="zh-CN"/>
        </w:rPr>
        <w:t>五是坚持刀刃向内强化履职担当。</w:t>
      </w:r>
      <w:r>
        <w:rPr>
          <w:rFonts w:hint="default" w:ascii="Times New Roman" w:hAnsi="Times New Roman" w:eastAsia="仿宋_GB2312" w:cs="Times New Roman"/>
          <w:b w:val="0"/>
          <w:bCs w:val="0"/>
          <w:sz w:val="32"/>
          <w:szCs w:val="32"/>
          <w:highlight w:val="none"/>
          <w:lang w:val="en-US" w:eastAsia="zh-CN"/>
        </w:rPr>
        <w:t>全流程严格规范执法，统一执法裁量基准，杜绝随意检查、选择性检查。根据省统一部署，启用检查档案管理信息系统。</w:t>
      </w:r>
      <w:r>
        <w:rPr>
          <w:rFonts w:hint="default" w:ascii="Times New Roman" w:hAnsi="Times New Roman" w:eastAsia="仿宋_GB2312" w:cs="Times New Roman"/>
          <w:sz w:val="32"/>
          <w:szCs w:val="32"/>
          <w:highlight w:val="none"/>
          <w:lang w:val="en-US" w:eastAsia="zh-CN"/>
        </w:rPr>
        <w:t>加强医保基金审核、结算、支付全流程内控监管，开展经办机构内控检查，围绕内控子系统新规则制定与上线，统筹推进人员培训与流程演练等前置工作落地。</w:t>
      </w:r>
      <w:r>
        <w:rPr>
          <w:rFonts w:hint="default" w:ascii="Times New Roman" w:hAnsi="Times New Roman" w:eastAsia="仿宋_GB2312" w:cs="Times New Roman"/>
          <w:b w:val="0"/>
          <w:bCs w:val="0"/>
          <w:sz w:val="32"/>
          <w:szCs w:val="32"/>
          <w:highlight w:val="none"/>
          <w:lang w:val="en-US" w:eastAsia="zh-CN"/>
        </w:rPr>
        <w:t>坚持刀刃向内，</w:t>
      </w:r>
      <w:r>
        <w:rPr>
          <w:rFonts w:hint="default" w:ascii="Times New Roman" w:hAnsi="Times New Roman" w:eastAsia="仿宋_GB2312" w:cs="Times New Roman"/>
          <w:sz w:val="32"/>
          <w:szCs w:val="32"/>
          <w:highlight w:val="none"/>
          <w:lang w:val="en-US" w:eastAsia="zh-CN"/>
        </w:rPr>
        <w:t>聚焦规范检查、按时结付医保资金等关键场景，开展监督检查，对监管不力和损害群众利益问题“零容忍”。</w:t>
      </w:r>
    </w:p>
    <w:p>
      <w:pPr>
        <w:keepNext w:val="0"/>
        <w:keepLines w:val="0"/>
        <w:pageBreakBefore w:val="0"/>
        <w:widowControl/>
        <w:numPr>
          <w:ilvl w:val="0"/>
          <w:numId w:val="3"/>
        </w:numPr>
        <w:pBdr>
          <w:bottom w:val="single" w:color="FFFFFF" w:sz="4" w:space="31"/>
        </w:pBdr>
        <w:tabs>
          <w:tab w:val="left" w:pos="1440"/>
        </w:tabs>
        <w:kinsoku/>
        <w:wordWrap/>
        <w:overflowPunct/>
        <w:topLinePunct w:val="0"/>
        <w:autoSpaceDE/>
        <w:autoSpaceDN/>
        <w:bidi w:val="0"/>
        <w:spacing w:line="560" w:lineRule="exact"/>
        <w:ind w:firstLine="640" w:firstLineChars="200"/>
        <w:jc w:val="left"/>
        <w:textAlignment w:val="auto"/>
        <w:rPr>
          <w:rFonts w:hint="default"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sz w:val="32"/>
          <w:szCs w:val="32"/>
          <w:highlight w:val="none"/>
          <w:lang w:val="en-US" w:eastAsia="zh-CN"/>
        </w:rPr>
        <w:t>坚持三医协同、创新机制，更好发挥战略购买作用</w:t>
      </w:r>
    </w:p>
    <w:p>
      <w:pPr>
        <w:keepNext w:val="0"/>
        <w:keepLines w:val="0"/>
        <w:pageBreakBefore w:val="0"/>
        <w:widowControl/>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left="0" w:right="0" w:rightChars="0" w:firstLine="642" w:firstLineChars="200"/>
        <w:jc w:val="left"/>
        <w:textAlignment w:val="auto"/>
        <w:rPr>
          <w:rFonts w:hint="eastAsia"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一是深化医保支付方式改革。</w:t>
      </w:r>
      <w:r>
        <w:rPr>
          <w:rFonts w:hint="default" w:ascii="Times New Roman" w:hAnsi="Times New Roman" w:eastAsia="仿宋_GB2312" w:cs="Times New Roman"/>
          <w:sz w:val="32"/>
          <w:szCs w:val="32"/>
          <w:highlight w:val="none"/>
          <w:lang w:val="en-US" w:eastAsia="zh-CN"/>
        </w:rPr>
        <w:t>积极推进</w:t>
      </w:r>
      <w:r>
        <w:rPr>
          <w:rFonts w:hint="eastAsia" w:ascii="Times New Roman" w:hAnsi="Times New Roman" w:eastAsia="仿宋_GB2312" w:cs="Times New Roman"/>
          <w:sz w:val="32"/>
          <w:szCs w:val="32"/>
          <w:highlight w:val="none"/>
          <w:lang w:val="en-US" w:eastAsia="zh-CN"/>
        </w:rPr>
        <w:t>我市平稳上线省</w:t>
      </w:r>
      <w:r>
        <w:rPr>
          <w:rFonts w:hint="default" w:ascii="Times New Roman" w:hAnsi="Times New Roman" w:eastAsia="仿宋_GB2312" w:cs="Times New Roman"/>
          <w:sz w:val="32"/>
          <w:szCs w:val="32"/>
          <w:highlight w:val="none"/>
          <w:lang w:val="en-US" w:eastAsia="zh-CN"/>
        </w:rPr>
        <w:t>DRG2.0版本，结合本地医疗服务特色及医保管理实际需求，优化完善系统功能，进一步提升医保支付的精准性与运行效能</w:t>
      </w:r>
      <w:r>
        <w:rPr>
          <w:rFonts w:hint="eastAsia" w:ascii="Times New Roman" w:hAnsi="Times New Roman" w:eastAsia="仿宋_GB2312" w:cs="Times New Roman"/>
          <w:sz w:val="32"/>
          <w:szCs w:val="32"/>
          <w:highlight w:val="none"/>
          <w:lang w:val="en-US" w:eastAsia="zh-CN"/>
        </w:rPr>
        <w:t>，赋能医保部门、医疗机构</w:t>
      </w:r>
      <w:r>
        <w:rPr>
          <w:rFonts w:hint="default" w:ascii="Times New Roman" w:hAnsi="Times New Roman" w:eastAsia="仿宋_GB2312" w:cs="Times New Roman"/>
          <w:sz w:val="32"/>
          <w:szCs w:val="32"/>
          <w:highlight w:val="none"/>
          <w:lang w:val="en-US" w:eastAsia="zh-CN"/>
        </w:rPr>
        <w:t>。积极探索推进紧密型县域医共体医保总额付费。</w:t>
      </w:r>
      <w:r>
        <w:rPr>
          <w:rFonts w:hint="default" w:ascii="Times New Roman" w:hAnsi="Times New Roman" w:eastAsia="仿宋_GB2312" w:cs="Times New Roman"/>
          <w:b/>
          <w:bCs/>
          <w:sz w:val="32"/>
          <w:szCs w:val="32"/>
          <w:highlight w:val="none"/>
          <w:lang w:val="en-US" w:eastAsia="zh-CN"/>
        </w:rPr>
        <w:t>二是深入推进集采政策落地和价格治理。</w:t>
      </w:r>
      <w:r>
        <w:rPr>
          <w:rFonts w:hint="default" w:ascii="Times New Roman" w:hAnsi="Times New Roman" w:eastAsia="仿宋_GB2312" w:cs="Times New Roman"/>
          <w:sz w:val="32"/>
          <w:szCs w:val="32"/>
          <w:highlight w:val="none"/>
          <w:lang w:val="en-US" w:eastAsia="zh-CN"/>
        </w:rPr>
        <w:t>落实国家、省集采成果，减轻群众就医负担。深入推进价格治理，组织实施医药价格监测，规范开展信用评价和信用记分，持续推动民营医疗机构入驻平台采购。</w:t>
      </w:r>
      <w:r>
        <w:rPr>
          <w:rFonts w:hint="default" w:ascii="Times New Roman" w:hAnsi="Times New Roman" w:eastAsia="仿宋_GB2312" w:cs="Times New Roman"/>
          <w:b/>
          <w:bCs/>
          <w:sz w:val="32"/>
          <w:szCs w:val="32"/>
          <w:highlight w:val="none"/>
          <w:lang w:val="en-US" w:eastAsia="zh-CN"/>
        </w:rPr>
        <w:t>三是有序推进医疗服务价格改革。</w:t>
      </w:r>
      <w:r>
        <w:rPr>
          <w:rFonts w:hint="default" w:ascii="Times New Roman" w:hAnsi="Times New Roman" w:eastAsia="仿宋_GB2312" w:cs="Times New Roman"/>
          <w:sz w:val="32"/>
          <w:szCs w:val="32"/>
          <w:highlight w:val="none"/>
          <w:lang w:val="en-US" w:eastAsia="zh-CN"/>
        </w:rPr>
        <w:t>全面推进国家医疗服务价格立项指南落地。根据国家和省局统一部署，制定出台市定价的口腔、眼科等项目价格，贯彻执行省定价的国家立项指南项目价格，加强对医药企业、医疗机构的政策宣贯和解读，确保落地平稳有序。配合国家局做好国家医疗服务价格改革试点总结评估，为全面推进医疗服务价格改革提供苏州经验。</w:t>
      </w:r>
      <w:r>
        <w:rPr>
          <w:rFonts w:hint="default" w:ascii="Times New Roman" w:hAnsi="Times New Roman" w:eastAsia="仿宋_GB2312" w:cs="Times New Roman"/>
          <w:b/>
          <w:bCs/>
          <w:sz w:val="32"/>
          <w:szCs w:val="32"/>
          <w:highlight w:val="none"/>
          <w:lang w:val="en-US" w:eastAsia="zh-CN"/>
        </w:rPr>
        <w:t>四是大力支持生物医药产业发展。</w:t>
      </w:r>
      <w:r>
        <w:rPr>
          <w:rFonts w:hint="default" w:ascii="Times New Roman" w:hAnsi="Times New Roman" w:eastAsia="仿宋_GB2312" w:cs="Times New Roman"/>
          <w:sz w:val="32"/>
          <w:szCs w:val="32"/>
          <w:highlight w:val="none"/>
          <w:lang w:val="en-US" w:eastAsia="zh-CN"/>
        </w:rPr>
        <w:t>牵头推进《苏州市支持创新药高质量发展的实施意见》的落地实施，跟踪政策落地效果。建立“即批即挂”机制，在产品挂网、集中带量采购等方面提前介入给予政策指导。全力做好</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2026年创新药高质量发展大会的筹备组织工作，打造医药产业资源对接和产品展示平台，</w:t>
      </w:r>
      <w:r>
        <w:rPr>
          <w:rFonts w:hint="default" w:ascii="Times New Roman" w:hAnsi="Times New Roman" w:eastAsia="仿宋_GB2312" w:cs="Times New Roman"/>
          <w:sz w:val="32"/>
          <w:szCs w:val="32"/>
          <w:highlight w:val="none"/>
          <w:lang w:val="en-US" w:eastAsia="zh-CN"/>
        </w:rPr>
        <w:t>助推生物医药产业高质量发展。</w:t>
      </w:r>
      <w:r>
        <w:rPr>
          <w:rFonts w:hint="eastAsia" w:ascii="Times New Roman" w:hAnsi="Times New Roman" w:eastAsia="仿宋_GB2312" w:cs="Times New Roman"/>
          <w:sz w:val="32"/>
          <w:szCs w:val="32"/>
          <w:highlight w:val="none"/>
          <w:lang w:val="en-US" w:eastAsia="zh-CN"/>
        </w:rPr>
        <w:t xml:space="preserve">  </w:t>
      </w:r>
    </w:p>
    <w:p>
      <w:pPr>
        <w:keepNext w:val="0"/>
        <w:keepLines w:val="0"/>
        <w:pageBreakBefore w:val="0"/>
        <w:widowControl/>
        <w:numPr>
          <w:ilvl w:val="0"/>
          <w:numId w:val="3"/>
        </w:numPr>
        <w:pBdr>
          <w:bottom w:val="single" w:color="FFFFFF" w:sz="4" w:space="31"/>
        </w:pBdr>
        <w:tabs>
          <w:tab w:val="left" w:pos="1440"/>
        </w:tabs>
        <w:kinsoku/>
        <w:wordWrap/>
        <w:overflowPunct/>
        <w:topLinePunct w:val="0"/>
        <w:autoSpaceDE/>
        <w:autoSpaceDN/>
        <w:bidi w:val="0"/>
        <w:spacing w:line="560" w:lineRule="exact"/>
        <w:ind w:firstLine="640" w:firstLineChars="200"/>
        <w:jc w:val="left"/>
        <w:textAlignment w:val="auto"/>
        <w:rPr>
          <w:rFonts w:hint="default"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sz w:val="32"/>
          <w:szCs w:val="32"/>
          <w:highlight w:val="none"/>
          <w:lang w:val="en-US" w:eastAsia="zh-CN"/>
        </w:rPr>
        <w:t>坚持数字赋能、智慧驱动，加快推进医保治理转型升级</w:t>
      </w:r>
    </w:p>
    <w:p>
      <w:pPr>
        <w:keepNext w:val="0"/>
        <w:keepLines w:val="0"/>
        <w:pageBreakBefore w:val="0"/>
        <w:widowControl/>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left="0" w:right="0" w:rightChars="0" w:firstLine="640" w:firstLineChars="200"/>
        <w:jc w:val="lef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深入推进人工智能与医保业务深度融合，聚焦辅助决策、基金监管、公共服务等关键领域推广应用人工智能AI技术，不断提升医保决策的科学性、客观性和管理服务效能。</w:t>
      </w:r>
      <w:r>
        <w:rPr>
          <w:rFonts w:hint="default" w:ascii="Times New Roman" w:hAnsi="Times New Roman" w:eastAsia="仿宋_GB2312" w:cs="Times New Roman"/>
          <w:b/>
          <w:bCs/>
          <w:sz w:val="32"/>
          <w:szCs w:val="32"/>
          <w:highlight w:val="none"/>
          <w:lang w:val="en-US" w:eastAsia="zh-CN"/>
        </w:rPr>
        <w:t>一是强化数据归集治理。</w:t>
      </w:r>
      <w:r>
        <w:rPr>
          <w:rFonts w:hint="default" w:ascii="Times New Roman" w:hAnsi="Times New Roman" w:eastAsia="仿宋_GB2312" w:cs="Times New Roman"/>
          <w:sz w:val="32"/>
          <w:szCs w:val="32"/>
          <w:highlight w:val="none"/>
          <w:lang w:val="en-US" w:eastAsia="zh-CN"/>
        </w:rPr>
        <w:t>督促定点医疗机构全面、及时、准确上传电子病历、检查检验结果、病理报告等核心诊疗数据至</w:t>
      </w:r>
      <w:r>
        <w:rPr>
          <w:rFonts w:hint="eastAsia" w:ascii="Times New Roman" w:hAnsi="Times New Roman" w:eastAsia="仿宋_GB2312" w:cs="Times New Roman"/>
          <w:sz w:val="32"/>
          <w:szCs w:val="32"/>
          <w:highlight w:val="none"/>
          <w:lang w:val="en-US" w:eastAsia="zh-CN"/>
        </w:rPr>
        <w:t>我市</w:t>
      </w:r>
      <w:r>
        <w:rPr>
          <w:rFonts w:hint="default" w:ascii="Times New Roman" w:hAnsi="Times New Roman" w:eastAsia="仿宋_GB2312" w:cs="Times New Roman"/>
          <w:sz w:val="32"/>
          <w:szCs w:val="32"/>
          <w:highlight w:val="none"/>
          <w:lang w:val="en-US" w:eastAsia="zh-CN"/>
        </w:rPr>
        <w:t>医保信息平台，筑牢智慧医保数据底座。全面落实药品追溯码采集应用，严格执行“无码不付”政策，确保药品流通全程可溯、支付合规。常态化推进数据质量治理，持续开展“走流程、找堵点，用数据、挑毛病”行动，重点加强对两定机构上传数据的清洗、校验与结构化处理，切实提升数据的完整性、一致性与业务适配度。</w:t>
      </w:r>
      <w:r>
        <w:rPr>
          <w:rFonts w:hint="default" w:ascii="Times New Roman" w:hAnsi="Times New Roman" w:eastAsia="仿宋_GB2312" w:cs="Times New Roman"/>
          <w:b/>
          <w:bCs/>
          <w:sz w:val="32"/>
          <w:szCs w:val="32"/>
          <w:highlight w:val="none"/>
          <w:lang w:val="en-US" w:eastAsia="zh-CN"/>
        </w:rPr>
        <w:t>二是深化全流程智能监管。</w:t>
      </w:r>
      <w:r>
        <w:rPr>
          <w:rFonts w:hint="default" w:ascii="Times New Roman" w:hAnsi="Times New Roman" w:eastAsia="仿宋_GB2312" w:cs="Times New Roman"/>
          <w:sz w:val="32"/>
          <w:szCs w:val="32"/>
          <w:highlight w:val="none"/>
          <w:lang w:val="en-US" w:eastAsia="zh-CN"/>
        </w:rPr>
        <w:t>加快构建“人工智能+基金监管”新模式，打造“1套监管数据指标库、1套风险防控体系、若干场景化智能模型”的“1+1+AI”智能监管体系。持续优化DRG支付、康复治疗等已建监管模型，增强对隐蔽性、复杂性违规行为的识别与打击能力。用好药店综合监管平台，深化与药监</w:t>
      </w:r>
      <w:r>
        <w:rPr>
          <w:rFonts w:hint="eastAsia" w:ascii="Times New Roman" w:hAnsi="Times New Roman" w:eastAsia="仿宋_GB2312" w:cs="Times New Roman"/>
          <w:sz w:val="32"/>
          <w:szCs w:val="32"/>
          <w:highlight w:val="none"/>
          <w:lang w:val="en-US" w:eastAsia="zh-CN"/>
        </w:rPr>
        <w:t>、市场监管</w:t>
      </w:r>
      <w:r>
        <w:rPr>
          <w:rFonts w:hint="default" w:ascii="Times New Roman" w:hAnsi="Times New Roman" w:eastAsia="仿宋_GB2312" w:cs="Times New Roman"/>
          <w:sz w:val="32"/>
          <w:szCs w:val="32"/>
          <w:highlight w:val="none"/>
          <w:lang w:val="en-US" w:eastAsia="zh-CN"/>
        </w:rPr>
        <w:t>等部门的数据协同，提升药店监管效能。深化挂网审核、价格预警与趋势分析智能体应用，提升价格监管的前瞻性与精准性。</w:t>
      </w:r>
      <w:r>
        <w:rPr>
          <w:rFonts w:hint="default" w:ascii="Times New Roman" w:hAnsi="Times New Roman" w:eastAsia="仿宋_GB2312" w:cs="Times New Roman"/>
          <w:b/>
          <w:bCs/>
          <w:sz w:val="32"/>
          <w:szCs w:val="32"/>
          <w:highlight w:val="none"/>
          <w:lang w:val="en-US" w:eastAsia="zh-CN"/>
        </w:rPr>
        <w:t>三是拓展智能服务场景。</w:t>
      </w:r>
      <w:r>
        <w:rPr>
          <w:rFonts w:hint="default" w:ascii="Times New Roman" w:hAnsi="Times New Roman" w:eastAsia="仿宋_GB2312" w:cs="Times New Roman"/>
          <w:sz w:val="32"/>
          <w:szCs w:val="32"/>
          <w:highlight w:val="none"/>
          <w:lang w:val="en-US" w:eastAsia="zh-CN"/>
        </w:rPr>
        <w:t>依托省级医保地方数据专区，优先保障医保系统内部管理和公共服务需求。加快推广“刷脸支付”“医保码支付”“移动支付”“信用</w:t>
      </w:r>
      <w:r>
        <w:rPr>
          <w:rFonts w:hint="eastAsia" w:ascii="Times New Roman" w:hAnsi="Times New Roman" w:eastAsia="仿宋_GB2312" w:cs="Times New Roman"/>
          <w:sz w:val="32"/>
          <w:szCs w:val="32"/>
          <w:highlight w:val="none"/>
          <w:lang w:val="en-US" w:eastAsia="zh-CN"/>
        </w:rPr>
        <w:t>支付</w:t>
      </w:r>
      <w:r>
        <w:rPr>
          <w:rFonts w:hint="default" w:ascii="Times New Roman" w:hAnsi="Times New Roman" w:eastAsia="仿宋_GB2312" w:cs="Times New Roman"/>
          <w:sz w:val="32"/>
          <w:szCs w:val="32"/>
          <w:highlight w:val="none"/>
          <w:lang w:val="en-US" w:eastAsia="zh-CN"/>
        </w:rPr>
        <w:t>”等新型结算方式，构建安全、高效、无缝衔接的医保支付生态。做优“真实世界医保综合价值评价”国家试点，组建跨部门专业技术团队，强化三医数据汇集整合，细化临床有效性、经济性、患者体验等多维度评价细则，引导医疗资源向高价值服务倾斜，为构建统一规范的医保综合价值评价标准贡献苏州办法。积极推进“三医”数据协同平台、医保影像云</w:t>
      </w:r>
      <w:r>
        <w:rPr>
          <w:rFonts w:hint="eastAsia" w:ascii="Times New Roman" w:hAnsi="Times New Roman" w:eastAsia="仿宋_GB2312" w:cs="Times New Roman"/>
          <w:sz w:val="32"/>
          <w:szCs w:val="32"/>
          <w:highlight w:val="none"/>
          <w:lang w:val="en-US" w:eastAsia="zh-CN"/>
        </w:rPr>
        <w:t>、个人医保云</w:t>
      </w:r>
      <w:r>
        <w:rPr>
          <w:rFonts w:hint="default" w:ascii="Times New Roman" w:hAnsi="Times New Roman" w:eastAsia="仿宋_GB2312" w:cs="Times New Roman"/>
          <w:sz w:val="32"/>
          <w:szCs w:val="32"/>
          <w:highlight w:val="none"/>
          <w:lang w:val="en-US" w:eastAsia="zh-CN"/>
        </w:rPr>
        <w:t>等重点项目建设，探索合规、安全的数据赋能路径，支持商业保险产品开发和“一键快赔”等创新服务，助力医药产业和健康保险协同发展。组织开展医保数字化“比学亮赛”活动，鼓励基层首创精神，围绕参保服务、基金监管、支付结算、异地就医、长护评估、药品追溯等重点场景，开发具有地方特色、可复制推广的数字医保应用新模式。</w:t>
      </w:r>
      <w:r>
        <w:rPr>
          <w:rFonts w:hint="default" w:ascii="Times New Roman" w:hAnsi="Times New Roman" w:eastAsia="仿宋_GB2312" w:cs="Times New Roman"/>
          <w:b/>
          <w:bCs/>
          <w:sz w:val="32"/>
          <w:szCs w:val="32"/>
          <w:highlight w:val="none"/>
          <w:lang w:val="en-US" w:eastAsia="zh-CN"/>
        </w:rPr>
        <w:t>四是压实网络安全责任。</w:t>
      </w:r>
      <w:r>
        <w:rPr>
          <w:rFonts w:hint="default" w:ascii="Times New Roman" w:hAnsi="Times New Roman" w:eastAsia="仿宋_GB2312" w:cs="Times New Roman"/>
          <w:sz w:val="32"/>
          <w:szCs w:val="32"/>
          <w:highlight w:val="none"/>
          <w:lang w:val="en-US" w:eastAsia="zh-CN"/>
        </w:rPr>
        <w:t>落实“原始数据不出域、数据可用不可见”原则，加强医保网络与信息平台全生命周期安全管理，稳妥推进医保专网整合并入新一代电子政务外网。强化医保数据使用全过程监管，动态调整数据库账号权限，严格第三方人员准入与操作管理，定期开展数据查询使用行为的监测与审计，坚决防范数据泄露和滥用风险。</w:t>
      </w:r>
    </w:p>
    <w:p>
      <w:pPr>
        <w:keepNext w:val="0"/>
        <w:keepLines w:val="0"/>
        <w:pageBreakBefore w:val="0"/>
        <w:widowControl/>
        <w:numPr>
          <w:ilvl w:val="0"/>
          <w:numId w:val="3"/>
        </w:numPr>
        <w:pBdr>
          <w:bottom w:val="single" w:color="FFFFFF" w:sz="4" w:space="31"/>
        </w:pBdr>
        <w:tabs>
          <w:tab w:val="left" w:pos="1440"/>
        </w:tabs>
        <w:kinsoku/>
        <w:wordWrap/>
        <w:overflowPunct/>
        <w:topLinePunct w:val="0"/>
        <w:autoSpaceDE/>
        <w:autoSpaceDN/>
        <w:bidi w:val="0"/>
        <w:spacing w:line="560" w:lineRule="exact"/>
        <w:ind w:firstLine="640" w:firstLineChars="200"/>
        <w:jc w:val="left"/>
        <w:textAlignment w:val="auto"/>
        <w:rPr>
          <w:rFonts w:hint="default"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sz w:val="32"/>
          <w:szCs w:val="32"/>
          <w:highlight w:val="none"/>
          <w:lang w:val="en-US" w:eastAsia="zh-CN"/>
        </w:rPr>
        <w:t>坚持均衡可及、惠民利企，不断提升公共服务质效</w:t>
      </w:r>
    </w:p>
    <w:p>
      <w:pPr>
        <w:keepNext w:val="0"/>
        <w:keepLines w:val="0"/>
        <w:pageBreakBefore w:val="0"/>
        <w:widowControl/>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left="0" w:right="0" w:rightChars="0" w:firstLine="642" w:firstLineChars="200"/>
        <w:jc w:val="left"/>
        <w:textAlignment w:val="auto"/>
        <w:rPr>
          <w:rFonts w:hint="eastAsia"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一是提升群众办事体验。</w:t>
      </w:r>
      <w:r>
        <w:rPr>
          <w:rFonts w:hint="default" w:ascii="Times New Roman" w:hAnsi="Times New Roman" w:eastAsia="仿宋_GB2312" w:cs="Times New Roman"/>
          <w:sz w:val="32"/>
          <w:szCs w:val="32"/>
          <w:highlight w:val="none"/>
          <w:lang w:val="en-US" w:eastAsia="zh-CN"/>
        </w:rPr>
        <w:t>持续完善市、县、乡、村四级医保服务网络，落实最新版政务服务事项清单和办事指南，推进服务标准化、规范化。强化市区协同联动，推动医保领域“基层高频事项一平台办理”落地运行。加快推动跨部门业务协同，落实基层医保公共服务综合（全科）试点要求，提升医保服务效能。全面落实“高效办成一件事”，简环节、减材料、压时限，实现高频事项一站式办理。持续做好异地就医直接结算服务。</w:t>
      </w:r>
      <w:r>
        <w:rPr>
          <w:rFonts w:hint="default" w:ascii="Times New Roman" w:hAnsi="Times New Roman" w:eastAsia="仿宋_GB2312" w:cs="Times New Roman"/>
          <w:b/>
          <w:bCs/>
          <w:sz w:val="32"/>
          <w:szCs w:val="32"/>
          <w:highlight w:val="none"/>
          <w:lang w:val="en-US" w:eastAsia="zh-CN"/>
        </w:rPr>
        <w:t>二是创新推动服务提质。</w:t>
      </w:r>
      <w:r>
        <w:rPr>
          <w:rFonts w:hint="default" w:ascii="Times New Roman" w:hAnsi="Times New Roman" w:eastAsia="仿宋_GB2312" w:cs="Times New Roman"/>
          <w:sz w:val="32"/>
          <w:szCs w:val="32"/>
          <w:highlight w:val="none"/>
          <w:lang w:val="en-US" w:eastAsia="zh-CN"/>
        </w:rPr>
        <w:t>围绕国家和省定重点事项，用好大数据精准推送，扩大“免申即享”覆盖面，实现更多服务事项“好办易办”。落实职工医保个账跨省共济改革新方案，实现业务流、资金流和信息流一体化运行管理。继续深化医保AI智能服务平台建设，推动医保服务从“线上能办”迈向“协同智办”。充分发挥12393热线智能客服优势，畅通群众咨询反馈主渠道。持续推进</w:t>
      </w:r>
      <w:r>
        <w:rPr>
          <w:rFonts w:hint="eastAsia" w:ascii="Times New Roman" w:hAnsi="Times New Roman" w:eastAsia="仿宋_GB2312" w:cs="Times New Roman"/>
          <w:sz w:val="32"/>
          <w:szCs w:val="32"/>
          <w:highlight w:val="none"/>
          <w:lang w:val="en-US" w:eastAsia="zh-CN"/>
        </w:rPr>
        <w:t>个人账户线上购药试点和</w:t>
      </w:r>
      <w:r>
        <w:rPr>
          <w:rFonts w:hint="default" w:ascii="Times New Roman" w:hAnsi="Times New Roman" w:eastAsia="仿宋_GB2312" w:cs="Times New Roman"/>
          <w:sz w:val="32"/>
          <w:szCs w:val="32"/>
          <w:highlight w:val="none"/>
          <w:lang w:val="en-US" w:eastAsia="zh-CN"/>
        </w:rPr>
        <w:t>互联网处方平台建设，优化电子处方共享与医保结算衔接机制，改善参保群众就医购药的便捷性与体验感。</w:t>
      </w:r>
      <w:r>
        <w:rPr>
          <w:rFonts w:hint="default" w:ascii="Times New Roman" w:hAnsi="Times New Roman" w:eastAsia="仿宋_GB2312" w:cs="Times New Roman"/>
          <w:b/>
          <w:bCs/>
          <w:sz w:val="32"/>
          <w:szCs w:val="32"/>
          <w:highlight w:val="none"/>
          <w:lang w:val="en-US" w:eastAsia="zh-CN"/>
        </w:rPr>
        <w:t>三是深入推进医保基金即时结算改革。</w:t>
      </w:r>
      <w:r>
        <w:rPr>
          <w:rFonts w:hint="default" w:ascii="Times New Roman" w:hAnsi="Times New Roman" w:eastAsia="仿宋_GB2312" w:cs="Times New Roman"/>
          <w:sz w:val="32"/>
          <w:szCs w:val="32"/>
          <w:highlight w:val="none"/>
          <w:lang w:val="en-US" w:eastAsia="zh-CN"/>
        </w:rPr>
        <w:t>探索将二级及以上定点医疗机构纳入即时结算范围，同时按照预付基层机构数量不少于机构总数70%的标准，扩大预付范围，进一步提升即时结算资金占本地医保基金月结算资金的占比。</w:t>
      </w:r>
    </w:p>
    <w:p>
      <w:pPr>
        <w:keepNext w:val="0"/>
        <w:keepLines w:val="0"/>
        <w:pageBreakBefore w:val="0"/>
        <w:widowControl/>
        <w:numPr>
          <w:ilvl w:val="0"/>
          <w:numId w:val="0"/>
        </w:numPr>
        <w:pBdr>
          <w:bottom w:val="single" w:color="FFFFFF" w:sz="4" w:space="31"/>
        </w:pBdr>
        <w:tabs>
          <w:tab w:val="left" w:pos="1440"/>
        </w:tabs>
        <w:kinsoku/>
        <w:wordWrap/>
        <w:overflowPunct/>
        <w:topLinePunct w:val="0"/>
        <w:autoSpaceDE/>
        <w:autoSpaceDN/>
        <w:bidi w:val="0"/>
        <w:spacing w:line="560" w:lineRule="exact"/>
        <w:ind w:firstLine="640" w:firstLineChars="200"/>
        <w:jc w:val="left"/>
        <w:textAlignment w:val="auto"/>
        <w:rPr>
          <w:rFonts w:hint="default" w:ascii="Times New Roman" w:hAnsi="Times New Roman" w:eastAsia="楷体_GB2312" w:cs="Times New Roman"/>
          <w:sz w:val="32"/>
          <w:szCs w:val="32"/>
          <w:highlight w:val="none"/>
          <w:lang w:val="en-US" w:eastAsia="zh-CN"/>
        </w:rPr>
      </w:pPr>
      <w:r>
        <w:rPr>
          <w:rFonts w:hint="eastAsia" w:ascii="Times New Roman" w:hAnsi="Times New Roman" w:eastAsia="楷体_GB2312" w:cs="Times New Roman"/>
          <w:sz w:val="32"/>
          <w:szCs w:val="32"/>
          <w:highlight w:val="none"/>
          <w:lang w:val="en-US" w:eastAsia="zh-CN"/>
        </w:rPr>
        <w:t>（六）</w:t>
      </w:r>
      <w:r>
        <w:rPr>
          <w:rFonts w:hint="default" w:ascii="Times New Roman" w:hAnsi="Times New Roman" w:eastAsia="楷体_GB2312" w:cs="Times New Roman"/>
          <w:sz w:val="32"/>
          <w:szCs w:val="32"/>
          <w:highlight w:val="none"/>
          <w:lang w:val="en-US" w:eastAsia="zh-CN"/>
        </w:rPr>
        <w:t>坚持党建引领、担当作为，全面加强医保队伍建设</w:t>
      </w:r>
    </w:p>
    <w:p>
      <w:pPr>
        <w:keepNext w:val="0"/>
        <w:keepLines w:val="0"/>
        <w:pageBreakBefore w:val="0"/>
        <w:widowControl/>
        <w:numPr>
          <w:ilvl w:val="0"/>
          <w:numId w:val="0"/>
        </w:numPr>
        <w:pBdr>
          <w:bottom w:val="single" w:color="FFFFFF" w:sz="4" w:space="31"/>
        </w:pBdr>
        <w:tabs>
          <w:tab w:val="left" w:pos="1440"/>
        </w:tabs>
        <w:kinsoku/>
        <w:wordWrap/>
        <w:overflowPunct/>
        <w:topLinePunct w:val="0"/>
        <w:autoSpaceDE/>
        <w:autoSpaceDN/>
        <w:bidi w:val="0"/>
        <w:spacing w:line="560" w:lineRule="exact"/>
        <w:ind w:firstLine="642" w:firstLineChars="200"/>
        <w:jc w:val="lef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一是突出政治引领。</w:t>
      </w:r>
      <w:r>
        <w:rPr>
          <w:rFonts w:hint="default" w:ascii="Times New Roman" w:hAnsi="Times New Roman" w:eastAsia="仿宋_GB2312" w:cs="Times New Roman"/>
          <w:sz w:val="32"/>
          <w:szCs w:val="32"/>
          <w:highlight w:val="none"/>
          <w:lang w:val="en-US" w:eastAsia="zh-CN"/>
        </w:rPr>
        <w:t>坚持把党的政治建设摆在首位，将学懂弄通做实习近平新时代中国特色社会主义思想和学习贯彻落实党的二十届四中全会精神作为首要政治任务，深刻领悟“两个确立”的决定性意义，增强“四个意识”、坚定“四个自信”、做到“两个维护”，认真学习贯彻</w:t>
      </w:r>
      <w:r>
        <w:rPr>
          <w:rFonts w:hint="default" w:ascii="Times New Roman" w:hAnsi="Times New Roman" w:eastAsia="仿宋_GB2312" w:cs="Times New Roman"/>
          <w:b w:val="0"/>
          <w:bCs/>
          <w:sz w:val="32"/>
          <w:szCs w:val="32"/>
          <w:highlight w:val="none"/>
          <w:lang w:val="en-US" w:eastAsia="zh-CN"/>
        </w:rPr>
        <w:t>习近平总书记关于医保工作重要讲话重要指示批示精神。自觉把医保工作融入全市经济社会发展大局，确保党的全面领导贯彻落实医保领域全过程、各方面。</w:t>
      </w:r>
      <w:r>
        <w:rPr>
          <w:rFonts w:hint="default" w:ascii="Times New Roman" w:hAnsi="Times New Roman" w:eastAsia="仿宋_GB2312" w:cs="Times New Roman"/>
          <w:b/>
          <w:bCs/>
          <w:sz w:val="32"/>
          <w:szCs w:val="32"/>
          <w:highlight w:val="none"/>
          <w:lang w:val="en-US" w:eastAsia="zh-CN"/>
        </w:rPr>
        <w:t>二是加强党建业务融合驱动。</w:t>
      </w:r>
      <w:r>
        <w:rPr>
          <w:rFonts w:hint="default" w:ascii="Times New Roman" w:hAnsi="Times New Roman" w:eastAsia="仿宋_GB2312" w:cs="Times New Roman"/>
          <w:sz w:val="32"/>
          <w:szCs w:val="32"/>
          <w:highlight w:val="none"/>
          <w:lang w:val="en-US" w:eastAsia="zh-CN"/>
        </w:rPr>
        <w:t>充分发挥党建引领作用、党支部战斗堡垒作用和党员先锋模范作用，重点围绕市委“三服务”工作要求，扎实做好年度“书记项目”，切实做优“医保AI智能经办服务”“困难群众医疗费用纾困工程”“长期照护服务提升行动”等民生实事项目，将党建优势转化为保障民生的发展优势。要加强宣传平台管理，健全宣传内容审核与发布制度，强化舆情监测和全流程管控。</w:t>
      </w:r>
      <w:r>
        <w:rPr>
          <w:rFonts w:hint="default" w:ascii="Times New Roman" w:hAnsi="Times New Roman" w:eastAsia="仿宋_GB2312" w:cs="Times New Roman"/>
          <w:b/>
          <w:bCs/>
          <w:sz w:val="32"/>
          <w:szCs w:val="32"/>
          <w:highlight w:val="none"/>
          <w:lang w:val="en-US" w:eastAsia="zh-CN"/>
        </w:rPr>
        <w:t>三是强化法治政府建设的组织保障。</w:t>
      </w:r>
      <w:r>
        <w:rPr>
          <w:rFonts w:hint="default" w:ascii="Times New Roman" w:hAnsi="Times New Roman" w:eastAsia="仿宋_GB2312" w:cs="Times New Roman"/>
          <w:snapToGrid/>
          <w:color w:val="000000"/>
          <w:kern w:val="2"/>
          <w:sz w:val="32"/>
          <w:szCs w:val="32"/>
          <w:highlight w:val="none"/>
          <w:lang w:val="en-US" w:eastAsia="zh-CN" w:bidi="ar-SA"/>
        </w:rPr>
        <w:t>坚持把党的领导贯彻到法治政府建设各方面，</w:t>
      </w:r>
      <w:r>
        <w:rPr>
          <w:rFonts w:hint="default" w:ascii="Times New Roman" w:hAnsi="Times New Roman" w:eastAsia="仿宋_GB2312" w:cs="Times New Roman"/>
          <w:b w:val="0"/>
          <w:bCs w:val="0"/>
          <w:kern w:val="2"/>
          <w:sz w:val="32"/>
          <w:szCs w:val="32"/>
          <w:highlight w:val="none"/>
          <w:lang w:val="en-US" w:eastAsia="zh-CN"/>
        </w:rPr>
        <w:t>深入学习贯彻习近平法治思想</w:t>
      </w:r>
      <w:r>
        <w:rPr>
          <w:rFonts w:hint="default" w:ascii="Times New Roman" w:hAnsi="Times New Roman" w:eastAsia="仿宋_GB2312" w:cs="Times New Roman"/>
          <w:snapToGrid/>
          <w:color w:val="000000"/>
          <w:kern w:val="2"/>
          <w:sz w:val="32"/>
          <w:szCs w:val="32"/>
          <w:highlight w:val="none"/>
          <w:lang w:val="en-US" w:eastAsia="zh-CN" w:bidi="ar-SA"/>
        </w:rPr>
        <w:t>，常态化开展学法培训，提升</w:t>
      </w:r>
      <w:r>
        <w:rPr>
          <w:rFonts w:hint="eastAsia" w:ascii="Times New Roman" w:hAnsi="Times New Roman" w:eastAsia="仿宋_GB2312" w:cs="Times New Roman"/>
          <w:snapToGrid/>
          <w:kern w:val="2"/>
          <w:sz w:val="32"/>
          <w:szCs w:val="32"/>
          <w:highlight w:val="none"/>
          <w:lang w:val="en-US" w:eastAsia="zh-CN" w:bidi="ar-SA"/>
        </w:rPr>
        <w:t>干部队伍</w:t>
      </w:r>
      <w:r>
        <w:rPr>
          <w:rFonts w:hint="default" w:ascii="Times New Roman" w:hAnsi="Times New Roman" w:eastAsia="仿宋_GB2312" w:cs="Times New Roman"/>
          <w:snapToGrid/>
          <w:color w:val="000000"/>
          <w:kern w:val="2"/>
          <w:sz w:val="32"/>
          <w:szCs w:val="32"/>
          <w:highlight w:val="none"/>
          <w:lang w:val="en-US" w:eastAsia="zh-CN" w:bidi="ar-SA"/>
        </w:rPr>
        <w:t>的法治素养和依法行政能力</w:t>
      </w:r>
      <w:r>
        <w:rPr>
          <w:rFonts w:hint="default" w:ascii="Times New Roman" w:hAnsi="Times New Roman" w:eastAsia="仿宋_GB2312" w:cs="Times New Roman"/>
          <w:snapToGrid/>
          <w:kern w:val="2"/>
          <w:sz w:val="32"/>
          <w:szCs w:val="32"/>
          <w:highlight w:val="none"/>
          <w:lang w:eastAsia="zh-CN"/>
        </w:rPr>
        <w:t>。</w:t>
      </w:r>
      <w:r>
        <w:rPr>
          <w:rFonts w:hint="default" w:ascii="Times New Roman" w:hAnsi="Times New Roman" w:eastAsia="仿宋_GB2312" w:cs="Times New Roman"/>
          <w:snapToGrid/>
          <w:color w:val="000000"/>
          <w:kern w:val="2"/>
          <w:sz w:val="32"/>
          <w:szCs w:val="32"/>
          <w:highlight w:val="none"/>
          <w:lang w:val="en-US" w:eastAsia="zh-CN" w:bidi="ar-SA"/>
        </w:rPr>
        <w:t>落实信访工作法治化要求，建好用好信访综合管理平台，</w:t>
      </w:r>
      <w:r>
        <w:rPr>
          <w:rFonts w:hint="default" w:ascii="Times New Roman" w:hAnsi="Times New Roman" w:eastAsia="仿宋_GB2312" w:cs="Times New Roman"/>
          <w:snapToGrid/>
          <w:kern w:val="2"/>
          <w:sz w:val="32"/>
          <w:szCs w:val="32"/>
          <w:highlight w:val="none"/>
          <w:lang w:val="en-US" w:eastAsia="zh-CN"/>
        </w:rPr>
        <w:t>提升依法化解矛盾纠纷能力。</w:t>
      </w:r>
      <w:r>
        <w:rPr>
          <w:rFonts w:hint="default" w:ascii="Times New Roman" w:hAnsi="Times New Roman" w:eastAsia="仿宋_GB2312" w:cs="Times New Roman"/>
          <w:sz w:val="32"/>
          <w:szCs w:val="32"/>
          <w:highlight w:val="none"/>
          <w:lang w:val="en-US" w:eastAsia="zh-CN"/>
        </w:rPr>
        <w:t>高质量推进《苏州市医疗保障办法》制定工作，规范健全医疗保障制度体系，提升医保法治化水平。</w:t>
      </w:r>
      <w:r>
        <w:rPr>
          <w:rFonts w:hint="eastAsia" w:ascii="Times New Roman" w:hAnsi="Times New Roman" w:eastAsia="仿宋_GB2312" w:cs="Times New Roman"/>
          <w:b/>
          <w:bCs/>
          <w:sz w:val="32"/>
          <w:szCs w:val="32"/>
          <w:highlight w:val="none"/>
          <w:lang w:val="en-US" w:eastAsia="zh-CN"/>
        </w:rPr>
        <w:t>四</w:t>
      </w:r>
      <w:r>
        <w:rPr>
          <w:rFonts w:hint="default" w:ascii="Times New Roman" w:hAnsi="Times New Roman" w:eastAsia="仿宋_GB2312" w:cs="Times New Roman"/>
          <w:b/>
          <w:bCs/>
          <w:sz w:val="32"/>
          <w:szCs w:val="32"/>
          <w:highlight w:val="none"/>
          <w:lang w:val="en-US" w:eastAsia="zh-CN"/>
        </w:rPr>
        <w:t>是打造风清气正</w:t>
      </w:r>
      <w:r>
        <w:rPr>
          <w:rFonts w:hint="eastAsia" w:ascii="Times New Roman" w:hAnsi="Times New Roman" w:eastAsia="仿宋_GB2312" w:cs="Times New Roman"/>
          <w:b/>
          <w:bCs/>
          <w:sz w:val="32"/>
          <w:szCs w:val="32"/>
          <w:highlight w:val="none"/>
          <w:lang w:val="en-US" w:eastAsia="zh-CN"/>
        </w:rPr>
        <w:t>的</w:t>
      </w:r>
      <w:r>
        <w:rPr>
          <w:rFonts w:hint="default" w:ascii="Times New Roman" w:hAnsi="Times New Roman" w:eastAsia="仿宋_GB2312" w:cs="Times New Roman"/>
          <w:b/>
          <w:bCs/>
          <w:sz w:val="32"/>
          <w:szCs w:val="32"/>
          <w:highlight w:val="none"/>
          <w:lang w:val="en-US" w:eastAsia="zh-CN"/>
        </w:rPr>
        <w:t>政治生态。</w:t>
      </w:r>
      <w:r>
        <w:rPr>
          <w:rFonts w:hint="default" w:ascii="Times New Roman" w:hAnsi="Times New Roman" w:eastAsia="仿宋_GB2312" w:cs="Times New Roman"/>
          <w:sz w:val="32"/>
          <w:szCs w:val="32"/>
          <w:highlight w:val="none"/>
          <w:lang w:val="en-US" w:eastAsia="zh-CN"/>
        </w:rPr>
        <w:t xml:space="preserve">压实全面从严治党“两个责任”，认真学习贯彻二十届中央纪委五次全会精神，锲而不舍落实中央八项规定精神，深入推进整治形式主义为基层减负，全面落实过紧日子要求。支持配合派驻纪检组开展“嵌入式”监督执纪。聚焦基金监管、数字化建设等廉政风险高发领域，完善制度约束机制，常态化开展廉政警示教育，构建全流程廉政风险防控体系。要持续强化党员干部思想淬炼、政治历练、实践锻炼、专业训练，推行上挂下派、横向交流，多措并举提升医保专业化水平。以“严”的主基调和“实”的主旋律，营造风清气正的政治生态，确保医保基金安全、干部队伍廉洁。 </w:t>
      </w:r>
    </w:p>
    <w:p>
      <w:pPr>
        <w:pStyle w:val="2"/>
        <w:keepLines w:val="0"/>
        <w:pageBreakBefore w:val="0"/>
        <w:numPr>
          <w:ilvl w:val="0"/>
          <w:numId w:val="0"/>
        </w:numPr>
        <w:pBdr>
          <w:bottom w:val="single" w:color="FFFFFF" w:sz="4" w:space="31"/>
        </w:pBdr>
        <w:wordWrap/>
        <w:overflowPunct/>
        <w:bidi w:val="0"/>
        <w:adjustRightInd/>
        <w:snapToGrid/>
        <w:ind w:firstLine="616" w:firstLineChars="200"/>
        <w:textAlignment w:val="auto"/>
        <w:rPr>
          <w:rFonts w:hint="eastAsia" w:ascii="Times New Roman" w:hAnsi="Times New Roman" w:cs="Times New Roman"/>
          <w:sz w:val="32"/>
          <w:szCs w:val="32"/>
          <w:highlight w:val="none"/>
          <w:lang w:val="en-US" w:eastAsia="zh-CN"/>
        </w:rPr>
      </w:pPr>
    </w:p>
    <w:p>
      <w:pPr>
        <w:pStyle w:val="2"/>
        <w:keepLines w:val="0"/>
        <w:pageBreakBefore w:val="0"/>
        <w:numPr>
          <w:ilvl w:val="0"/>
          <w:numId w:val="0"/>
        </w:numPr>
        <w:pBdr>
          <w:bottom w:val="single" w:color="FFFFFF" w:sz="4" w:space="31"/>
        </w:pBdr>
        <w:wordWrap/>
        <w:overflowPunct/>
        <w:bidi w:val="0"/>
        <w:adjustRightInd/>
        <w:snapToGrid/>
        <w:ind w:firstLine="616" w:firstLineChars="200"/>
        <w:textAlignment w:val="auto"/>
        <w:rPr>
          <w:rFonts w:hint="eastAsia" w:ascii="Times New Roman" w:hAnsi="Times New Roman" w:cs="Times New Roman"/>
          <w:sz w:val="32"/>
          <w:szCs w:val="32"/>
          <w:highlight w:val="none"/>
          <w:lang w:val="en-US" w:eastAsia="zh-CN"/>
        </w:rPr>
      </w:pPr>
    </w:p>
    <w:p>
      <w:pPr>
        <w:pStyle w:val="2"/>
        <w:keepLines w:val="0"/>
        <w:pageBreakBefore w:val="0"/>
        <w:numPr>
          <w:ilvl w:val="0"/>
          <w:numId w:val="0"/>
        </w:numPr>
        <w:pBdr>
          <w:bottom w:val="single" w:color="FFFFFF" w:sz="4" w:space="31"/>
        </w:pBdr>
        <w:wordWrap/>
        <w:overflowPunct/>
        <w:bidi w:val="0"/>
        <w:adjustRightInd/>
        <w:snapToGrid/>
        <w:ind w:firstLine="616" w:firstLineChars="200"/>
        <w:jc w:val="center"/>
        <w:textAlignment w:val="auto"/>
        <w:rPr>
          <w:rFonts w:hint="default" w:ascii="Times New Roman" w:hAnsi="Times New Roman" w:cs="Times New Roman"/>
          <w:sz w:val="32"/>
          <w:szCs w:val="32"/>
          <w:highlight w:val="none"/>
          <w:lang w:val="en-US" w:eastAsia="zh-CN"/>
        </w:rPr>
      </w:pPr>
      <w:r>
        <w:rPr>
          <w:rFonts w:hint="eastAsia" w:ascii="Times New Roman" w:hAnsi="Times New Roman" w:cs="Times New Roman"/>
          <w:sz w:val="32"/>
          <w:szCs w:val="32"/>
          <w:highlight w:val="none"/>
          <w:lang w:val="en-US" w:eastAsia="zh-CN"/>
        </w:rPr>
        <w:t xml:space="preserve">                                  </w:t>
      </w:r>
    </w:p>
    <w:bookmarkEnd w:id="0"/>
    <w:p>
      <w:pPr>
        <w:pStyle w:val="9"/>
        <w:suppressAutoHyphens/>
        <w:spacing w:before="300" w:after="360" w:line="240" w:lineRule="auto"/>
        <w:ind w:left="0" w:right="68" w:firstLine="0"/>
        <w:jc w:val="both"/>
        <w:rPr>
          <w:rFonts w:hint="eastAsia" w:ascii="仿宋_GB2312" w:eastAsia="仿宋_GB2312"/>
          <w:b w:val="0"/>
          <w:snapToGrid/>
          <w:color w:val="auto"/>
          <w:w w:val="100"/>
          <w:kern w:val="2"/>
          <w:sz w:val="32"/>
          <w:szCs w:val="24"/>
          <w:highlight w:val="none"/>
        </w:rPr>
      </w:pPr>
    </w:p>
    <w:p>
      <w:pPr>
        <w:spacing w:line="360" w:lineRule="auto"/>
        <w:ind w:firstLine="640" w:firstLineChars="200"/>
        <w:rPr>
          <w:rFonts w:hint="eastAsia" w:ascii="方正仿宋_GBK" w:hAnsi="方正仿宋_GBK" w:eastAsia="方正仿宋_GBK" w:cs="方正仿宋_GBK"/>
          <w:sz w:val="32"/>
          <w:szCs w:val="32"/>
          <w:highlight w:val="none"/>
        </w:rPr>
      </w:pPr>
    </w:p>
    <w:p>
      <w:pPr>
        <w:spacing w:line="360" w:lineRule="auto"/>
        <w:ind w:firstLine="640" w:firstLineChars="200"/>
        <w:rPr>
          <w:rFonts w:hint="eastAsia" w:ascii="方正仿宋_GBK" w:hAnsi="方正仿宋_GBK" w:eastAsia="方正仿宋_GBK" w:cs="方正仿宋_GBK"/>
          <w:sz w:val="32"/>
          <w:szCs w:val="32"/>
          <w:highlight w:val="none"/>
        </w:rPr>
      </w:pPr>
    </w:p>
    <w:p>
      <w:pPr>
        <w:spacing w:line="360" w:lineRule="auto"/>
        <w:ind w:firstLine="640" w:firstLineChars="200"/>
        <w:rPr>
          <w:rFonts w:hint="eastAsia" w:ascii="方正仿宋_GBK" w:hAnsi="方正仿宋_GBK" w:eastAsia="方正仿宋_GBK" w:cs="方正仿宋_GBK"/>
          <w:sz w:val="32"/>
          <w:szCs w:val="32"/>
          <w:highlight w:val="none"/>
        </w:rPr>
      </w:pPr>
    </w:p>
    <w:p>
      <w:pPr>
        <w:spacing w:line="360" w:lineRule="auto"/>
        <w:ind w:firstLine="640" w:firstLineChars="200"/>
        <w:rPr>
          <w:rFonts w:hint="eastAsia" w:ascii="方正仿宋_GBK" w:hAnsi="方正仿宋_GBK" w:eastAsia="方正仿宋_GBK" w:cs="方正仿宋_GBK"/>
          <w:sz w:val="32"/>
          <w:szCs w:val="32"/>
          <w:highlight w:val="none"/>
        </w:rPr>
      </w:pPr>
    </w:p>
    <w:p>
      <w:pPr>
        <w:spacing w:line="360" w:lineRule="auto"/>
        <w:ind w:firstLine="640" w:firstLineChars="200"/>
        <w:rPr>
          <w:rFonts w:hint="eastAsia" w:ascii="方正仿宋_GBK" w:hAnsi="方正仿宋_GBK" w:eastAsia="方正仿宋_GBK" w:cs="方正仿宋_GBK"/>
          <w:sz w:val="32"/>
          <w:szCs w:val="32"/>
          <w:highlight w:val="none"/>
        </w:rPr>
      </w:pPr>
    </w:p>
    <w:p>
      <w:pPr>
        <w:ind w:firstLine="0"/>
        <w:rPr>
          <w:rFonts w:hint="eastAsia" w:ascii="仿宋_GB2312" w:eastAsia="仿宋_GB2312"/>
          <w:sz w:val="32"/>
          <w:szCs w:val="32"/>
          <w:highlight w:val="none"/>
        </w:rPr>
      </w:pPr>
      <w:bookmarkStart w:id="1" w:name="_GoBack"/>
      <w:bookmarkEnd w:id="1"/>
    </w:p>
    <w:sectPr>
      <w:footerReference r:id="rId3" w:type="default"/>
      <w:footerReference r:id="rId4" w:type="even"/>
      <w:pgSz w:w="11906" w:h="16838"/>
      <w:pgMar w:top="1440" w:right="1800" w:bottom="1440" w:left="1800" w:header="851" w:footer="1417"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Sans Ethiopic"/>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汉鼎简大宋">
    <w:altName w:val="宋体"/>
    <w:panose1 w:val="02010609010101010101"/>
    <w:charset w:val="00"/>
    <w:family w:val="modern"/>
    <w:pitch w:val="default"/>
    <w:sig w:usb0="00000000" w:usb1="00000000" w:usb2="00000010" w:usb3="00000000" w:csb0="00040000" w:csb1="00000000"/>
  </w:font>
  <w:font w:name="Arial Unicode MS">
    <w:altName w:val="Nimbus Roman No9 L"/>
    <w:panose1 w:val="020B0604020202020204"/>
    <w:charset w:val="00"/>
    <w:family w:val="swiss"/>
    <w:pitch w:val="default"/>
    <w:sig w:usb0="00000000" w:usb1="00000000" w:usb2="0000003F" w:usb3="00000000" w:csb0="603F01FF" w:csb1="FFFF0000"/>
  </w:font>
  <w:font w:name="方正小标宋_GBK">
    <w:panose1 w:val="02000000000000000000"/>
    <w:charset w:val="86"/>
    <w:family w:val="script"/>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方正仿宋_GB2312">
    <w:altName w:val="仿宋"/>
    <w:panose1 w:val="02000000000000000000"/>
    <w:charset w:val="00"/>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Noto Sans Ethiopic">
    <w:panose1 w:val="020B0502040504020204"/>
    <w:charset w:val="00"/>
    <w:family w:val="auto"/>
    <w:pitch w:val="default"/>
    <w:sig w:usb0="00000000" w:usb1="00000000" w:usb2="000008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- 1 -</w:t>
                          </w:r>
                          <w:r>
                            <w:rPr>
                              <w:rFonts w:ascii="Times New Roman" w:hAnsi="Times New Roman"/>
                              <w:sz w:val="28"/>
                              <w:szCs w:val="28"/>
                            </w:rPr>
                            <w:fldChar w:fldCharType="end"/>
                          </w:r>
                          <w:r>
                            <w:rPr>
                              <w:rFonts w:ascii="Times New Roman" w:hAnsi="Times New Roman"/>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M6p&#10;ebnPAAAABQEAAA8AAAAAAAAAAQAgAAAAOAAAAGRycy9kb3ducmV2LnhtbFBLAQIUABQAAAAIAIdO&#10;4kCzG+uQ3QEAAL4DAAAOAAAAAAAAAAEAIAAAADQBAABkcnMvZTJvRG9jLnhtbFBLBQYAAAAABgAG&#10;AFkBAACDBQAAAAA=&#10;">
              <v:fill on="f" focussize="0,0"/>
              <v:stroke on="f"/>
              <v:imagedata o:title=""/>
              <o:lock v:ext="edit" aspectratio="f"/>
              <v:textbox inset="0mm,0mm,0mm,0mm" style="mso-fit-shape-to-text:t;">
                <w:txbxContent>
                  <w:p>
                    <w:pPr>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- 1 -</w:t>
                    </w:r>
                    <w:r>
                      <w:rPr>
                        <w:rFonts w:ascii="Times New Roman" w:hAnsi="Times New Roman"/>
                        <w:sz w:val="28"/>
                        <w:szCs w:val="28"/>
                      </w:rPr>
                      <w:fldChar w:fldCharType="end"/>
                    </w:r>
                    <w:r>
                      <w:rPr>
                        <w:rFonts w:ascii="Times New Roman" w:hAnsi="Times New Roman"/>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fldChar w:fldCharType="begin"/>
    </w:r>
    <w:r>
      <w:rPr>
        <w:rStyle w:val="8"/>
      </w:rPr>
      <w:instrText xml:space="preserve">PAGE  </w:instrText>
    </w:r>
    <w:r>
      <w:fldChar w:fldCharType="end"/>
    </w:r>
  </w:p>
  <w:p>
    <w:pPr>
      <w:pStyle w:val="4"/>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353E80"/>
    <w:multiLevelType w:val="singleLevel"/>
    <w:tmpl w:val="81353E80"/>
    <w:lvl w:ilvl="0" w:tentative="0">
      <w:start w:val="1"/>
      <w:numFmt w:val="chineseCounting"/>
      <w:suff w:val="nothing"/>
      <w:lvlText w:val="（%1）"/>
      <w:lvlJc w:val="left"/>
      <w:rPr>
        <w:rFonts w:hint="eastAsia"/>
      </w:rPr>
    </w:lvl>
  </w:abstractNum>
  <w:abstractNum w:abstractNumId="1">
    <w:nsid w:val="B0AB6DB3"/>
    <w:multiLevelType w:val="singleLevel"/>
    <w:tmpl w:val="B0AB6DB3"/>
    <w:lvl w:ilvl="0" w:tentative="0">
      <w:start w:val="2"/>
      <w:numFmt w:val="chineseCounting"/>
      <w:suff w:val="nothing"/>
      <w:lvlText w:val="（%1）"/>
      <w:lvlJc w:val="left"/>
      <w:rPr>
        <w:rFonts w:hint="eastAsia"/>
      </w:rPr>
    </w:lvl>
  </w:abstractNum>
  <w:abstractNum w:abstractNumId="2">
    <w:nsid w:val="F45747B4"/>
    <w:multiLevelType w:val="singleLevel"/>
    <w:tmpl w:val="F45747B4"/>
    <w:lvl w:ilvl="0" w:tentative="0">
      <w:start w:val="3"/>
      <w:numFmt w:val="chineseCounting"/>
      <w:suff w:val="nothing"/>
      <w:lvlText w:val="（%1）"/>
      <w:lvlJc w:val="left"/>
      <w:pPr>
        <w:ind w:left="640" w:firstLine="0"/>
      </w:pPr>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51E"/>
    <w:rsid w:val="00000437"/>
    <w:rsid w:val="0001720F"/>
    <w:rsid w:val="000306BC"/>
    <w:rsid w:val="000B44CD"/>
    <w:rsid w:val="000E16A7"/>
    <w:rsid w:val="0014062C"/>
    <w:rsid w:val="00204676"/>
    <w:rsid w:val="00231288"/>
    <w:rsid w:val="002548E8"/>
    <w:rsid w:val="00280638"/>
    <w:rsid w:val="002948AA"/>
    <w:rsid w:val="00380E79"/>
    <w:rsid w:val="00390BF3"/>
    <w:rsid w:val="003A7948"/>
    <w:rsid w:val="003B6896"/>
    <w:rsid w:val="003C2C14"/>
    <w:rsid w:val="003C72F0"/>
    <w:rsid w:val="00430E95"/>
    <w:rsid w:val="004346A6"/>
    <w:rsid w:val="004A20B7"/>
    <w:rsid w:val="004A27D6"/>
    <w:rsid w:val="004A67E1"/>
    <w:rsid w:val="004E734D"/>
    <w:rsid w:val="00527C55"/>
    <w:rsid w:val="00564BA9"/>
    <w:rsid w:val="00597544"/>
    <w:rsid w:val="00597ECD"/>
    <w:rsid w:val="005C1B04"/>
    <w:rsid w:val="005C4407"/>
    <w:rsid w:val="005E34EE"/>
    <w:rsid w:val="006434E6"/>
    <w:rsid w:val="006B3738"/>
    <w:rsid w:val="006F054A"/>
    <w:rsid w:val="006F40FC"/>
    <w:rsid w:val="00773975"/>
    <w:rsid w:val="007C7424"/>
    <w:rsid w:val="007D4BE9"/>
    <w:rsid w:val="007F772A"/>
    <w:rsid w:val="00813D9D"/>
    <w:rsid w:val="0083518E"/>
    <w:rsid w:val="00842602"/>
    <w:rsid w:val="008502E9"/>
    <w:rsid w:val="00864304"/>
    <w:rsid w:val="008A0954"/>
    <w:rsid w:val="00926BD4"/>
    <w:rsid w:val="00A85A4C"/>
    <w:rsid w:val="00A92FF6"/>
    <w:rsid w:val="00B00C9D"/>
    <w:rsid w:val="00BE0AF7"/>
    <w:rsid w:val="00BF5A39"/>
    <w:rsid w:val="00C328E5"/>
    <w:rsid w:val="00C409C9"/>
    <w:rsid w:val="00C560F3"/>
    <w:rsid w:val="00C63610"/>
    <w:rsid w:val="00CA615D"/>
    <w:rsid w:val="00CC1097"/>
    <w:rsid w:val="00D10D29"/>
    <w:rsid w:val="00D87A94"/>
    <w:rsid w:val="00E0735C"/>
    <w:rsid w:val="00E20500"/>
    <w:rsid w:val="00ED251E"/>
    <w:rsid w:val="00F32186"/>
    <w:rsid w:val="00F458ED"/>
    <w:rsid w:val="00F624C6"/>
    <w:rsid w:val="00F63EE9"/>
    <w:rsid w:val="045525AB"/>
    <w:rsid w:val="06DC1713"/>
    <w:rsid w:val="0BBE8D3C"/>
    <w:rsid w:val="0DEC51DD"/>
    <w:rsid w:val="104D53DC"/>
    <w:rsid w:val="177361ED"/>
    <w:rsid w:val="1DC2664B"/>
    <w:rsid w:val="24301D14"/>
    <w:rsid w:val="45421DC1"/>
    <w:rsid w:val="477E2B63"/>
    <w:rsid w:val="5775462C"/>
    <w:rsid w:val="6BFF0EAC"/>
    <w:rsid w:val="724B3D6F"/>
    <w:rsid w:val="AFFFBF9F"/>
    <w:rsid w:val="FBF97D6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qFormat/>
    <w:uiPriority w:val="0"/>
    <w:pPr>
      <w:spacing w:line="560" w:lineRule="exact"/>
      <w:ind w:firstLine="630" w:firstLineChars="200"/>
      <w:jc w:val="both"/>
    </w:pPr>
    <w:rPr>
      <w:rFonts w:ascii="仿宋_GB2312" w:hAnsi="仿宋_GB2312" w:eastAsia="仿宋_GB2312" w:cs="Times New Roman"/>
      <w:spacing w:val="-6"/>
      <w:sz w:val="32"/>
    </w:rPr>
  </w:style>
  <w:style w:type="paragraph" w:styleId="3">
    <w:name w:val="Balloon Text"/>
    <w:basedOn w:val="1"/>
    <w:qFormat/>
    <w:uiPriority w:val="0"/>
    <w:rPr>
      <w:sz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page number"/>
    <w:basedOn w:val="7"/>
    <w:qFormat/>
    <w:uiPriority w:val="0"/>
  </w:style>
  <w:style w:type="paragraph" w:customStyle="1" w:styleId="9">
    <w:name w:val="文头"/>
    <w:basedOn w:val="1"/>
    <w:qFormat/>
    <w:uiPriority w:val="0"/>
    <w:pPr>
      <w:tabs>
        <w:tab w:val="left" w:pos="6663"/>
      </w:tabs>
      <w:autoSpaceDE w:val="0"/>
      <w:autoSpaceDN w:val="0"/>
      <w:snapToGrid w:val="0"/>
      <w:spacing w:after="800" w:line="1500" w:lineRule="atLeast"/>
      <w:ind w:left="511" w:right="227" w:hanging="284"/>
      <w:jc w:val="distribute"/>
    </w:pPr>
    <w:rPr>
      <w:rFonts w:ascii="汉鼎简大宋" w:eastAsia="汉鼎简大宋"/>
      <w:b/>
      <w:snapToGrid w:val="0"/>
      <w:color w:val="FF0000"/>
      <w:w w:val="62"/>
      <w:kern w:val="0"/>
      <w:sz w:val="140"/>
      <w:szCs w:val="20"/>
    </w:rPr>
  </w:style>
  <w:style w:type="paragraph" w:customStyle="1" w:styleId="10">
    <w:name w:val="正文 A"/>
    <w:next w:val="11"/>
    <w:qFormat/>
    <w:uiPriority w:val="0"/>
    <w:pPr>
      <w:widowControl w:val="0"/>
      <w:jc w:val="both"/>
    </w:pPr>
    <w:rPr>
      <w:rFonts w:ascii="Arial Unicode MS" w:hAnsi="Arial Unicode MS" w:eastAsia="Times New Roman" w:cs="Arial Unicode MS"/>
      <w:color w:val="000000"/>
      <w:kern w:val="2"/>
      <w:sz w:val="21"/>
      <w:szCs w:val="21"/>
      <w:lang w:val="en-US" w:eastAsia="zh-CN" w:bidi="ar-SA"/>
    </w:rPr>
  </w:style>
  <w:style w:type="paragraph" w:customStyle="1" w:styleId="11">
    <w:name w:val="段"/>
    <w:next w:val="10"/>
    <w:qFormat/>
    <w:uiPriority w:val="0"/>
    <w:pPr>
      <w:autoSpaceDE w:val="0"/>
      <w:autoSpaceDN w:val="0"/>
      <w:ind w:firstLine="200"/>
      <w:jc w:val="both"/>
    </w:pPr>
    <w:rPr>
      <w:rFonts w:ascii="宋体" w:hAnsi="Times New Roman" w:eastAsia="宋体" w:cs="Times New Roman"/>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18</Pages>
  <Words>5402</Words>
  <Characters>5684</Characters>
  <Lines>10</Lines>
  <Paragraphs>3</Paragraphs>
  <TotalTime>33</TotalTime>
  <ScaleCrop>false</ScaleCrop>
  <LinksUpToDate>false</LinksUpToDate>
  <CharactersWithSpaces>5758</CharactersWithSpaces>
  <Application>WPS Office_11.8.2.12065_F1E327BC-269C-435d-A152-05C5408002CA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2019-01-13T03:30:00Z</dcterms:created>
  <dc:creator>何长军</dc:creator>
  <cp:lastModifiedBy>sugou</cp:lastModifiedBy>
  <cp:lastPrinted>2026-02-06T06:00:00Z</cp:lastPrinted>
  <dcterms:modified xsi:type="dcterms:W3CDTF">2026-02-11T10:24:51Z</dcterms:modified>
  <dc:title>苏州市医疗保障局转隶组建实施方案</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KSOTemplateDocerSaveRecord">
    <vt:lpwstr>eyJoZGlkIjoiYzhhNWI2YmFiZWVmMjZlZjFmYmFjZDNmOTI2NWJlODgiLCJ1c2VySWQiOiI0MzUyNjMyMzYifQ==</vt:lpwstr>
  </property>
  <property fmtid="{D5CDD505-2E9C-101B-9397-08002B2CF9AE}" pid="4" name="ICV">
    <vt:lpwstr>353EBB0435ABC08D2C5085696DDD2D78</vt:lpwstr>
  </property>
</Properties>
</file>