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484D7">
      <w:pPr>
        <w:keepNext w:val="0"/>
        <w:keepLines w:val="0"/>
        <w:pageBreakBefore w:val="0"/>
        <w:kinsoku/>
        <w:wordWrap/>
        <w:overflowPunct w:val="0"/>
        <w:topLinePunct w:val="0"/>
        <w:autoSpaceDE/>
        <w:autoSpaceDN/>
        <w:bidi w:val="0"/>
        <w:adjustRightInd/>
        <w:snapToGrid/>
        <w:spacing w:line="580" w:lineRule="exact"/>
        <w:ind w:left="0" w:leftChars="0"/>
        <w:jc w:val="center"/>
        <w:textAlignment w:val="auto"/>
        <w:outlineLvl w:val="0"/>
        <w:rPr>
          <w:rFonts w:hint="eastAsia" w:ascii="方正小标宋_GBK" w:eastAsia="方正小标宋_GBK"/>
          <w:kern w:val="0"/>
          <w:sz w:val="44"/>
          <w:szCs w:val="44"/>
          <w:lang w:val="en-US" w:eastAsia="zh-CN"/>
        </w:rPr>
      </w:pPr>
      <w:r>
        <w:rPr>
          <w:rFonts w:hint="eastAsia" w:ascii="方正小标宋_GBK" w:eastAsia="方正小标宋_GBK"/>
          <w:kern w:val="0"/>
          <w:sz w:val="44"/>
          <w:szCs w:val="44"/>
          <w:lang w:val="en-US" w:eastAsia="zh-CN"/>
        </w:rPr>
        <w:t>市退役军人事务局2</w:t>
      </w:r>
      <w:r>
        <w:rPr>
          <w:rFonts w:hint="eastAsia" w:ascii="方正小标宋_GBK" w:eastAsia="方正小标宋_GBK"/>
          <w:kern w:val="0"/>
          <w:sz w:val="44"/>
          <w:szCs w:val="44"/>
        </w:rPr>
        <w:t>02</w:t>
      </w:r>
      <w:r>
        <w:rPr>
          <w:rFonts w:hint="eastAsia" w:ascii="方正小标宋_GBK" w:eastAsia="方正小标宋_GBK"/>
          <w:kern w:val="0"/>
          <w:sz w:val="44"/>
          <w:szCs w:val="44"/>
          <w:lang w:val="en-US" w:eastAsia="zh-CN"/>
        </w:rPr>
        <w:t>5</w:t>
      </w:r>
      <w:r>
        <w:rPr>
          <w:rFonts w:hint="eastAsia" w:ascii="方正小标宋_GBK" w:eastAsia="方正小标宋_GBK"/>
          <w:kern w:val="0"/>
          <w:sz w:val="44"/>
          <w:szCs w:val="44"/>
        </w:rPr>
        <w:t>年</w:t>
      </w:r>
      <w:r>
        <w:rPr>
          <w:rFonts w:hint="eastAsia" w:ascii="方正小标宋_GBK" w:eastAsia="方正小标宋_GBK"/>
          <w:kern w:val="0"/>
          <w:sz w:val="44"/>
          <w:szCs w:val="44"/>
          <w:lang w:val="en-US" w:eastAsia="zh-CN"/>
        </w:rPr>
        <w:t>工作总结和</w:t>
      </w:r>
    </w:p>
    <w:p w14:paraId="57AEE34A">
      <w:pPr>
        <w:keepNext w:val="0"/>
        <w:keepLines w:val="0"/>
        <w:pageBreakBefore w:val="0"/>
        <w:kinsoku/>
        <w:wordWrap/>
        <w:overflowPunct w:val="0"/>
        <w:topLinePunct w:val="0"/>
        <w:autoSpaceDE/>
        <w:autoSpaceDN/>
        <w:bidi w:val="0"/>
        <w:adjustRightInd/>
        <w:snapToGrid/>
        <w:spacing w:line="580" w:lineRule="exact"/>
        <w:ind w:left="0" w:leftChars="0"/>
        <w:jc w:val="center"/>
        <w:textAlignment w:val="auto"/>
        <w:outlineLvl w:val="0"/>
        <w:rPr>
          <w:rFonts w:hint="eastAsia" w:ascii="Times New Roman" w:hAnsi="Times New Roman" w:eastAsia="方正小标宋简体"/>
          <w:color w:val="000000"/>
          <w:sz w:val="44"/>
          <w:szCs w:val="44"/>
          <w:lang w:val="en-US" w:eastAsia="zh-CN"/>
        </w:rPr>
      </w:pPr>
      <w:r>
        <w:rPr>
          <w:rFonts w:hint="eastAsia" w:ascii="方正小标宋_GBK" w:eastAsia="方正小标宋_GBK"/>
          <w:kern w:val="0"/>
          <w:sz w:val="44"/>
          <w:szCs w:val="44"/>
          <w:lang w:val="en-US" w:eastAsia="zh-CN"/>
        </w:rPr>
        <w:t>2026年工作计划</w:t>
      </w:r>
    </w:p>
    <w:p w14:paraId="674FEC06">
      <w:pPr>
        <w:keepNext w:val="0"/>
        <w:keepLines w:val="0"/>
        <w:pageBreakBefore w:val="0"/>
        <w:widowControl/>
        <w:numPr>
          <w:ilvl w:val="0"/>
          <w:numId w:val="0"/>
        </w:numPr>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rPr>
      </w:pPr>
    </w:p>
    <w:p w14:paraId="055A3494">
      <w:pPr>
        <w:keepNext w:val="0"/>
        <w:keepLines w:val="0"/>
        <w:pageBreakBefore w:val="0"/>
        <w:widowControl/>
        <w:numPr>
          <w:ilvl w:val="0"/>
          <w:numId w:val="0"/>
        </w:numPr>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年，市退役军人事务局坚持以</w:t>
      </w:r>
      <w:r>
        <w:rPr>
          <w:rFonts w:hint="eastAsia" w:ascii="仿宋_GB2312" w:hAnsi="仿宋_GB2312" w:eastAsia="仿宋_GB2312" w:cs="仿宋_GB2312"/>
          <w:sz w:val="32"/>
          <w:szCs w:val="32"/>
          <w:lang w:eastAsia="zh-CN"/>
        </w:rPr>
        <w:t>习近平</w:t>
      </w:r>
      <w:r>
        <w:rPr>
          <w:rFonts w:hint="eastAsia" w:ascii="仿宋_GB2312" w:hAnsi="仿宋_GB2312" w:eastAsia="仿宋_GB2312" w:cs="仿宋_GB2312"/>
          <w:sz w:val="32"/>
          <w:szCs w:val="32"/>
        </w:rPr>
        <w:t>新时代中国特色社会主义思想为</w:t>
      </w:r>
      <w:r>
        <w:rPr>
          <w:rFonts w:hint="eastAsia" w:ascii="仿宋_GB2312" w:hAnsi="仿宋_GB2312" w:eastAsia="仿宋_GB2312" w:cs="仿宋_GB2312"/>
          <w:sz w:val="32"/>
          <w:szCs w:val="32"/>
          <w:lang w:val="en-US" w:eastAsia="zh-CN"/>
        </w:rPr>
        <w:t>指导</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深入学习</w:t>
      </w:r>
      <w:r>
        <w:rPr>
          <w:rFonts w:hint="eastAsia" w:ascii="仿宋_GB2312" w:hAnsi="仿宋_GB2312" w:eastAsia="仿宋_GB2312" w:cs="仿宋_GB2312"/>
          <w:sz w:val="32"/>
          <w:szCs w:val="32"/>
        </w:rPr>
        <w:t>党的二十大和二十届历次全会精神，</w:t>
      </w:r>
      <w:r>
        <w:rPr>
          <w:rFonts w:hint="eastAsia" w:ascii="仿宋_GB2312" w:hAnsi="仿宋_GB2312" w:eastAsia="仿宋_GB2312" w:cs="仿宋_GB2312"/>
          <w:kern w:val="2"/>
          <w:sz w:val="32"/>
          <w:szCs w:val="32"/>
          <w:lang w:val="en-US" w:eastAsia="zh-CN" w:bidi="ar"/>
        </w:rPr>
        <w:t>全面贯彻习近平总书记关于退役军人工作的重要论述和对江苏、苏州工作重要讲话重要指示精神，认真落实全国、全省退役军人工作会议精神和</w:t>
      </w:r>
      <w:r>
        <w:rPr>
          <w:rFonts w:hint="eastAsia" w:ascii="仿宋_GB2312" w:hAnsi="仿宋_GB2312" w:eastAsia="仿宋_GB2312" w:cs="仿宋_GB2312"/>
          <w:sz w:val="32"/>
          <w:szCs w:val="32"/>
        </w:rPr>
        <w:t>市委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市政府</w:t>
      </w:r>
      <w:r>
        <w:rPr>
          <w:rFonts w:hint="eastAsia" w:ascii="仿宋_GB2312" w:hAnsi="仿宋_GB2312" w:eastAsia="仿宋_GB2312" w:cs="仿宋_GB2312"/>
          <w:sz w:val="32"/>
          <w:szCs w:val="32"/>
          <w:lang w:val="en-US" w:eastAsia="zh-CN"/>
        </w:rPr>
        <w:t>部署</w:t>
      </w:r>
      <w:r>
        <w:rPr>
          <w:rFonts w:hint="eastAsia" w:ascii="仿宋_GB2312" w:hAnsi="仿宋_GB2312" w:eastAsia="仿宋_GB2312" w:cs="仿宋_GB2312"/>
          <w:sz w:val="32"/>
          <w:szCs w:val="32"/>
          <w:lang w:eastAsia="zh-CN"/>
        </w:rPr>
        <w:t>要求，</w:t>
      </w:r>
      <w:r>
        <w:rPr>
          <w:rFonts w:hint="eastAsia" w:ascii="仿宋_GB2312" w:hAnsi="仿宋_GB2312" w:eastAsia="仿宋_GB2312" w:cs="仿宋_GB2312"/>
          <w:sz w:val="32"/>
          <w:szCs w:val="32"/>
        </w:rPr>
        <w:t>凝心聚力、守正创新，各项工作取得新进展新成效。</w:t>
      </w:r>
      <w:r>
        <w:rPr>
          <w:rFonts w:hint="eastAsia" w:ascii="仿宋_GB2312" w:hAnsi="仿宋_GB2312" w:eastAsia="仿宋_GB2312" w:cs="仿宋_GB2312"/>
          <w:kern w:val="2"/>
          <w:sz w:val="32"/>
          <w:szCs w:val="32"/>
          <w:lang w:val="en-US" w:eastAsia="zh-CN" w:bidi="ar"/>
        </w:rPr>
        <w:t>我市实现全国双拥模范城“八连冠”、全域满堂红；苏州烈士陵园入选国家级烈士纪念设施；</w:t>
      </w:r>
      <w:r>
        <w:rPr>
          <w:rFonts w:hint="eastAsia" w:ascii="仿宋_GB2312" w:hAnsi="仿宋_GB2312" w:eastAsia="仿宋_GB2312" w:cs="仿宋_GB2312"/>
          <w:sz w:val="32"/>
          <w:szCs w:val="32"/>
          <w:lang w:val="en-US" w:eastAsia="zh-CN"/>
        </w:rPr>
        <w:t>“鹿小军在行动”志愿者服务队入选全国志愿服务“四个100”最佳志愿服务组织；</w:t>
      </w:r>
      <w:r>
        <w:rPr>
          <w:rFonts w:hint="eastAsia" w:ascii="仿宋_GB2312" w:hAnsi="仿宋_GB2312" w:eastAsia="仿宋_GB2312" w:cs="仿宋_GB2312"/>
          <w:color w:val="auto"/>
          <w:kern w:val="2"/>
          <w:sz w:val="32"/>
          <w:szCs w:val="32"/>
          <w:highlight w:val="none"/>
          <w:shd w:val="clear" w:color="auto" w:fill="auto"/>
          <w:lang w:val="en-US" w:eastAsia="zh-CN" w:bidi="ar-SA"/>
        </w:rPr>
        <w:t>13人被评为省级“模范退役军人”“服务退役军人模范”；“苏供薪火”英烈红色档案保护志愿服务项目获评省级“志愿服务之星”“志愿服务项目大赛一等奖”。</w:t>
      </w:r>
    </w:p>
    <w:p w14:paraId="166D2BA5">
      <w:pPr>
        <w:keepNext w:val="0"/>
        <w:keepLines w:val="0"/>
        <w:pageBreakBefore w:val="0"/>
        <w:widowControl/>
        <w:numPr>
          <w:ilvl w:val="0"/>
          <w:numId w:val="0"/>
        </w:numPr>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黑体" w:hAnsi="黑体" w:eastAsia="黑体" w:cs="黑体"/>
          <w:b w:val="0"/>
          <w:bCs w:val="0"/>
          <w:kern w:val="2"/>
          <w:sz w:val="32"/>
          <w:szCs w:val="32"/>
          <w:lang w:val="en-US" w:eastAsia="zh-CN" w:bidi="ar"/>
        </w:rPr>
      </w:pPr>
      <w:r>
        <w:rPr>
          <w:rFonts w:hint="eastAsia" w:ascii="黑体" w:hAnsi="黑体" w:eastAsia="黑体" w:cs="黑体"/>
          <w:b w:val="0"/>
          <w:bCs w:val="0"/>
          <w:kern w:val="2"/>
          <w:sz w:val="32"/>
          <w:szCs w:val="32"/>
          <w:lang w:val="en-US" w:eastAsia="zh-CN" w:bidi="ar"/>
        </w:rPr>
        <w:t>一、2025年主要工作情况</w:t>
      </w:r>
    </w:p>
    <w:p w14:paraId="1C992A4D">
      <w:pPr>
        <w:pStyle w:val="3"/>
        <w:keepNext w:val="0"/>
        <w:keepLines w:val="0"/>
        <w:pageBreakBefore w:val="0"/>
        <w:widowControl w:val="0"/>
        <w:kinsoku/>
        <w:wordWrap/>
        <w:overflowPunct w:val="0"/>
        <w:topLinePunct w:val="0"/>
        <w:autoSpaceDE/>
        <w:autoSpaceDN/>
        <w:bidi w:val="0"/>
        <w:adjustRightInd/>
        <w:snapToGrid/>
        <w:spacing w:before="0" w:after="0" w:line="580" w:lineRule="exact"/>
        <w:ind w:left="0" w:lef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
        </w:rPr>
      </w:pPr>
      <w:r>
        <w:rPr>
          <w:rFonts w:hint="eastAsia" w:ascii="Times New Roman" w:hAnsi="Times New Roman" w:eastAsia="楷体_GB2312" w:cs="楷体_GB2312"/>
          <w:b w:val="0"/>
          <w:bCs w:val="0"/>
          <w:color w:val="auto"/>
          <w:kern w:val="2"/>
          <w:sz w:val="32"/>
          <w:szCs w:val="32"/>
          <w:lang w:val="en-US" w:eastAsia="zh-CN" w:bidi="ar"/>
        </w:rPr>
        <w:t>（一）坚持党的全面领导，以更高站位把牢正确政治方向。</w:t>
      </w:r>
      <w:bookmarkStart w:id="0" w:name="OLE_LINK3"/>
      <w:bookmarkStart w:id="1" w:name="OLE_LINK5"/>
      <w:r>
        <w:rPr>
          <w:rFonts w:hint="eastAsia" w:ascii="仿宋_GB2312" w:hAnsi="仿宋_GB2312" w:eastAsia="仿宋_GB2312" w:cs="仿宋_GB2312"/>
          <w:b w:val="0"/>
          <w:bCs w:val="0"/>
          <w:color w:val="auto"/>
          <w:kern w:val="2"/>
          <w:sz w:val="32"/>
          <w:szCs w:val="32"/>
          <w:lang w:val="en-US" w:eastAsia="zh-CN" w:bidi="ar"/>
        </w:rPr>
        <w:t>深入学习贯彻习近平总书记重要讲话指示批示精神，把习近平总书记最新重要讲话重要指示批示和关于退役军人工作的重要论述，作为“第一议题”来学习、“第一遵循”来贯彻、“第一政治要件”来落实，推动全系统党员干部深刻领悟“两个确立”的决定性意义，增强“四个意识”、坚定“四个自信”、做到“两个维护”。</w:t>
      </w:r>
    </w:p>
    <w:p w14:paraId="3DD4D707">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楷体_GB2312" w:cs="楷体_GB2312"/>
          <w:b w:val="0"/>
          <w:bCs w:val="0"/>
          <w:color w:val="auto"/>
          <w:kern w:val="2"/>
          <w:sz w:val="32"/>
          <w:szCs w:val="32"/>
          <w:lang w:val="en-US" w:eastAsia="zh-CN" w:bidi="ar-SA"/>
        </w:rPr>
        <w:t>（二）坚持政治建设统领，以更严标准筑牢安全思想防线。</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bCs/>
          <w:color w:val="auto"/>
          <w:kern w:val="2"/>
          <w:sz w:val="32"/>
          <w:szCs w:val="32"/>
          <w:lang w:val="en-US" w:eastAsia="zh-CN" w:bidi="ar"/>
        </w:rPr>
        <w:t>严格落实全面从严治党主体责任。</w:t>
      </w:r>
      <w:r>
        <w:rPr>
          <w:rFonts w:hint="eastAsia" w:ascii="仿宋_GB2312" w:hAnsi="仿宋_GB2312" w:eastAsia="仿宋_GB2312" w:cs="仿宋_GB2312"/>
          <w:b w:val="0"/>
          <w:bCs w:val="0"/>
          <w:color w:val="auto"/>
          <w:sz w:val="32"/>
          <w:szCs w:val="32"/>
        </w:rPr>
        <w:t>制定局党组全面从严治党主体责任清单</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党风廉政建设工作要点，</w:t>
      </w:r>
      <w:r>
        <w:rPr>
          <w:rFonts w:hint="eastAsia" w:ascii="仿宋_GB2312" w:hAnsi="仿宋_GB2312" w:eastAsia="仿宋_GB2312" w:cs="仿宋_GB2312"/>
          <w:b w:val="0"/>
          <w:bCs w:val="0"/>
          <w:color w:val="auto"/>
          <w:sz w:val="32"/>
          <w:szCs w:val="32"/>
          <w:lang w:val="en-US" w:eastAsia="zh-CN"/>
        </w:rPr>
        <w:t>组织</w:t>
      </w:r>
      <w:r>
        <w:rPr>
          <w:rFonts w:hint="eastAsia" w:ascii="仿宋_GB2312" w:hAnsi="仿宋_GB2312" w:eastAsia="仿宋_GB2312" w:cs="仿宋_GB2312"/>
          <w:b w:val="0"/>
          <w:bCs w:val="0"/>
          <w:color w:val="auto"/>
          <w:sz w:val="32"/>
          <w:szCs w:val="32"/>
        </w:rPr>
        <w:t>开展警示教育、案例剖析、参观践学等活动。严格执行党内政治生活制度，重大事项请示报告制度、民主集中制等党规党纪要求，</w:t>
      </w:r>
      <w:r>
        <w:rPr>
          <w:rFonts w:hint="eastAsia" w:ascii="仿宋_GB2312" w:hAnsi="仿宋_GB2312" w:eastAsia="仿宋_GB2312" w:cs="仿宋_GB2312"/>
          <w:b w:val="0"/>
          <w:bCs w:val="0"/>
          <w:color w:val="auto"/>
          <w:sz w:val="32"/>
          <w:szCs w:val="32"/>
          <w:lang w:val="en-US" w:eastAsia="zh-CN"/>
        </w:rPr>
        <w:t>严密</w:t>
      </w:r>
      <w:r>
        <w:rPr>
          <w:rFonts w:hint="eastAsia" w:ascii="仿宋_GB2312" w:hAnsi="仿宋_GB2312" w:eastAsia="仿宋_GB2312" w:cs="仿宋_GB2312"/>
          <w:b w:val="0"/>
          <w:bCs w:val="0"/>
          <w:color w:val="auto"/>
          <w:sz w:val="32"/>
          <w:szCs w:val="32"/>
        </w:rPr>
        <w:t>组织开展党内政治生活及相关活动</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扎实开展</w:t>
      </w:r>
      <w:r>
        <w:rPr>
          <w:rFonts w:hint="eastAsia" w:ascii="仿宋_GB2312" w:hAnsi="仿宋_GB2312" w:eastAsia="仿宋_GB2312" w:cs="仿宋_GB2312"/>
          <w:b w:val="0"/>
          <w:bCs w:val="0"/>
          <w:color w:val="auto"/>
          <w:kern w:val="0"/>
          <w:sz w:val="32"/>
          <w:szCs w:val="32"/>
          <w:lang w:val="en-US" w:eastAsia="zh-CN" w:bidi="ar"/>
        </w:rPr>
        <w:t>“换位跑一次”行动。</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bCs/>
          <w:color w:val="auto"/>
          <w:kern w:val="2"/>
          <w:sz w:val="32"/>
          <w:szCs w:val="32"/>
          <w:lang w:val="en-US" w:eastAsia="zh-CN" w:bidi="ar"/>
        </w:rPr>
        <w:t>持续加强基层党的建设。</w:t>
      </w:r>
      <w:r>
        <w:rPr>
          <w:rFonts w:hint="eastAsia" w:ascii="仿宋_GB2312" w:hAnsi="仿宋_GB2312" w:eastAsia="仿宋_GB2312" w:cs="仿宋_GB2312"/>
          <w:b w:val="0"/>
          <w:bCs w:val="0"/>
          <w:color w:val="auto"/>
          <w:sz w:val="32"/>
          <w:szCs w:val="32"/>
        </w:rPr>
        <w:t>持续推进党支部“五化”建设</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选优配强支部班子</w:t>
      </w:r>
      <w:r>
        <w:rPr>
          <w:rFonts w:hint="eastAsia" w:ascii="仿宋_GB2312" w:hAnsi="仿宋_GB2312" w:eastAsia="仿宋_GB2312" w:cs="仿宋_GB2312"/>
          <w:b w:val="0"/>
          <w:bCs w:val="0"/>
          <w:color w:val="auto"/>
          <w:sz w:val="32"/>
          <w:szCs w:val="32"/>
          <w:lang w:eastAsia="zh-CN"/>
        </w:rPr>
        <w:t>，推动市英烈文化研究会</w:t>
      </w:r>
      <w:r>
        <w:rPr>
          <w:rFonts w:hint="eastAsia" w:ascii="仿宋_GB2312" w:hAnsi="仿宋_GB2312" w:eastAsia="仿宋_GB2312" w:cs="仿宋_GB2312"/>
          <w:b w:val="0"/>
          <w:bCs w:val="0"/>
          <w:color w:val="auto"/>
          <w:sz w:val="32"/>
          <w:szCs w:val="32"/>
          <w:lang w:val="en-US" w:eastAsia="zh-CN"/>
        </w:rPr>
        <w:t>成立</w:t>
      </w:r>
      <w:r>
        <w:rPr>
          <w:rFonts w:hint="eastAsia" w:ascii="仿宋_GB2312" w:hAnsi="仿宋_GB2312" w:eastAsia="仿宋_GB2312" w:cs="仿宋_GB2312"/>
          <w:b w:val="0"/>
          <w:bCs w:val="0"/>
          <w:color w:val="auto"/>
          <w:sz w:val="32"/>
          <w:szCs w:val="32"/>
          <w:lang w:eastAsia="zh-CN"/>
        </w:rPr>
        <w:t>功能型党支部</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z w:val="32"/>
          <w:szCs w:val="32"/>
          <w:lang w:val="en-US" w:eastAsia="zh-CN"/>
        </w:rPr>
        <w:t>依托退役军人资源优势，融入“海棠红·幸福里”共治体系，确立社区基层治理项目——路南社区“军魂筑梦”青少年成长计划</w:t>
      </w:r>
      <w:r>
        <w:rPr>
          <w:rFonts w:hint="eastAsia" w:ascii="仿宋_GB2312" w:hAnsi="仿宋_GB2312" w:eastAsia="仿宋_GB2312" w:cs="仿宋_GB2312"/>
          <w:b w:val="0"/>
          <w:bCs w:val="0"/>
          <w:color w:val="auto"/>
          <w:sz w:val="32"/>
          <w:szCs w:val="32"/>
          <w:lang w:bidi="ar"/>
        </w:rPr>
        <w:t>，促进党建和业务工作深度融合。</w:t>
      </w:r>
      <w:r>
        <w:rPr>
          <w:rFonts w:hint="eastAsia" w:ascii="仿宋_GB2312" w:hAnsi="仿宋_GB2312" w:eastAsia="仿宋_GB2312" w:cs="仿宋_GB2312"/>
          <w:b/>
          <w:bCs/>
          <w:sz w:val="32"/>
          <w:szCs w:val="32"/>
          <w:lang w:val="en-US" w:eastAsia="zh-CN"/>
        </w:rPr>
        <w:t>三是</w:t>
      </w:r>
      <w:r>
        <w:rPr>
          <w:rFonts w:hint="eastAsia" w:ascii="Times New Roman" w:hAnsi="Times New Roman" w:eastAsia="仿宋_GB2312" w:cs="仿宋_GB2312"/>
          <w:b/>
          <w:bCs/>
          <w:color w:val="auto"/>
          <w:kern w:val="2"/>
          <w:sz w:val="32"/>
          <w:szCs w:val="32"/>
          <w:lang w:val="en-US" w:eastAsia="zh-CN" w:bidi="ar"/>
        </w:rPr>
        <w:t>严格落实法治政府建设主体责任。</w:t>
      </w:r>
      <w:r>
        <w:rPr>
          <w:rFonts w:hint="default" w:ascii="Times New Roman" w:hAnsi="Times New Roman" w:eastAsia="仿宋_GB2312" w:cs="Times New Roman"/>
          <w:b w:val="0"/>
          <w:bCs w:val="0"/>
          <w:color w:val="auto"/>
          <w:sz w:val="32"/>
          <w:szCs w:val="32"/>
        </w:rPr>
        <w:t>将法治政府建设工作纳入年度工作计划</w:t>
      </w:r>
      <w:r>
        <w:rPr>
          <w:rFonts w:hint="eastAsia" w:ascii="Times New Roman" w:hAnsi="Times New Roman" w:eastAsia="仿宋_GB2312" w:cs="Times New Roman"/>
          <w:b w:val="0"/>
          <w:bCs w:val="0"/>
          <w:color w:val="auto"/>
          <w:sz w:val="32"/>
          <w:szCs w:val="32"/>
          <w:lang w:val="en-US" w:eastAsia="zh-CN"/>
        </w:rPr>
        <w:t>，明确普法责任清单与联动事项清单。</w:t>
      </w:r>
      <w:r>
        <w:rPr>
          <w:rFonts w:hint="eastAsia" w:ascii="Times New Roman" w:hAnsi="Times New Roman" w:eastAsia="仿宋_GB2312" w:cs="仿宋_GB2312"/>
          <w:b w:val="0"/>
          <w:bCs w:val="0"/>
          <w:color w:val="auto"/>
          <w:sz w:val="32"/>
          <w:szCs w:val="32"/>
          <w:lang w:val="en-US" w:eastAsia="zh-CN"/>
        </w:rPr>
        <w:t>深入开展主题普法活动，组织“民法典宣传月”“宪法宣传周”和部“法律服务下基层”活动。严格落实“三重一大”、重大行政决策程序等相关制度，坚持依法决策、科</w:t>
      </w:r>
      <w:r>
        <w:rPr>
          <w:rFonts w:hint="eastAsia" w:ascii="Times New Roman" w:hAnsi="Times New Roman" w:eastAsia="仿宋_GB2312" w:cs="Times New Roman"/>
          <w:b w:val="0"/>
          <w:bCs w:val="0"/>
          <w:color w:val="auto"/>
          <w:sz w:val="32"/>
          <w:szCs w:val="32"/>
          <w:lang w:val="en-US" w:eastAsia="zh-CN"/>
        </w:rPr>
        <w:t>学民主决策。</w:t>
      </w:r>
    </w:p>
    <w:p w14:paraId="6F054A37">
      <w:pPr>
        <w:pStyle w:val="2"/>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
        </w:rPr>
      </w:pPr>
      <w:r>
        <w:rPr>
          <w:rFonts w:hint="eastAsia" w:ascii="Times New Roman" w:hAnsi="Times New Roman" w:eastAsia="楷体_GB2312" w:cs="楷体_GB2312"/>
          <w:b w:val="0"/>
          <w:bCs w:val="0"/>
          <w:color w:val="auto"/>
          <w:spacing w:val="0"/>
          <w:kern w:val="0"/>
          <w:sz w:val="32"/>
          <w:szCs w:val="32"/>
          <w:u w:val="none"/>
          <w:shd w:val="clear" w:color="auto" w:fill="auto"/>
          <w:lang w:val="en-US" w:eastAsia="zh-CN"/>
        </w:rPr>
        <w:t>（三）坚持实干争先导向，以更实举措彰显先行试点作为。</w:t>
      </w:r>
      <w:bookmarkEnd w:id="0"/>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bCs/>
          <w:caps w:val="0"/>
          <w:color w:val="000000"/>
          <w:spacing w:val="0"/>
          <w:kern w:val="2"/>
          <w:sz w:val="32"/>
          <w:szCs w:val="32"/>
          <w:shd w:val="clear" w:color="auto" w:fill="auto"/>
          <w:lang w:val="en-US" w:eastAsia="zh-CN" w:bidi="ar-SA"/>
        </w:rPr>
        <w:t>在思政引领上更加注重分类施策、务求实效。</w:t>
      </w:r>
      <w:r>
        <w:rPr>
          <w:rFonts w:hint="eastAsia" w:ascii="仿宋_GB2312" w:hAnsi="仿宋_GB2312" w:eastAsia="仿宋_GB2312" w:cs="仿宋_GB2312"/>
          <w:b w:val="0"/>
          <w:bCs w:val="0"/>
          <w:sz w:val="32"/>
          <w:szCs w:val="32"/>
          <w:lang w:eastAsia="zh-CN"/>
        </w:rPr>
        <w:t>出台</w:t>
      </w:r>
      <w:r>
        <w:rPr>
          <w:rFonts w:hint="eastAsia" w:ascii="仿宋_GB2312" w:hAnsi="仿宋_GB2312" w:eastAsia="仿宋_GB2312" w:cs="仿宋_GB2312"/>
          <w:b w:val="0"/>
          <w:bCs w:val="0"/>
          <w:sz w:val="32"/>
          <w:szCs w:val="32"/>
        </w:rPr>
        <w:t>《关于加强和改进退役军人思想政治工作的指导意见》</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kern w:val="2"/>
          <w:sz w:val="32"/>
          <w:szCs w:val="32"/>
          <w:lang w:val="en-US" w:eastAsia="zh-CN" w:bidi="ar"/>
        </w:rPr>
        <w:t>深入开展“模范退役军人”“最美退役军人”“最美拥军人物”学习宣传活动。</w:t>
      </w:r>
      <w:r>
        <w:rPr>
          <w:rFonts w:hint="eastAsia" w:ascii="仿宋_GB2312" w:hAnsi="仿宋_GB2312" w:eastAsia="仿宋_GB2312" w:cs="仿宋_GB2312"/>
          <w:b w:val="0"/>
          <w:bCs w:val="0"/>
          <w:kern w:val="2"/>
          <w:sz w:val="32"/>
          <w:szCs w:val="32"/>
          <w:lang w:val="en-US" w:eastAsia="zh-CN" w:bidi="ar-SA"/>
        </w:rPr>
        <w:t>加强军休干部讲师团和红星艺术团建设，</w:t>
      </w:r>
      <w:r>
        <w:rPr>
          <w:rFonts w:hint="eastAsia" w:ascii="仿宋_GB2312" w:hAnsi="仿宋_GB2312" w:eastAsia="仿宋_GB2312" w:cs="仿宋_GB2312"/>
          <w:b w:val="0"/>
          <w:bCs w:val="0"/>
          <w:color w:val="auto"/>
          <w:kern w:val="2"/>
          <w:sz w:val="32"/>
          <w:szCs w:val="32"/>
          <w:lang w:val="en-US" w:eastAsia="zh-CN" w:bidi="ar"/>
        </w:rPr>
        <w:t>59名军休干部开</w:t>
      </w:r>
      <w:r>
        <w:rPr>
          <w:rFonts w:hint="eastAsia" w:ascii="仿宋_GB2312" w:hAnsi="仿宋_GB2312" w:eastAsia="仿宋_GB2312" w:cs="仿宋_GB2312"/>
          <w:b w:val="0"/>
          <w:bCs w:val="0"/>
          <w:color w:val="auto"/>
          <w:kern w:val="2"/>
          <w:sz w:val="32"/>
          <w:szCs w:val="32"/>
          <w:lang w:val="en-US" w:eastAsia="zh-CN" w:bidi="ar-SA"/>
        </w:rPr>
        <w:t>展宣讲</w:t>
      </w:r>
      <w:r>
        <w:rPr>
          <w:rFonts w:hint="eastAsia" w:ascii="仿宋_GB2312" w:hAnsi="仿宋_GB2312" w:eastAsia="仿宋_GB2312" w:cs="仿宋_GB2312"/>
          <w:b w:val="0"/>
          <w:bCs w:val="0"/>
          <w:color w:val="auto"/>
          <w:kern w:val="2"/>
          <w:sz w:val="32"/>
          <w:szCs w:val="32"/>
          <w:lang w:val="en-US" w:eastAsia="zh-CN" w:bidi="ar"/>
        </w:rPr>
        <w:t>99场、覆盖2.4万人次，编排大合唱《长征组歌·大会师》纪念中国人民抗日战争暨世界反法西斯战争胜利80周年。选拔优秀宣讲老兵120余名，开展老兵进校园、进社区、进企业等活动120余场，覆盖近6000人次。</w:t>
      </w:r>
      <w:r>
        <w:rPr>
          <w:rFonts w:hint="eastAsia" w:ascii="仿宋_GB2312" w:hAnsi="仿宋_GB2312" w:eastAsia="仿宋_GB2312" w:cs="仿宋_GB2312"/>
          <w:b w:val="0"/>
          <w:bCs w:val="0"/>
          <w:kern w:val="2"/>
          <w:sz w:val="32"/>
          <w:szCs w:val="32"/>
          <w:lang w:val="en-US" w:eastAsia="zh-CN" w:bidi="ar-SA"/>
        </w:rPr>
        <w:t>推荐优秀退役军人参加全国退役军人应急救援志愿服务队“四能指挥员”培训班。</w:t>
      </w:r>
      <w:r>
        <w:rPr>
          <w:rFonts w:hint="eastAsia" w:ascii="仿宋_GB2312" w:hAnsi="仿宋_GB2312" w:eastAsia="仿宋_GB2312" w:cs="仿宋_GB2312"/>
          <w:b w:val="0"/>
          <w:bCs w:val="0"/>
          <w:sz w:val="32"/>
          <w:szCs w:val="32"/>
          <w:lang w:val="en-US" w:eastAsia="zh-CN"/>
        </w:rPr>
        <w:t>积极响应市委社工部号召，发动志愿者在节日期间提供服务保障。</w:t>
      </w:r>
      <w:bookmarkEnd w:id="1"/>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bCs/>
          <w:caps w:val="0"/>
          <w:color w:val="000000"/>
          <w:spacing w:val="0"/>
          <w:kern w:val="2"/>
          <w:sz w:val="32"/>
          <w:szCs w:val="32"/>
          <w:shd w:val="clear" w:color="auto" w:fill="auto"/>
          <w:lang w:val="en-US" w:eastAsia="zh-CN" w:bidi="ar-SA"/>
        </w:rPr>
        <w:t>在双拥支前上更加注重系统集成、顺畅高效。</w:t>
      </w:r>
      <w:r>
        <w:rPr>
          <w:rFonts w:hint="eastAsia" w:ascii="仿宋_GB2312" w:hAnsi="仿宋_GB2312" w:eastAsia="仿宋_GB2312" w:cs="仿宋_GB2312"/>
          <w:b w:val="0"/>
          <w:bCs w:val="0"/>
          <w:color w:val="auto"/>
          <w:sz w:val="32"/>
          <w:szCs w:val="32"/>
          <w:shd w:val="clear" w:color="auto" w:fill="FFFFFF"/>
          <w:lang w:val="en-US" w:eastAsia="zh-CN"/>
        </w:rPr>
        <w:t>落实“双清单”制度，累计军地互办实事93件。</w:t>
      </w:r>
      <w:r>
        <w:rPr>
          <w:rFonts w:hint="eastAsia" w:ascii="仿宋_GB2312" w:hAnsi="仿宋_GB2312" w:eastAsia="仿宋_GB2312" w:cs="仿宋_GB2312"/>
          <w:color w:val="auto"/>
          <w:sz w:val="32"/>
          <w:szCs w:val="32"/>
          <w:shd w:val="clear" w:color="auto" w:fill="FFFFFF"/>
          <w:lang w:val="en-US" w:eastAsia="zh-CN"/>
        </w:rPr>
        <w:t>全面优化军供功能和保障网络，构建“医、食、住、行”综合服务平台。</w:t>
      </w:r>
      <w:r>
        <w:rPr>
          <w:rFonts w:hint="eastAsia" w:ascii="仿宋_GB2312" w:hAnsi="仿宋_GB2312" w:eastAsia="仿宋_GB2312" w:cs="仿宋_GB2312"/>
          <w:b w:val="0"/>
          <w:bCs w:val="0"/>
          <w:kern w:val="2"/>
          <w:sz w:val="32"/>
          <w:szCs w:val="32"/>
          <w:lang w:val="en-US" w:eastAsia="zh-CN" w:bidi="ar-SA"/>
        </w:rPr>
        <w:t>持续开展“城连共建”“城舰共建”</w:t>
      </w:r>
      <w:r>
        <w:rPr>
          <w:rFonts w:hint="eastAsia" w:ascii="仿宋_GB2312" w:hAnsi="仿宋_GB2312" w:eastAsia="仿宋_GB2312" w:cs="仿宋_GB2312"/>
          <w:b w:val="0"/>
          <w:bCs w:val="0"/>
          <w:color w:val="auto"/>
          <w:sz w:val="32"/>
          <w:szCs w:val="32"/>
          <w:shd w:val="clear" w:color="auto" w:fill="FFFFFF"/>
          <w:lang w:val="en-US" w:eastAsia="zh-CN"/>
        </w:rPr>
        <w:t>“走边防看亲人”</w:t>
      </w:r>
      <w:r>
        <w:rPr>
          <w:rFonts w:hint="eastAsia" w:ascii="仿宋_GB2312" w:hAnsi="仿宋_GB2312" w:eastAsia="仿宋_GB2312" w:cs="仿宋_GB2312"/>
          <w:b w:val="0"/>
          <w:bCs w:val="0"/>
          <w:kern w:val="2"/>
          <w:sz w:val="32"/>
          <w:szCs w:val="32"/>
          <w:lang w:val="en-US" w:eastAsia="zh-CN" w:bidi="ar-SA"/>
        </w:rPr>
        <w:t>活动，</w:t>
      </w:r>
      <w:r>
        <w:rPr>
          <w:rFonts w:hint="eastAsia" w:ascii="仿宋_GB2312" w:hAnsi="仿宋_GB2312" w:eastAsia="仿宋_GB2312" w:cs="仿宋_GB2312"/>
          <w:b w:val="0"/>
          <w:bCs w:val="0"/>
          <w:color w:val="auto"/>
          <w:sz w:val="32"/>
          <w:szCs w:val="32"/>
          <w:shd w:val="clear" w:color="auto" w:fill="FFFFFF"/>
          <w:lang w:val="en-US" w:eastAsia="zh-CN"/>
        </w:rPr>
        <w:t>协调市人大、政协领导分赴海军阳澄湖船、苏州舰开展庆“海军节”双拥共建活动，赴西藏察隅慰问苏州籍官兵。组织开展“崇军之城 温情守护”亲子夏令营，扎实开展“新兵守国·老兵守家”活动，成功结对426对。</w:t>
      </w:r>
      <w:r>
        <w:rPr>
          <w:rFonts w:hint="eastAsia" w:ascii="仿宋_GB2312" w:hAnsi="仿宋_GB2312" w:eastAsia="仿宋_GB2312" w:cs="仿宋_GB2312"/>
          <w:b w:val="0"/>
          <w:bCs w:val="0"/>
          <w:sz w:val="32"/>
          <w:szCs w:val="32"/>
          <w:lang w:val="en-US" w:eastAsia="zh-CN"/>
        </w:rPr>
        <w:t>联合人武部门为立功受奖军人家庭送喜报，邀请功臣父母参加烈士纪念日等重大纪念活动。扩展延伸社会化拥军领域，全市新增“拥军企业”120家、“拥军门店”800个、“拥军食堂”114家。</w:t>
      </w:r>
      <w:r>
        <w:rPr>
          <w:rFonts w:hint="eastAsia" w:ascii="仿宋_GB2312" w:hAnsi="仿宋_GB2312" w:eastAsia="仿宋_GB2312" w:cs="仿宋_GB2312"/>
          <w:b/>
          <w:bCs/>
          <w:sz w:val="32"/>
          <w:szCs w:val="32"/>
          <w:lang w:val="en-US" w:eastAsia="zh-CN"/>
        </w:rPr>
        <w:t>三是在安置就业上更加注重精准规范、扩面增效。</w:t>
      </w:r>
      <w:r>
        <w:rPr>
          <w:rFonts w:hint="eastAsia" w:ascii="仿宋_GB2312" w:hAnsi="仿宋_GB2312" w:eastAsia="仿宋_GB2312" w:cs="仿宋_GB2312"/>
          <w:sz w:val="32"/>
          <w:szCs w:val="32"/>
          <w:lang w:val="en-US" w:eastAsia="zh-CN"/>
        </w:rPr>
        <w:t>高质量完成转业军官、符合政府安排工作退役士兵安置任务，实现退役军人、接收单位和部队“三满意”。</w:t>
      </w:r>
      <w:r>
        <w:rPr>
          <w:rFonts w:hint="eastAsia" w:ascii="仿宋_GB2312" w:hAnsi="仿宋_GB2312" w:eastAsia="仿宋_GB2312" w:cs="仿宋_GB2312"/>
          <w:b w:val="0"/>
          <w:bCs w:val="0"/>
          <w:sz w:val="32"/>
          <w:szCs w:val="32"/>
          <w:lang w:val="en-US" w:eastAsia="zh-CN"/>
        </w:rPr>
        <w:t>组织</w:t>
      </w:r>
      <w:r>
        <w:rPr>
          <w:rFonts w:hint="eastAsia" w:ascii="仿宋_GB2312" w:hAnsi="仿宋_GB2312" w:eastAsia="仿宋_GB2312" w:cs="仿宋_GB2312"/>
          <w:sz w:val="32"/>
          <w:szCs w:val="32"/>
          <w:lang w:eastAsia="zh-CN"/>
        </w:rPr>
        <w:t>春秋两季自主就业退役士兵</w:t>
      </w:r>
      <w:r>
        <w:rPr>
          <w:rFonts w:hint="eastAsia" w:ascii="仿宋_GB2312" w:hAnsi="仿宋_GB2312" w:eastAsia="仿宋_GB2312" w:cs="仿宋_GB2312"/>
          <w:sz w:val="32"/>
          <w:szCs w:val="32"/>
          <w:lang w:val="en-US" w:eastAsia="zh-CN"/>
        </w:rPr>
        <w:t>完成</w:t>
      </w:r>
      <w:r>
        <w:rPr>
          <w:rFonts w:hint="eastAsia" w:ascii="仿宋_GB2312" w:hAnsi="仿宋_GB2312" w:eastAsia="仿宋_GB2312" w:cs="仿宋_GB2312"/>
          <w:sz w:val="32"/>
          <w:szCs w:val="32"/>
        </w:rPr>
        <w:t>“市域一体”</w:t>
      </w:r>
      <w:r>
        <w:rPr>
          <w:rFonts w:hint="eastAsia" w:ascii="仿宋_GB2312" w:hAnsi="仿宋_GB2312" w:eastAsia="仿宋_GB2312" w:cs="仿宋_GB2312"/>
          <w:sz w:val="32"/>
          <w:szCs w:val="32"/>
          <w:lang w:val="en-US" w:eastAsia="zh-CN"/>
        </w:rPr>
        <w:t>适应性培训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遴选6</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家培训机构纳入市退役军人补贴性教育培训承训机构信息黄页，</w:t>
      </w:r>
      <w:r>
        <w:rPr>
          <w:rFonts w:hint="eastAsia" w:ascii="仿宋_GB2312" w:hAnsi="仿宋_GB2312" w:eastAsia="仿宋_GB2312" w:cs="仿宋_GB2312"/>
          <w:sz w:val="32"/>
          <w:szCs w:val="32"/>
          <w:lang w:val="en-US" w:eastAsia="zh-CN"/>
        </w:rPr>
        <w:t>探索“政校企”职业技能合作培训模式，</w:t>
      </w:r>
      <w:r>
        <w:rPr>
          <w:rFonts w:hint="eastAsia" w:ascii="仿宋_GB2312" w:hAnsi="仿宋_GB2312" w:eastAsia="仿宋_GB2312" w:cs="仿宋_GB2312"/>
          <w:sz w:val="32"/>
          <w:szCs w:val="32"/>
        </w:rPr>
        <w:t>开展就业招聘活动</w:t>
      </w:r>
      <w:r>
        <w:rPr>
          <w:rFonts w:hint="eastAsia" w:ascii="仿宋_GB2312" w:hAnsi="仿宋_GB2312" w:eastAsia="仿宋_GB2312" w:cs="仿宋_GB2312"/>
          <w:sz w:val="32"/>
          <w:szCs w:val="32"/>
          <w:lang w:val="en-US" w:eastAsia="zh-CN"/>
        </w:rPr>
        <w:t>29场次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shd w:val="clear" w:color="auto" w:fill="FFFFFF"/>
          <w:lang w:val="en-US" w:eastAsia="zh-CN"/>
        </w:rPr>
        <w:t>指导市就业创业服务促进会开展会员培训活动。</w:t>
      </w:r>
      <w:r>
        <w:rPr>
          <w:rFonts w:hint="eastAsia" w:ascii="仿宋_GB2312" w:hAnsi="仿宋_GB2312" w:eastAsia="仿宋_GB2312" w:cs="仿宋_GB2312"/>
          <w:b w:val="0"/>
          <w:bCs w:val="0"/>
          <w:color w:val="auto"/>
          <w:sz w:val="32"/>
          <w:szCs w:val="32"/>
          <w:shd w:val="clear" w:color="auto" w:fill="FFFFFF"/>
          <w:lang w:val="en-US" w:eastAsia="zh-CN"/>
        </w:rPr>
        <w:t>推动在苏银行积极开发贷款产品，在全国率先发放退役军人创业贷，全年累计</w:t>
      </w:r>
      <w:r>
        <w:rPr>
          <w:rFonts w:hint="eastAsia" w:ascii="仿宋_GB2312" w:hAnsi="仿宋_GB2312" w:eastAsia="仿宋_GB2312" w:cs="仿宋_GB2312"/>
          <w:b w:val="0"/>
          <w:bCs w:val="0"/>
          <w:color w:val="auto"/>
          <w:spacing w:val="0"/>
          <w:kern w:val="0"/>
          <w:sz w:val="32"/>
          <w:szCs w:val="32"/>
          <w:u w:val="none"/>
          <w:shd w:val="clear" w:color="auto" w:fill="auto"/>
          <w:lang w:val="en-US" w:eastAsia="zh-CN"/>
        </w:rPr>
        <w:t>发放创业贷3784笔、金额超133亿元。</w:t>
      </w:r>
      <w:r>
        <w:rPr>
          <w:rFonts w:hint="eastAsia" w:ascii="仿宋_GB2312" w:hAnsi="仿宋_GB2312" w:eastAsia="仿宋_GB2312" w:cs="仿宋_GB2312"/>
          <w:sz w:val="32"/>
          <w:szCs w:val="32"/>
          <w:lang w:eastAsia="zh-CN"/>
        </w:rPr>
        <w:t>与工商银行苏州分行、南京银行苏州分行达成战略合作协议，推出多项</w:t>
      </w:r>
      <w:r>
        <w:rPr>
          <w:rFonts w:hint="eastAsia" w:ascii="仿宋_GB2312" w:hAnsi="仿宋_GB2312" w:eastAsia="仿宋_GB2312" w:cs="仿宋_GB2312"/>
          <w:sz w:val="32"/>
          <w:szCs w:val="32"/>
          <w:lang w:val="en-US" w:eastAsia="zh-CN"/>
        </w:rPr>
        <w:t>金融</w:t>
      </w:r>
      <w:r>
        <w:rPr>
          <w:rFonts w:hint="eastAsia" w:ascii="仿宋_GB2312" w:hAnsi="仿宋_GB2312" w:eastAsia="仿宋_GB2312" w:cs="仿宋_GB2312"/>
          <w:sz w:val="32"/>
          <w:szCs w:val="32"/>
          <w:lang w:eastAsia="zh-CN"/>
        </w:rPr>
        <w:t>优待项目，</w:t>
      </w:r>
      <w:r>
        <w:rPr>
          <w:rFonts w:hint="eastAsia" w:ascii="仿宋_GB2312" w:hAnsi="仿宋_GB2312" w:eastAsia="仿宋_GB2312" w:cs="仿宋_GB2312"/>
          <w:sz w:val="32"/>
          <w:szCs w:val="32"/>
          <w:lang w:val="en-US" w:eastAsia="zh-CN"/>
        </w:rPr>
        <w:t>上线“苏州军促会”</w:t>
      </w:r>
      <w:r>
        <w:rPr>
          <w:rFonts w:hint="eastAsia" w:ascii="仿宋_GB2312" w:hAnsi="仿宋_GB2312" w:eastAsia="仿宋_GB2312" w:cs="仿宋_GB2312"/>
          <w:sz w:val="32"/>
          <w:szCs w:val="32"/>
          <w:lang w:eastAsia="zh-CN"/>
        </w:rPr>
        <w:t>就业创业服务小程序。</w:t>
      </w:r>
      <w:r>
        <w:rPr>
          <w:rFonts w:hint="eastAsia" w:ascii="仿宋_GB2312" w:hAnsi="仿宋_GB2312" w:eastAsia="仿宋_GB2312" w:cs="仿宋_GB2312"/>
          <w:b/>
          <w:bCs/>
          <w:sz w:val="32"/>
          <w:szCs w:val="32"/>
          <w:lang w:val="en-US" w:eastAsia="zh-CN"/>
        </w:rPr>
        <w:t>四是</w:t>
      </w:r>
      <w:r>
        <w:rPr>
          <w:rFonts w:hint="eastAsia" w:ascii="Times New Roman" w:hAnsi="Times New Roman" w:eastAsia="仿宋_GB2312" w:cs="仿宋_GB2312"/>
          <w:b/>
          <w:bCs/>
          <w:kern w:val="2"/>
          <w:sz w:val="32"/>
          <w:szCs w:val="32"/>
          <w:lang w:val="en-US" w:eastAsia="zh-CN" w:bidi="ar-SA"/>
        </w:rPr>
        <w:t>在优待尊崇上更加注重可感可及、落地见效。</w:t>
      </w:r>
      <w:r>
        <w:rPr>
          <w:rFonts w:hint="eastAsia" w:ascii="仿宋_GB2312" w:hAnsi="仿宋_GB2312" w:eastAsia="仿宋_GB2312" w:cs="仿宋_GB2312"/>
          <w:color w:val="auto"/>
          <w:sz w:val="32"/>
          <w:szCs w:val="32"/>
          <w:shd w:val="clear" w:color="auto" w:fill="FFFFFF"/>
          <w:lang w:val="en-US" w:eastAsia="zh-CN"/>
        </w:rPr>
        <w:t>落实“双免”政策，率先在全国实现持优待证直接刷卡乘坐公交地铁，</w:t>
      </w:r>
      <w:r>
        <w:rPr>
          <w:rFonts w:hint="eastAsia" w:ascii="仿宋_GB2312" w:hAnsi="仿宋_GB2312" w:eastAsia="仿宋_GB2312" w:cs="仿宋_GB2312"/>
          <w:b w:val="0"/>
          <w:bCs w:val="0"/>
          <w:color w:val="auto"/>
          <w:sz w:val="32"/>
          <w:szCs w:val="32"/>
          <w:shd w:val="clear" w:color="auto" w:fill="FFFFFF"/>
          <w:lang w:val="en-US" w:eastAsia="zh-CN"/>
        </w:rPr>
        <w:t>探索推进商业保险优待服务。</w:t>
      </w:r>
      <w:r>
        <w:rPr>
          <w:rFonts w:hint="eastAsia" w:ascii="仿宋_GB2312" w:hAnsi="仿宋_GB2312" w:eastAsia="仿宋_GB2312" w:cs="仿宋_GB2312"/>
          <w:color w:val="auto"/>
          <w:sz w:val="32"/>
          <w:szCs w:val="32"/>
          <w:shd w:val="clear" w:color="auto" w:fill="FFFFFF"/>
          <w:lang w:val="en-US" w:eastAsia="zh-CN"/>
        </w:rPr>
        <w:t>升级“崇军康养”工程，新增市级优待定点医院17家、退役军人康养中心9家。</w:t>
      </w:r>
      <w:bookmarkStart w:id="2" w:name="OLE_LINK4"/>
      <w:r>
        <w:rPr>
          <w:rFonts w:hint="eastAsia" w:ascii="仿宋_GB2312" w:hAnsi="仿宋_GB2312" w:eastAsia="仿宋_GB2312" w:cs="仿宋_GB2312"/>
          <w:color w:val="auto"/>
          <w:sz w:val="32"/>
          <w:szCs w:val="32"/>
          <w:shd w:val="clear" w:color="auto" w:fill="FFFFFF"/>
          <w:lang w:val="en-US" w:eastAsia="zh-CN"/>
        </w:rPr>
        <w:t>开展清明祭扫、烈士纪念日公祭等活动，接待祭扫群众18.2万人次。组织“行走的思政课”活动440余场，吸引5.7万余人参与。</w:t>
      </w:r>
      <w:r>
        <w:rPr>
          <w:rFonts w:hint="eastAsia" w:ascii="仿宋_GB2312" w:hAnsi="仿宋_GB2312" w:eastAsia="仿宋_GB2312" w:cs="仿宋_GB2312"/>
          <w:sz w:val="32"/>
          <w:szCs w:val="32"/>
          <w:lang w:eastAsia="zh-CN"/>
        </w:rPr>
        <w:t>打造“崇军铸魂”思政教育品牌，推进英烈事迹宣讲“五进”，覆盖单位</w:t>
      </w:r>
      <w:r>
        <w:rPr>
          <w:rFonts w:hint="eastAsia" w:ascii="仿宋_GB2312" w:hAnsi="仿宋_GB2312" w:eastAsia="仿宋_GB2312" w:cs="仿宋_GB2312"/>
          <w:sz w:val="32"/>
          <w:szCs w:val="32"/>
          <w:lang w:val="en-US" w:eastAsia="zh-CN"/>
        </w:rPr>
        <w:t>305</w:t>
      </w:r>
      <w:r>
        <w:rPr>
          <w:rFonts w:hint="eastAsia" w:ascii="仿宋_GB2312" w:hAnsi="仿宋_GB2312" w:eastAsia="仿宋_GB2312" w:cs="仿宋_GB2312"/>
          <w:sz w:val="32"/>
          <w:szCs w:val="32"/>
          <w:lang w:eastAsia="zh-CN"/>
        </w:rPr>
        <w:t>家，受众</w:t>
      </w: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lang w:eastAsia="zh-CN"/>
        </w:rPr>
        <w:t>万人</w:t>
      </w:r>
      <w:r>
        <w:rPr>
          <w:rFonts w:hint="eastAsia" w:ascii="仿宋_GB2312" w:hAnsi="仿宋_GB2312" w:eastAsia="仿宋_GB2312" w:cs="仿宋_GB2312"/>
          <w:sz w:val="32"/>
          <w:szCs w:val="32"/>
          <w:lang w:val="en-US" w:eastAsia="zh-CN"/>
        </w:rPr>
        <w:t>次</w:t>
      </w:r>
      <w:r>
        <w:rPr>
          <w:rFonts w:hint="eastAsia" w:ascii="仿宋_GB2312" w:hAnsi="仿宋_GB2312" w:eastAsia="仿宋_GB2312" w:cs="仿宋_GB2312"/>
          <w:sz w:val="32"/>
          <w:szCs w:val="32"/>
          <w:lang w:eastAsia="zh-CN"/>
        </w:rPr>
        <w:t>。</w:t>
      </w:r>
      <w:bookmarkEnd w:id="2"/>
      <w:r>
        <w:rPr>
          <w:rFonts w:hint="eastAsia" w:ascii="仿宋_GB2312" w:hAnsi="仿宋_GB2312" w:eastAsia="仿宋_GB2312" w:cs="仿宋_GB2312"/>
          <w:sz w:val="32"/>
          <w:szCs w:val="32"/>
          <w:lang w:val="en-US" w:eastAsia="zh-CN"/>
        </w:rPr>
        <w:t>持续开展“致敬英雄·关爱烈属”系列活动，</w:t>
      </w:r>
      <w:r>
        <w:rPr>
          <w:rFonts w:hint="eastAsia" w:ascii="仿宋_GB2312" w:hAnsi="仿宋_GB2312" w:eastAsia="仿宋_GB2312" w:cs="仿宋_GB2312"/>
          <w:color w:val="auto"/>
          <w:sz w:val="32"/>
          <w:szCs w:val="32"/>
          <w:lang w:val="en-US" w:eastAsia="zh-CN"/>
        </w:rPr>
        <w:t>为烈属提供上门问诊、家庭保洁等服务</w:t>
      </w:r>
      <w:r>
        <w:rPr>
          <w:rFonts w:hint="eastAsia" w:ascii="仿宋_GB2312" w:hAnsi="仿宋_GB2312" w:eastAsia="仿宋_GB2312" w:cs="仿宋_GB2312"/>
          <w:color w:val="auto"/>
          <w:sz w:val="32"/>
          <w:szCs w:val="32"/>
          <w:shd w:val="clear" w:color="auto" w:fill="FFFFFF"/>
          <w:lang w:val="en-US" w:eastAsia="zh-CN"/>
        </w:rPr>
        <w:t>。</w:t>
      </w:r>
      <w:r>
        <w:rPr>
          <w:rFonts w:hint="eastAsia" w:ascii="仿宋_GB2312" w:hAnsi="仿宋_GB2312" w:eastAsia="仿宋_GB2312" w:cs="仿宋_GB2312"/>
          <w:b w:val="0"/>
          <w:bCs w:val="0"/>
          <w:sz w:val="32"/>
          <w:szCs w:val="32"/>
        </w:rPr>
        <w:t>全面落实军休干部“两个待遇”</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color w:val="auto"/>
          <w:sz w:val="32"/>
          <w:szCs w:val="32"/>
          <w:lang w:val="en-US" w:eastAsia="zh-CN"/>
        </w:rPr>
        <w:t>优化服务内容，办好军休老年大学，不断丰富军休干部精神文化生活。</w:t>
      </w:r>
      <w:r>
        <w:rPr>
          <w:rFonts w:hint="eastAsia" w:ascii="仿宋_GB2312" w:hAnsi="仿宋_GB2312" w:eastAsia="仿宋_GB2312" w:cs="仿宋_GB2312"/>
          <w:b/>
          <w:bCs/>
          <w:color w:val="auto"/>
          <w:sz w:val="32"/>
          <w:szCs w:val="32"/>
          <w:lang w:val="en-US" w:eastAsia="zh-CN"/>
        </w:rPr>
        <w:t>五是在服务保障上更加注重提质升级、常态长效。</w:t>
      </w:r>
      <w:r>
        <w:rPr>
          <w:rFonts w:hint="eastAsia" w:ascii="仿宋_GB2312" w:hAnsi="仿宋_GB2312" w:eastAsia="仿宋_GB2312" w:cs="仿宋_GB2312"/>
          <w:b w:val="0"/>
          <w:bCs w:val="0"/>
          <w:color w:val="auto"/>
          <w:sz w:val="32"/>
          <w:szCs w:val="32"/>
          <w:lang w:val="en-US" w:eastAsia="zh-CN"/>
        </w:rPr>
        <w:t>组织开展服务体系督查检查，围绕重点工作对基层服务中心（站）进行月度提示。指导服务中心（站）常态化开展“四访四送”，提供政策咨询、慰问关怀、法律援助、心理辅导等服务，</w:t>
      </w:r>
      <w:r>
        <w:rPr>
          <w:rFonts w:hint="eastAsia" w:ascii="仿宋_GB2312" w:hAnsi="仿宋_GB2312" w:eastAsia="仿宋_GB2312" w:cs="仿宋_GB2312"/>
          <w:b w:val="0"/>
          <w:bCs w:val="0"/>
          <w:color w:val="auto"/>
          <w:kern w:val="2"/>
          <w:sz w:val="32"/>
          <w:szCs w:val="32"/>
          <w:lang w:val="en-US" w:eastAsia="zh-CN" w:bidi="ar-SA"/>
        </w:rPr>
        <w:t>做好突发重大困难退役军人帮扶工作</w:t>
      </w:r>
      <w:r>
        <w:rPr>
          <w:rFonts w:hint="eastAsia" w:ascii="仿宋_GB2312" w:hAnsi="仿宋_GB2312" w:eastAsia="仿宋_GB2312" w:cs="仿宋_GB2312"/>
          <w:b w:val="0"/>
          <w:bCs w:val="0"/>
          <w:color w:val="auto"/>
          <w:sz w:val="32"/>
          <w:szCs w:val="32"/>
          <w:lang w:val="en-US" w:eastAsia="zh-CN"/>
        </w:rPr>
        <w:t>。</w:t>
      </w:r>
      <w:bookmarkStart w:id="3" w:name="OLE_LINK8"/>
      <w:r>
        <w:rPr>
          <w:rFonts w:hint="eastAsia" w:ascii="仿宋_GB2312" w:hAnsi="仿宋_GB2312" w:cs="仿宋_GB2312"/>
          <w:b w:val="0"/>
          <w:bCs w:val="0"/>
          <w:color w:val="auto"/>
          <w:sz w:val="32"/>
          <w:szCs w:val="32"/>
          <w:lang w:val="en-US" w:eastAsia="zh-CN"/>
        </w:rPr>
        <w:t>组织开展</w:t>
      </w:r>
      <w:r>
        <w:rPr>
          <w:rFonts w:hint="eastAsia" w:ascii="仿宋_GB2312" w:hAnsi="仿宋_GB2312" w:eastAsia="仿宋_GB2312" w:cs="仿宋_GB2312"/>
          <w:b w:val="0"/>
          <w:bCs w:val="0"/>
          <w:color w:val="auto"/>
          <w:sz w:val="32"/>
          <w:szCs w:val="32"/>
          <w:lang w:val="en-US" w:eastAsia="zh-CN"/>
        </w:rPr>
        <w:t>省基金会“双徽闪耀”急难特困救助项目申报，为困难对象申请帮扶资金。</w:t>
      </w:r>
      <w:bookmarkEnd w:id="3"/>
      <w:r>
        <w:rPr>
          <w:rFonts w:hint="eastAsia" w:ascii="仿宋_GB2312" w:hAnsi="仿宋_GB2312" w:eastAsia="仿宋_GB2312" w:cs="仿宋_GB2312"/>
          <w:b w:val="0"/>
          <w:bCs w:val="0"/>
          <w:color w:val="auto"/>
          <w:sz w:val="32"/>
          <w:szCs w:val="32"/>
          <w:lang w:val="en-US" w:eastAsia="zh-CN"/>
        </w:rPr>
        <w:t>持续构建“基层人武工作和退役军人事务共建互通”“退役军人事务入网入格”模式，不断提升服务质效。</w:t>
      </w:r>
      <w:r>
        <w:rPr>
          <w:rFonts w:hint="eastAsia" w:ascii="仿宋_GB2312" w:hAnsi="仿宋_GB2312" w:eastAsia="仿宋_GB2312" w:cs="仿宋_GB2312"/>
          <w:b w:val="0"/>
          <w:bCs w:val="0"/>
          <w:color w:val="auto"/>
          <w:sz w:val="32"/>
          <w:szCs w:val="32"/>
          <w:highlight w:val="none"/>
          <w:lang w:val="en-US" w:eastAsia="zh-CN"/>
        </w:rPr>
        <w:t>举办3期全市基层服务中心（站）工作人员业务培训班。</w:t>
      </w:r>
      <w:r>
        <w:rPr>
          <w:rFonts w:hint="eastAsia" w:ascii="仿宋_GB2312" w:hAnsi="仿宋_GB2312" w:eastAsia="仿宋_GB2312" w:cs="仿宋_GB2312"/>
          <w:b w:val="0"/>
          <w:bCs w:val="0"/>
          <w:color w:val="auto"/>
          <w:sz w:val="32"/>
          <w:szCs w:val="32"/>
          <w:lang w:val="en-US" w:eastAsia="zh-CN"/>
        </w:rPr>
        <w:t>大力弘扬“四下基层”优良作风，持续开展挂钩联系基层服务站</w:t>
      </w:r>
      <w:r>
        <w:rPr>
          <w:rFonts w:hint="eastAsia" w:ascii="仿宋_GB2312" w:hAnsi="仿宋_GB2312" w:cs="仿宋_GB2312"/>
          <w:b w:val="0"/>
          <w:bCs w:val="0"/>
          <w:color w:val="auto"/>
          <w:sz w:val="32"/>
          <w:szCs w:val="32"/>
          <w:lang w:val="en-US" w:eastAsia="zh-CN"/>
        </w:rPr>
        <w:t>活动</w:t>
      </w:r>
      <w:r>
        <w:rPr>
          <w:rFonts w:hint="eastAsia" w:ascii="仿宋_GB2312" w:hAnsi="仿宋_GB2312" w:eastAsia="仿宋_GB2312" w:cs="仿宋_GB2312"/>
          <w:b w:val="0"/>
          <w:bCs w:val="0"/>
          <w:color w:val="auto"/>
          <w:sz w:val="32"/>
          <w:szCs w:val="32"/>
          <w:lang w:val="en-US" w:eastAsia="zh-CN"/>
        </w:rPr>
        <w:t>，为退役军人多办好事实事。</w:t>
      </w:r>
    </w:p>
    <w:p w14:paraId="70D8F651">
      <w:pPr>
        <w:pStyle w:val="3"/>
        <w:keepNext w:val="0"/>
        <w:keepLines w:val="0"/>
        <w:pageBreakBefore w:val="0"/>
        <w:widowControl w:val="0"/>
        <w:numPr>
          <w:ilvl w:val="0"/>
          <w:numId w:val="0"/>
        </w:numPr>
        <w:kinsoku/>
        <w:wordWrap/>
        <w:overflowPunct w:val="0"/>
        <w:topLinePunct w:val="0"/>
        <w:autoSpaceDE/>
        <w:autoSpaceDN/>
        <w:bidi w:val="0"/>
        <w:adjustRightInd/>
        <w:snapToGrid/>
        <w:spacing w:before="0" w:after="0" w:line="580" w:lineRule="exact"/>
        <w:ind w:left="0" w:leftChars="0" w:firstLine="640" w:firstLineChars="200"/>
        <w:jc w:val="both"/>
        <w:textAlignment w:val="auto"/>
        <w:rPr>
          <w:rFonts w:hint="eastAsia" w:ascii="黑体" w:hAnsi="黑体" w:eastAsia="黑体" w:cs="黑体"/>
          <w:b w:val="0"/>
          <w:bCs w:val="0"/>
          <w:color w:val="auto"/>
          <w:spacing w:val="0"/>
          <w:kern w:val="2"/>
          <w:sz w:val="32"/>
          <w:szCs w:val="32"/>
          <w:shd w:val="clear" w:color="auto" w:fill="FFFFFF"/>
          <w:lang w:val="en-US" w:eastAsia="zh-CN" w:bidi="ar-SA"/>
        </w:rPr>
      </w:pPr>
      <w:bookmarkStart w:id="4" w:name="OLE_LINK11"/>
      <w:r>
        <w:rPr>
          <w:rFonts w:hint="eastAsia" w:ascii="黑体" w:hAnsi="黑体" w:eastAsia="黑体" w:cs="黑体"/>
          <w:b w:val="0"/>
          <w:bCs w:val="0"/>
          <w:color w:val="auto"/>
          <w:spacing w:val="0"/>
          <w:kern w:val="2"/>
          <w:sz w:val="32"/>
          <w:szCs w:val="32"/>
          <w:shd w:val="clear" w:color="auto" w:fill="FFFFFF"/>
          <w:lang w:val="en-US" w:eastAsia="zh-CN" w:bidi="ar-SA"/>
        </w:rPr>
        <w:t>二、2026年工作计划</w:t>
      </w:r>
    </w:p>
    <w:p w14:paraId="7117CE50">
      <w:pPr>
        <w:pStyle w:val="3"/>
        <w:keepNext w:val="0"/>
        <w:keepLines w:val="0"/>
        <w:pageBreakBefore w:val="0"/>
        <w:widowControl w:val="0"/>
        <w:numPr>
          <w:ilvl w:val="0"/>
          <w:numId w:val="0"/>
        </w:numPr>
        <w:kinsoku/>
        <w:wordWrap/>
        <w:overflowPunct w:val="0"/>
        <w:topLinePunct w:val="0"/>
        <w:autoSpaceDE/>
        <w:autoSpaceDN/>
        <w:bidi w:val="0"/>
        <w:adjustRightInd/>
        <w:snapToGrid/>
        <w:spacing w:before="0" w:after="0" w:line="580" w:lineRule="exact"/>
        <w:ind w:left="0" w:leftChars="0" w:firstLine="640" w:firstLineChars="200"/>
        <w:jc w:val="both"/>
        <w:textAlignment w:val="auto"/>
        <w:rPr>
          <w:rFonts w:hint="eastAsia" w:ascii="仿宋_GB2312" w:hAnsi="仿宋_GB2312" w:eastAsia="仿宋_GB2312" w:cs="仿宋_GB2312"/>
          <w:b w:val="0"/>
          <w:bC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bCs w:val="0"/>
          <w:color w:val="auto"/>
          <w:spacing w:val="0"/>
          <w:kern w:val="2"/>
          <w:sz w:val="32"/>
          <w:szCs w:val="32"/>
          <w:shd w:val="clear" w:color="auto" w:fill="FFFFFF"/>
          <w:lang w:val="en-US" w:eastAsia="zh-CN" w:bidi="ar-SA"/>
        </w:rPr>
        <w:t>2026年是“十五五”规划开局之年。市退役军人局将坚持以习近平新时代中国特色社会主义思想为指导，深入学习贯彻党的二十大和二十届历次全会精神，全面贯彻落实习近平总书记关于退役军人工作的重要论述，按照市委、市政府和省厅部署要求，坚持稳中求进工作总基调，坚持为经济社会发展服务、为国防和军队建设服务的方针，锚定“五好”“两让”目标，</w:t>
      </w:r>
      <w:bookmarkStart w:id="5" w:name="OLE_LINK9"/>
      <w:r>
        <w:rPr>
          <w:rFonts w:hint="eastAsia" w:ascii="仿宋_GB2312" w:hAnsi="仿宋_GB2312" w:eastAsia="仿宋_GB2312" w:cs="仿宋_GB2312"/>
          <w:b w:val="0"/>
          <w:bCs w:val="0"/>
          <w:color w:val="auto"/>
          <w:spacing w:val="0"/>
          <w:kern w:val="2"/>
          <w:sz w:val="32"/>
          <w:szCs w:val="32"/>
          <w:shd w:val="clear" w:color="auto" w:fill="FFFFFF"/>
          <w:lang w:val="en-US" w:eastAsia="zh-CN" w:bidi="ar-SA"/>
        </w:rPr>
        <w:t>以“六化”建设为关键抓手，</w:t>
      </w:r>
      <w:bookmarkEnd w:id="5"/>
      <w:r>
        <w:rPr>
          <w:rFonts w:hint="eastAsia" w:ascii="仿宋_GB2312" w:hAnsi="仿宋_GB2312" w:eastAsia="仿宋_GB2312" w:cs="仿宋_GB2312"/>
          <w:b w:val="0"/>
          <w:bCs w:val="0"/>
          <w:color w:val="auto"/>
          <w:spacing w:val="0"/>
          <w:kern w:val="2"/>
          <w:sz w:val="32"/>
          <w:szCs w:val="32"/>
          <w:shd w:val="clear" w:color="auto" w:fill="FFFFFF"/>
          <w:lang w:val="en-US" w:eastAsia="zh-CN" w:bidi="ar-SA"/>
        </w:rPr>
        <w:t>推动退役军人工作高质量发展再上新台阶。</w:t>
      </w:r>
    </w:p>
    <w:p w14:paraId="50EBCABE">
      <w:pPr>
        <w:pStyle w:val="3"/>
        <w:keepNext w:val="0"/>
        <w:keepLines w:val="0"/>
        <w:pageBreakBefore w:val="0"/>
        <w:widowControl w:val="0"/>
        <w:numPr>
          <w:ilvl w:val="0"/>
          <w:numId w:val="0"/>
        </w:numPr>
        <w:kinsoku/>
        <w:wordWrap/>
        <w:overflowPunct w:val="0"/>
        <w:topLinePunct w:val="0"/>
        <w:autoSpaceDE/>
        <w:autoSpaceDN/>
        <w:bidi w:val="0"/>
        <w:adjustRightInd/>
        <w:snapToGrid/>
        <w:spacing w:before="0" w:after="0" w:line="580" w:lineRule="exact"/>
        <w:ind w:left="0" w:leftChars="0" w:firstLine="640" w:firstLineChars="200"/>
        <w:jc w:val="both"/>
        <w:textAlignment w:val="auto"/>
        <w:rPr>
          <w:rFonts w:hint="default" w:ascii="Times New Roman" w:hAnsi="Times New Roman" w:eastAsia="仿宋_GB2312" w:cs="仿宋_GB2312"/>
          <w:b w:val="0"/>
          <w:bCs w:val="0"/>
          <w:color w:val="auto"/>
          <w:kern w:val="2"/>
          <w:sz w:val="32"/>
          <w:szCs w:val="32"/>
          <w:shd w:val="clear" w:color="auto" w:fill="FFFFFF"/>
          <w:lang w:val="en-US" w:eastAsia="zh-CN" w:bidi="ar-SA"/>
        </w:rPr>
      </w:pPr>
      <w:r>
        <w:rPr>
          <w:rFonts w:hint="eastAsia" w:ascii="Times New Roman" w:hAnsi="Times New Roman" w:eastAsia="楷体_GB2312" w:cs="Times New Roman"/>
          <w:b w:val="0"/>
          <w:bCs/>
          <w:kern w:val="2"/>
          <w:sz w:val="32"/>
          <w:szCs w:val="32"/>
          <w:lang w:val="en-US" w:eastAsia="zh-CN" w:bidi="ar-SA"/>
        </w:rPr>
        <w:t>（一）</w:t>
      </w:r>
      <w:bookmarkStart w:id="6" w:name="OLE_LINK6"/>
      <w:r>
        <w:rPr>
          <w:rFonts w:hint="default" w:ascii="Times New Roman" w:hAnsi="Times New Roman" w:eastAsia="楷体_GB2312" w:cs="Times New Roman"/>
          <w:b w:val="0"/>
          <w:bCs/>
          <w:kern w:val="2"/>
          <w:sz w:val="32"/>
          <w:szCs w:val="32"/>
          <w:lang w:val="en-US" w:eastAsia="zh-CN" w:bidi="ar-SA"/>
        </w:rPr>
        <w:t>以品牌化引领</w:t>
      </w:r>
      <w:bookmarkEnd w:id="4"/>
      <w:bookmarkEnd w:id="6"/>
      <w:r>
        <w:rPr>
          <w:rFonts w:hint="default" w:ascii="Times New Roman" w:hAnsi="Times New Roman" w:eastAsia="楷体_GB2312" w:cs="Times New Roman"/>
          <w:b w:val="0"/>
          <w:bCs/>
          <w:kern w:val="2"/>
          <w:sz w:val="32"/>
          <w:szCs w:val="32"/>
          <w:lang w:val="en-US" w:eastAsia="zh-CN" w:bidi="ar-SA"/>
        </w:rPr>
        <w:t>，擦亮退役军人工作标识。</w:t>
      </w:r>
      <w:r>
        <w:rPr>
          <w:rFonts w:hint="eastAsia" w:ascii="仿宋_GB2312" w:hAnsi="仿宋_GB2312" w:eastAsia="仿宋_GB2312" w:cs="仿宋_GB2312"/>
          <w:b w:val="0"/>
          <w:bCs w:val="0"/>
          <w:color w:val="auto"/>
          <w:kern w:val="2"/>
          <w:sz w:val="32"/>
          <w:szCs w:val="32"/>
          <w:shd w:val="clear" w:color="auto" w:fill="FFFFFF"/>
          <w:lang w:val="en-US" w:eastAsia="zh-CN" w:bidi="ar-SA"/>
        </w:rPr>
        <w:t>把品牌建设作为提升退役军人工作影响力、凝聚力的重要抓手，系统构建“1+N”品牌矩阵，不断提升退役军人工作、双拥工作的社会知晓度、群众认同感与情感温度。完善宣传工作机制，大力宣传关爱和保障退役军人的重要意义，及时报道退役军人工作新成效新做法，营造良好社会氛围。</w:t>
      </w:r>
    </w:p>
    <w:p w14:paraId="4CFE7990">
      <w:pPr>
        <w:keepNext w:val="0"/>
        <w:keepLines w:val="0"/>
        <w:pageBreakBefore w:val="0"/>
        <w:numPr>
          <w:ilvl w:val="0"/>
          <w:numId w:val="0"/>
        </w:numPr>
        <w:kinsoku/>
        <w:wordWrap/>
        <w:overflowPunct w:val="0"/>
        <w:topLinePunct w:val="0"/>
        <w:autoSpaceDE/>
        <w:autoSpaceDN/>
        <w:bidi w:val="0"/>
        <w:adjustRightInd/>
        <w:snapToGrid/>
        <w:spacing w:line="580" w:lineRule="exact"/>
        <w:ind w:left="0" w:leftChars="0" w:firstLine="640" w:firstLineChars="200"/>
        <w:textAlignment w:val="auto"/>
        <w:rPr>
          <w:rFonts w:hint="eastAsia" w:ascii="Times New Roman" w:hAnsi="Times New Roman" w:eastAsia="仿宋_GB2312" w:cs="Times New Roman"/>
          <w:b w:val="0"/>
          <w:bCs w:val="0"/>
          <w:color w:val="auto"/>
          <w:kern w:val="2"/>
          <w:sz w:val="32"/>
          <w:szCs w:val="32"/>
          <w:shd w:val="clear" w:color="auto" w:fill="FFFFFF"/>
          <w:lang w:val="en-US" w:eastAsia="zh-CN" w:bidi="ar-SA"/>
        </w:rPr>
      </w:pPr>
      <w:r>
        <w:rPr>
          <w:rFonts w:hint="eastAsia" w:ascii="Times New Roman" w:hAnsi="Times New Roman" w:eastAsia="楷体_GB2312" w:cs="Times New Roman"/>
          <w:b w:val="0"/>
          <w:bCs/>
          <w:kern w:val="2"/>
          <w:sz w:val="32"/>
          <w:szCs w:val="32"/>
          <w:lang w:val="en-US" w:eastAsia="zh-CN" w:bidi="ar-SA"/>
        </w:rPr>
        <w:t>（二）</w:t>
      </w:r>
      <w:r>
        <w:rPr>
          <w:rFonts w:hint="default" w:ascii="Times New Roman" w:hAnsi="Times New Roman" w:eastAsia="楷体_GB2312" w:cs="Times New Roman"/>
          <w:b w:val="0"/>
          <w:bCs/>
          <w:kern w:val="2"/>
          <w:sz w:val="32"/>
          <w:szCs w:val="32"/>
          <w:lang w:val="en-US" w:eastAsia="zh-CN" w:bidi="ar-SA"/>
        </w:rPr>
        <w:t>以体系化建设，稳固退役军人工作底盘。</w:t>
      </w:r>
      <w:r>
        <w:rPr>
          <w:rFonts w:hint="eastAsia" w:ascii="Times New Roman" w:hAnsi="Times New Roman" w:eastAsia="仿宋_GB2312" w:cs="仿宋_GB2312"/>
          <w:b w:val="0"/>
          <w:bCs w:val="0"/>
          <w:color w:val="auto"/>
          <w:kern w:val="2"/>
          <w:sz w:val="32"/>
          <w:szCs w:val="32"/>
          <w:shd w:val="clear" w:color="auto" w:fill="FFFFFF"/>
          <w:lang w:val="en-US" w:eastAsia="zh-CN" w:bidi="ar-SA"/>
        </w:rPr>
        <w:t>构建全流程安置就业体系，</w:t>
      </w:r>
      <w:r>
        <w:rPr>
          <w:rFonts w:hint="eastAsia" w:ascii="Times New Roman" w:hAnsi="Times New Roman" w:eastAsia="仿宋_GB2312" w:cs="仿宋_GB2312"/>
          <w:b w:val="0"/>
          <w:bCs w:val="0"/>
          <w:color w:val="auto"/>
          <w:spacing w:val="0"/>
          <w:kern w:val="2"/>
          <w:sz w:val="32"/>
          <w:szCs w:val="32"/>
          <w:shd w:val="clear" w:color="auto" w:fill="FFFFFF"/>
          <w:lang w:val="en-US" w:eastAsia="zh-CN" w:bidi="ar-SA"/>
        </w:rPr>
        <w:t>统筹做好退役军官、军士、义务兵等群体的接收安置工作，</w:t>
      </w:r>
      <w:r>
        <w:rPr>
          <w:rFonts w:hint="eastAsia" w:ascii="Times New Roman" w:hAnsi="Times New Roman" w:eastAsia="仿宋_GB2312"/>
          <w:b w:val="0"/>
          <w:bCs w:val="0"/>
          <w:color w:val="0D0D0D"/>
          <w:sz w:val="32"/>
          <w:szCs w:val="32"/>
          <w:lang w:val="en-US" w:eastAsia="zh-CN"/>
        </w:rPr>
        <w:t>深化“政校企”合作模式。</w:t>
      </w:r>
      <w:r>
        <w:rPr>
          <w:rFonts w:hint="eastAsia" w:ascii="Times New Roman" w:hAnsi="Times New Roman" w:eastAsia="仿宋_GB2312" w:cs="仿宋_GB2312"/>
          <w:b w:val="0"/>
          <w:bCs w:val="0"/>
          <w:color w:val="auto"/>
          <w:kern w:val="2"/>
          <w:sz w:val="32"/>
          <w:szCs w:val="32"/>
          <w:shd w:val="clear" w:color="auto" w:fill="FFFFFF"/>
          <w:lang w:val="en-US" w:eastAsia="zh-CN" w:bidi="ar-SA"/>
        </w:rPr>
        <w:t>构建全方位优待抚恤体系，</w:t>
      </w:r>
      <w:r>
        <w:rPr>
          <w:rFonts w:hint="eastAsia" w:ascii="Times New Roman" w:hAnsi="Times New Roman" w:eastAsia="仿宋_GB2312"/>
          <w:b w:val="0"/>
          <w:bCs w:val="0"/>
          <w:color w:val="0D0D0D"/>
          <w:sz w:val="32"/>
          <w:szCs w:val="32"/>
          <w:lang w:val="en-US" w:eastAsia="zh-CN"/>
        </w:rPr>
        <w:t>持续推进为优抚对象办实事行动，落实好军休干部“两个待遇”。</w:t>
      </w:r>
      <w:r>
        <w:rPr>
          <w:rFonts w:hint="eastAsia" w:ascii="Times New Roman" w:hAnsi="Times New Roman" w:eastAsia="仿宋_GB2312" w:cs="仿宋_GB2312"/>
          <w:b w:val="0"/>
          <w:bCs w:val="0"/>
          <w:color w:val="auto"/>
          <w:kern w:val="2"/>
          <w:sz w:val="32"/>
          <w:szCs w:val="32"/>
          <w:shd w:val="clear" w:color="auto" w:fill="FFFFFF"/>
          <w:lang w:val="en-US" w:eastAsia="zh-CN" w:bidi="ar-SA"/>
        </w:rPr>
        <w:t>构建全要素服务保障体系，</w:t>
      </w:r>
      <w:r>
        <w:rPr>
          <w:rFonts w:hint="eastAsia" w:ascii="Times New Roman" w:hAnsi="Times New Roman" w:eastAsia="仿宋_GB2312" w:cs="仿宋_GB2312"/>
          <w:b w:val="0"/>
          <w:bCs w:val="0"/>
          <w:kern w:val="2"/>
          <w:sz w:val="32"/>
          <w:szCs w:val="32"/>
          <w:lang w:val="en-US" w:eastAsia="zh-CN" w:bidi="ar-SA"/>
        </w:rPr>
        <w:t>提高服务保障能力</w:t>
      </w:r>
      <w:r>
        <w:rPr>
          <w:rFonts w:hint="default" w:ascii="Times New Roman" w:hAnsi="Times New Roman" w:eastAsia="仿宋_GB2312" w:cs="仿宋_GB2312"/>
          <w:b w:val="0"/>
          <w:bCs w:val="0"/>
          <w:kern w:val="2"/>
          <w:sz w:val="32"/>
          <w:szCs w:val="32"/>
          <w:lang w:val="en-US" w:eastAsia="zh-CN" w:bidi="ar-SA"/>
        </w:rPr>
        <w:t>。</w:t>
      </w:r>
      <w:r>
        <w:rPr>
          <w:rFonts w:hint="eastAsia" w:ascii="Times New Roman" w:hAnsi="Times New Roman" w:eastAsia="仿宋_GB2312" w:cs="仿宋_GB2312"/>
          <w:b w:val="0"/>
          <w:bCs w:val="0"/>
          <w:color w:val="auto"/>
          <w:kern w:val="2"/>
          <w:sz w:val="32"/>
          <w:szCs w:val="32"/>
          <w:shd w:val="clear" w:color="auto" w:fill="FFFFFF"/>
          <w:lang w:val="en-US" w:eastAsia="zh-CN" w:bidi="ar-SA"/>
        </w:rPr>
        <w:t>构建全链条拥军支前体系，</w:t>
      </w:r>
      <w:r>
        <w:rPr>
          <w:rFonts w:hint="eastAsia" w:ascii="Times New Roman" w:hAnsi="Times New Roman" w:eastAsia="仿宋_GB2312"/>
          <w:b w:val="0"/>
          <w:bCs w:val="0"/>
          <w:color w:val="0D0D0D"/>
          <w:sz w:val="32"/>
          <w:szCs w:val="32"/>
          <w:lang w:val="en-US" w:eastAsia="zh-CN"/>
        </w:rPr>
        <w:t>落实军地互办实事“双清单”制度，丰富拥军形式。</w:t>
      </w:r>
    </w:p>
    <w:p w14:paraId="24B73FCE">
      <w:pPr>
        <w:pStyle w:val="3"/>
        <w:keepNext w:val="0"/>
        <w:keepLines w:val="0"/>
        <w:pageBreakBefore w:val="0"/>
        <w:widowControl w:val="0"/>
        <w:numPr>
          <w:ilvl w:val="0"/>
          <w:numId w:val="0"/>
        </w:numPr>
        <w:kinsoku/>
        <w:wordWrap/>
        <w:overflowPunct w:val="0"/>
        <w:topLinePunct w:val="0"/>
        <w:autoSpaceDE/>
        <w:autoSpaceDN/>
        <w:bidi w:val="0"/>
        <w:adjustRightInd/>
        <w:snapToGrid/>
        <w:spacing w:before="0" w:after="0" w:line="580" w:lineRule="exact"/>
        <w:ind w:left="0" w:leftChars="0" w:firstLine="640" w:firstLineChars="200"/>
        <w:jc w:val="both"/>
        <w:textAlignment w:val="auto"/>
        <w:rPr>
          <w:rFonts w:hint="eastAsia" w:ascii="仿宋_GB2312" w:hAnsi="仿宋_GB2312" w:eastAsia="仿宋_GB2312" w:cs="仿宋_GB2312"/>
          <w:b w:val="0"/>
          <w:bCs w:val="0"/>
          <w:color w:val="auto"/>
          <w:spacing w:val="0"/>
          <w:kern w:val="2"/>
          <w:sz w:val="32"/>
          <w:szCs w:val="32"/>
          <w:u w:val="none"/>
          <w:shd w:val="clear" w:color="auto" w:fill="FFFFFF"/>
          <w:lang w:val="en-US" w:eastAsia="zh-CN" w:bidi="ar-SA"/>
        </w:rPr>
      </w:pPr>
      <w:bookmarkStart w:id="7" w:name="OLE_LINK13"/>
      <w:r>
        <w:rPr>
          <w:rFonts w:hint="eastAsia" w:ascii="Times New Roman" w:hAnsi="Times New Roman" w:eastAsia="楷体_GB2312" w:cs="Times New Roman"/>
          <w:b w:val="0"/>
          <w:bCs/>
          <w:kern w:val="2"/>
          <w:sz w:val="32"/>
          <w:szCs w:val="32"/>
          <w:lang w:val="en-US" w:eastAsia="zh-CN" w:bidi="ar-SA"/>
        </w:rPr>
        <w:t>（三）</w:t>
      </w:r>
      <w:bookmarkStart w:id="8" w:name="OLE_LINK12"/>
      <w:r>
        <w:rPr>
          <w:rFonts w:hint="default" w:ascii="Times New Roman" w:hAnsi="Times New Roman" w:eastAsia="楷体_GB2312" w:cs="Times New Roman"/>
          <w:b w:val="0"/>
          <w:bCs/>
          <w:spacing w:val="0"/>
          <w:kern w:val="2"/>
          <w:sz w:val="32"/>
          <w:szCs w:val="32"/>
          <w:lang w:val="en-US" w:eastAsia="zh-CN" w:bidi="ar-SA"/>
        </w:rPr>
        <w:t>以社会化服务</w:t>
      </w:r>
      <w:bookmarkEnd w:id="8"/>
      <w:r>
        <w:rPr>
          <w:rFonts w:hint="default" w:ascii="Times New Roman" w:hAnsi="Times New Roman" w:eastAsia="楷体_GB2312" w:cs="Times New Roman"/>
          <w:b w:val="0"/>
          <w:bCs/>
          <w:spacing w:val="0"/>
          <w:kern w:val="2"/>
          <w:sz w:val="32"/>
          <w:szCs w:val="32"/>
          <w:lang w:val="en-US" w:eastAsia="zh-CN" w:bidi="ar-SA"/>
        </w:rPr>
        <w:t>，汇聚退役军人工作合力。</w:t>
      </w:r>
      <w:r>
        <w:rPr>
          <w:rFonts w:hint="eastAsia" w:ascii="仿宋_GB2312" w:hAnsi="仿宋_GB2312" w:eastAsia="仿宋_GB2312" w:cs="仿宋_GB2312"/>
          <w:b w:val="0"/>
          <w:bCs w:val="0"/>
          <w:color w:val="auto"/>
          <w:spacing w:val="0"/>
          <w:kern w:val="2"/>
          <w:sz w:val="32"/>
          <w:szCs w:val="32"/>
          <w:shd w:val="clear" w:color="auto" w:fill="FFFFFF"/>
          <w:lang w:val="en-US" w:eastAsia="zh-CN" w:bidi="ar-SA"/>
        </w:rPr>
        <w:t>挖掘</w:t>
      </w:r>
      <w:r>
        <w:rPr>
          <w:rFonts w:hint="eastAsia" w:ascii="仿宋_GB2312" w:hAnsi="仿宋_GB2312" w:eastAsia="仿宋_GB2312" w:cs="仿宋_GB2312"/>
          <w:b w:val="0"/>
          <w:bCs w:val="0"/>
          <w:color w:val="auto"/>
          <w:spacing w:val="0"/>
          <w:kern w:val="2"/>
          <w:sz w:val="32"/>
          <w:szCs w:val="32"/>
          <w:u w:val="none"/>
          <w:shd w:val="clear" w:color="auto" w:fill="FFFFFF"/>
          <w:lang w:val="en-US" w:eastAsia="zh-CN" w:bidi="ar-SA"/>
        </w:rPr>
        <w:t>用好社会资源，帮助支持退役军人就业创业。</w:t>
      </w:r>
      <w:r>
        <w:rPr>
          <w:rFonts w:hint="eastAsia" w:ascii="仿宋_GB2312" w:hAnsi="仿宋_GB2312" w:eastAsia="仿宋_GB2312" w:cs="仿宋_GB2312"/>
          <w:b w:val="0"/>
          <w:bCs w:val="0"/>
          <w:color w:val="auto"/>
          <w:spacing w:val="0"/>
          <w:kern w:val="2"/>
          <w:sz w:val="32"/>
          <w:szCs w:val="32"/>
          <w:shd w:val="clear" w:color="auto" w:fill="FFFFFF"/>
          <w:lang w:val="en-US" w:eastAsia="zh-CN" w:bidi="ar-SA"/>
        </w:rPr>
        <w:t>积极实施“崇军康养”工程，</w:t>
      </w:r>
      <w:r>
        <w:rPr>
          <w:rFonts w:hint="eastAsia" w:ascii="仿宋_GB2312" w:hAnsi="仿宋_GB2312" w:eastAsia="仿宋_GB2312" w:cs="仿宋_GB2312"/>
          <w:b w:val="0"/>
          <w:bCs w:val="0"/>
          <w:color w:val="auto"/>
          <w:spacing w:val="0"/>
          <w:kern w:val="2"/>
          <w:sz w:val="32"/>
          <w:szCs w:val="32"/>
          <w:u w:val="none"/>
          <w:shd w:val="clear" w:color="auto" w:fill="FFFFFF"/>
          <w:lang w:val="en-US" w:eastAsia="zh-CN" w:bidi="ar-SA"/>
        </w:rPr>
        <w:t>提升社会化优待服务水平。扩大退役军人关爱基金（会）覆盖面，帮助解决退役军人急难愁盼问题。</w:t>
      </w:r>
      <w:r>
        <w:rPr>
          <w:rFonts w:hint="eastAsia" w:ascii="仿宋_GB2312" w:hAnsi="仿宋_GB2312" w:eastAsia="仿宋_GB2312" w:cs="仿宋_GB2312"/>
          <w:b w:val="0"/>
          <w:bCs w:val="0"/>
          <w:color w:val="auto"/>
          <w:spacing w:val="0"/>
          <w:kern w:val="2"/>
          <w:sz w:val="32"/>
          <w:szCs w:val="32"/>
          <w:shd w:val="clear" w:color="auto" w:fill="FFFFFF"/>
          <w:lang w:val="en-US" w:eastAsia="zh-CN" w:bidi="ar-SA"/>
        </w:rPr>
        <w:t>深化“部站共建互通”“退役军人事务入网入格”工作模式，推动服务保障与社会治理深度融合。</w:t>
      </w:r>
    </w:p>
    <w:p w14:paraId="3F26CF99">
      <w:pPr>
        <w:pStyle w:val="3"/>
        <w:keepNext w:val="0"/>
        <w:keepLines w:val="0"/>
        <w:pageBreakBefore w:val="0"/>
        <w:widowControl w:val="0"/>
        <w:numPr>
          <w:ilvl w:val="0"/>
          <w:numId w:val="0"/>
        </w:numPr>
        <w:kinsoku/>
        <w:wordWrap/>
        <w:overflowPunct w:val="0"/>
        <w:topLinePunct w:val="0"/>
        <w:autoSpaceDE/>
        <w:autoSpaceDN/>
        <w:bidi w:val="0"/>
        <w:adjustRightInd/>
        <w:snapToGrid/>
        <w:spacing w:before="0" w:after="0" w:line="580" w:lineRule="exact"/>
        <w:ind w:left="0" w:leftChars="0" w:firstLine="640" w:firstLineChars="200"/>
        <w:jc w:val="both"/>
        <w:textAlignment w:val="auto"/>
        <w:rPr>
          <w:rFonts w:hint="eastAsia" w:ascii="仿宋_GB2312" w:hAnsi="仿宋_GB2312" w:eastAsia="仿宋_GB2312" w:cs="仿宋_GB2312"/>
          <w:b w:val="0"/>
          <w:bCs w:val="0"/>
          <w:color w:val="auto"/>
          <w:kern w:val="2"/>
          <w:sz w:val="32"/>
          <w:szCs w:val="32"/>
          <w:shd w:val="clear" w:color="auto" w:fill="FFFFFF"/>
          <w:lang w:val="en-US" w:eastAsia="zh-CN" w:bidi="ar-SA"/>
        </w:rPr>
      </w:pPr>
      <w:r>
        <w:rPr>
          <w:rFonts w:hint="eastAsia" w:ascii="Times New Roman" w:hAnsi="Times New Roman" w:eastAsia="楷体_GB2312" w:cs="Times New Roman"/>
          <w:b w:val="0"/>
          <w:bCs/>
          <w:kern w:val="2"/>
          <w:sz w:val="32"/>
          <w:szCs w:val="32"/>
          <w:lang w:val="en-US" w:eastAsia="zh-CN" w:bidi="ar-SA"/>
        </w:rPr>
        <w:t>（四）</w:t>
      </w:r>
      <w:r>
        <w:rPr>
          <w:rFonts w:hint="default" w:ascii="Times New Roman" w:hAnsi="Times New Roman" w:eastAsia="楷体_GB2312" w:cs="Times New Roman"/>
          <w:b w:val="0"/>
          <w:bCs/>
          <w:kern w:val="2"/>
          <w:sz w:val="32"/>
          <w:szCs w:val="32"/>
          <w:lang w:val="en-US" w:eastAsia="zh-CN" w:bidi="ar-SA"/>
        </w:rPr>
        <w:t>以</w:t>
      </w:r>
      <w:r>
        <w:rPr>
          <w:rFonts w:hint="eastAsia" w:ascii="Times New Roman" w:hAnsi="Times New Roman" w:eastAsia="楷体_GB2312" w:cs="Times New Roman"/>
          <w:b w:val="0"/>
          <w:bCs/>
          <w:kern w:val="2"/>
          <w:sz w:val="32"/>
          <w:szCs w:val="32"/>
          <w:lang w:val="en-US" w:eastAsia="zh-CN" w:bidi="ar-SA"/>
        </w:rPr>
        <w:t>数智</w:t>
      </w:r>
      <w:r>
        <w:rPr>
          <w:rFonts w:hint="default" w:ascii="Times New Roman" w:hAnsi="Times New Roman" w:eastAsia="楷体_GB2312" w:cs="Times New Roman"/>
          <w:b w:val="0"/>
          <w:bCs/>
          <w:kern w:val="2"/>
          <w:sz w:val="32"/>
          <w:szCs w:val="32"/>
          <w:lang w:val="en-US" w:eastAsia="zh-CN" w:bidi="ar-SA"/>
        </w:rPr>
        <w:t>化赋能</w:t>
      </w:r>
      <w:bookmarkEnd w:id="7"/>
      <w:r>
        <w:rPr>
          <w:rFonts w:hint="default" w:ascii="Times New Roman" w:hAnsi="Times New Roman" w:eastAsia="楷体_GB2312" w:cs="Times New Roman"/>
          <w:b w:val="0"/>
          <w:bCs/>
          <w:kern w:val="2"/>
          <w:sz w:val="32"/>
          <w:szCs w:val="32"/>
          <w:lang w:val="en-US" w:eastAsia="zh-CN" w:bidi="ar-SA"/>
        </w:rPr>
        <w:t>，提升退役军人工作效率。</w:t>
      </w:r>
      <w:r>
        <w:rPr>
          <w:rFonts w:hint="eastAsia" w:ascii="仿宋_GB2312" w:hAnsi="仿宋_GB2312" w:eastAsia="仿宋_GB2312" w:cs="仿宋_GB2312"/>
          <w:b w:val="0"/>
          <w:bCs w:val="0"/>
          <w:color w:val="auto"/>
          <w:kern w:val="2"/>
          <w:sz w:val="32"/>
          <w:szCs w:val="32"/>
          <w:shd w:val="clear" w:color="auto" w:fill="FFFFFF"/>
          <w:lang w:val="en-US" w:eastAsia="zh-CN" w:bidi="ar-SA"/>
        </w:rPr>
        <w:t>按照“工作平台化、业务智能化、服务便捷化”工作思路，稳步推进年度信息化项目建设，将行政、业务等工作应纳尽纳到系统平台管理，进一步提高工作效率。持续推动“一库一平台N应用”建设，推进退役军人服务“一件事”“一站式”改革，实现对退役军人的精细管理和精准服务。</w:t>
      </w:r>
      <w:bookmarkStart w:id="9" w:name="OLE_LINK14"/>
    </w:p>
    <w:p w14:paraId="7ADD9090">
      <w:pPr>
        <w:keepNext w:val="0"/>
        <w:keepLines w:val="0"/>
        <w:pageBreakBefore w:val="0"/>
        <w:widowControl/>
        <w:numPr>
          <w:ilvl w:val="0"/>
          <w:numId w:val="0"/>
        </w:numPr>
        <w:suppressLineNumbers w:val="0"/>
        <w:kinsoku/>
        <w:wordWrap/>
        <w:overflowPunct w:val="0"/>
        <w:topLinePunct w:val="0"/>
        <w:autoSpaceDE/>
        <w:autoSpaceDN/>
        <w:bidi w:val="0"/>
        <w:adjustRightInd/>
        <w:snapToGrid/>
        <w:spacing w:line="580" w:lineRule="exact"/>
        <w:ind w:left="0" w:leftChars="0" w:firstLine="640" w:firstLineChars="200"/>
        <w:jc w:val="left"/>
        <w:textAlignment w:val="auto"/>
        <w:rPr>
          <w:rFonts w:hint="eastAsia" w:ascii="Times New Roman" w:hAnsi="Times New Roman" w:eastAsia="仿宋_GB2312" w:cs="Times New Roman"/>
          <w:b w:val="0"/>
          <w:bCs w:val="0"/>
          <w:color w:val="auto"/>
          <w:spacing w:val="0"/>
          <w:kern w:val="2"/>
          <w:sz w:val="32"/>
          <w:szCs w:val="32"/>
          <w:shd w:val="clear" w:color="auto" w:fill="FFFFFF"/>
          <w:lang w:val="en-US" w:eastAsia="zh-CN" w:bidi="ar-SA"/>
        </w:rPr>
      </w:pPr>
      <w:r>
        <w:rPr>
          <w:rFonts w:hint="eastAsia" w:ascii="Times New Roman" w:hAnsi="Times New Roman" w:eastAsia="楷体_GB2312" w:cs="Times New Roman"/>
          <w:b w:val="0"/>
          <w:bCs/>
          <w:spacing w:val="0"/>
          <w:kern w:val="2"/>
          <w:sz w:val="32"/>
          <w:szCs w:val="32"/>
          <w:lang w:val="en-US" w:eastAsia="zh-CN" w:bidi="ar-SA"/>
        </w:rPr>
        <w:t>（五）</w:t>
      </w:r>
      <w:r>
        <w:rPr>
          <w:rFonts w:hint="default" w:ascii="Times New Roman" w:hAnsi="Times New Roman" w:eastAsia="楷体_GB2312" w:cs="Times New Roman"/>
          <w:b w:val="0"/>
          <w:bCs/>
          <w:spacing w:val="0"/>
          <w:kern w:val="2"/>
          <w:sz w:val="32"/>
          <w:szCs w:val="32"/>
          <w:lang w:val="en-US" w:eastAsia="zh-CN" w:bidi="ar-SA"/>
        </w:rPr>
        <w:t>以法治化保障</w:t>
      </w:r>
      <w:bookmarkEnd w:id="9"/>
      <w:r>
        <w:rPr>
          <w:rFonts w:hint="default" w:ascii="Times New Roman" w:hAnsi="Times New Roman" w:eastAsia="楷体_GB2312" w:cs="Times New Roman"/>
          <w:b w:val="0"/>
          <w:bCs/>
          <w:spacing w:val="0"/>
          <w:kern w:val="2"/>
          <w:sz w:val="32"/>
          <w:szCs w:val="32"/>
          <w:lang w:val="en-US" w:eastAsia="zh-CN" w:bidi="ar-SA"/>
        </w:rPr>
        <w:t>，护航退役军人工作发展。</w:t>
      </w:r>
      <w:r>
        <w:rPr>
          <w:rFonts w:hint="eastAsia" w:ascii="Times New Roman" w:hAnsi="Times New Roman" w:eastAsia="仿宋_GB2312" w:cs="Times New Roman"/>
          <w:b w:val="0"/>
          <w:bCs w:val="0"/>
          <w:color w:val="auto"/>
          <w:kern w:val="2"/>
          <w:sz w:val="32"/>
          <w:szCs w:val="32"/>
          <w:shd w:val="clear" w:color="auto" w:fill="FFFFFF"/>
          <w:lang w:val="en-US" w:eastAsia="zh-CN" w:bidi="ar-SA"/>
        </w:rPr>
        <w:t>加强政策配套建设，构建上下贯通、系统完备的政策制度体系。</w:t>
      </w:r>
      <w:r>
        <w:rPr>
          <w:rFonts w:hint="default" w:ascii="Times New Roman" w:hAnsi="Times New Roman" w:eastAsia="仿宋_GB2312" w:cs="Times New Roman"/>
          <w:b w:val="0"/>
          <w:bCs w:val="0"/>
          <w:color w:val="auto"/>
          <w:kern w:val="2"/>
          <w:sz w:val="32"/>
          <w:szCs w:val="32"/>
          <w:shd w:val="clear" w:color="auto" w:fill="FFFFFF"/>
          <w:lang w:val="en-US" w:eastAsia="zh-CN" w:bidi="ar-SA"/>
        </w:rPr>
        <w:t>严格对标信访工作法治化建设要求，全力</w:t>
      </w:r>
      <w:r>
        <w:rPr>
          <w:rFonts w:hint="default" w:ascii="Times New Roman" w:hAnsi="Times New Roman" w:eastAsia="仿宋_GB2312" w:cs="Times New Roman"/>
          <w:b w:val="0"/>
          <w:bCs w:val="0"/>
          <w:color w:val="auto"/>
          <w:spacing w:val="0"/>
          <w:kern w:val="2"/>
          <w:sz w:val="32"/>
          <w:szCs w:val="32"/>
          <w:shd w:val="clear" w:color="auto" w:fill="FFFFFF"/>
          <w:lang w:val="en-US" w:eastAsia="zh-CN" w:bidi="ar-SA"/>
        </w:rPr>
        <w:t>推进信访事项依法依规化解</w:t>
      </w:r>
      <w:r>
        <w:rPr>
          <w:rFonts w:hint="eastAsia" w:ascii="Times New Roman" w:hAnsi="Times New Roman" w:eastAsia="仿宋_GB2312" w:cs="Times New Roman"/>
          <w:b w:val="0"/>
          <w:bCs w:val="0"/>
          <w:color w:val="auto"/>
          <w:kern w:val="2"/>
          <w:sz w:val="32"/>
          <w:szCs w:val="32"/>
          <w:shd w:val="clear" w:color="auto" w:fill="FFFFFF"/>
          <w:lang w:val="en-US" w:eastAsia="zh-CN" w:bidi="ar-SA"/>
        </w:rPr>
        <w:t>。健全信息公开、行政复议办理</w:t>
      </w:r>
      <w:r>
        <w:rPr>
          <w:rFonts w:hint="default" w:ascii="Times New Roman" w:hAnsi="Times New Roman" w:eastAsia="仿宋_GB2312" w:cs="Times New Roman"/>
          <w:b w:val="0"/>
          <w:bCs w:val="0"/>
          <w:color w:val="auto"/>
          <w:kern w:val="2"/>
          <w:sz w:val="32"/>
          <w:szCs w:val="32"/>
          <w:shd w:val="clear" w:color="auto" w:fill="FFFFFF"/>
          <w:lang w:val="en-US" w:eastAsia="zh-CN" w:bidi="ar-SA"/>
        </w:rPr>
        <w:t>流程，明确责任分工、规范办理程序</w:t>
      </w:r>
      <w:r>
        <w:rPr>
          <w:rFonts w:hint="default" w:ascii="Times New Roman" w:hAnsi="Times New Roman" w:eastAsia="仿宋_GB2312" w:cs="Times New Roman"/>
          <w:b w:val="0"/>
          <w:bCs w:val="0"/>
          <w:color w:val="auto"/>
          <w:spacing w:val="0"/>
          <w:kern w:val="2"/>
          <w:sz w:val="32"/>
          <w:szCs w:val="32"/>
          <w:shd w:val="clear" w:color="auto" w:fill="FFFFFF"/>
          <w:lang w:val="en-US" w:eastAsia="zh-CN" w:bidi="ar-SA"/>
        </w:rPr>
        <w:t>。</w:t>
      </w:r>
      <w:r>
        <w:rPr>
          <w:rFonts w:hint="eastAsia" w:ascii="Times New Roman" w:hAnsi="Times New Roman" w:eastAsia="仿宋_GB2312" w:cs="Times New Roman"/>
          <w:b w:val="0"/>
          <w:bCs w:val="0"/>
          <w:color w:val="auto"/>
          <w:spacing w:val="0"/>
          <w:kern w:val="2"/>
          <w:sz w:val="32"/>
          <w:szCs w:val="32"/>
          <w:shd w:val="clear" w:color="auto" w:fill="FFFFFF"/>
          <w:lang w:val="en-US" w:eastAsia="zh-CN" w:bidi="ar-SA"/>
        </w:rPr>
        <w:t>有序</w:t>
      </w:r>
      <w:r>
        <w:rPr>
          <w:rFonts w:hint="default" w:ascii="Times New Roman" w:hAnsi="Times New Roman" w:eastAsia="仿宋_GB2312" w:cs="Times New Roman"/>
          <w:b w:val="0"/>
          <w:bCs w:val="0"/>
          <w:color w:val="auto"/>
          <w:spacing w:val="0"/>
          <w:kern w:val="2"/>
          <w:sz w:val="32"/>
          <w:szCs w:val="32"/>
          <w:shd w:val="clear" w:color="auto" w:fill="FFFFFF"/>
          <w:lang w:val="en-US" w:eastAsia="zh-CN" w:bidi="ar-SA"/>
        </w:rPr>
        <w:t>推进</w:t>
      </w:r>
      <w:r>
        <w:rPr>
          <w:rFonts w:hint="eastAsia" w:ascii="Times New Roman" w:hAnsi="Times New Roman" w:eastAsia="仿宋_GB2312" w:cs="Times New Roman"/>
          <w:b w:val="0"/>
          <w:bCs w:val="0"/>
          <w:color w:val="auto"/>
          <w:spacing w:val="0"/>
          <w:kern w:val="2"/>
          <w:sz w:val="32"/>
          <w:szCs w:val="32"/>
          <w:shd w:val="clear" w:color="auto" w:fill="FFFFFF"/>
          <w:lang w:val="en-US" w:eastAsia="zh-CN" w:bidi="ar-SA"/>
        </w:rPr>
        <w:t>四级</w:t>
      </w:r>
      <w:r>
        <w:rPr>
          <w:rFonts w:hint="default" w:ascii="Times New Roman" w:hAnsi="Times New Roman" w:eastAsia="仿宋_GB2312" w:cs="Times New Roman"/>
          <w:b w:val="0"/>
          <w:bCs w:val="0"/>
          <w:color w:val="auto"/>
          <w:spacing w:val="0"/>
          <w:kern w:val="2"/>
          <w:sz w:val="32"/>
          <w:szCs w:val="32"/>
          <w:shd w:val="clear" w:color="auto" w:fill="FFFFFF"/>
          <w:lang w:val="en-US" w:eastAsia="zh-CN" w:bidi="ar-SA"/>
        </w:rPr>
        <w:t>法律援助体系建设，</w:t>
      </w:r>
      <w:r>
        <w:rPr>
          <w:rFonts w:hint="eastAsia" w:ascii="Times New Roman" w:hAnsi="Times New Roman" w:eastAsia="仿宋_GB2312" w:cs="Times New Roman"/>
          <w:b w:val="0"/>
          <w:bCs w:val="0"/>
          <w:color w:val="auto"/>
          <w:spacing w:val="0"/>
          <w:kern w:val="2"/>
          <w:sz w:val="32"/>
          <w:szCs w:val="32"/>
          <w:shd w:val="clear" w:color="auto" w:fill="FFFFFF"/>
          <w:lang w:val="en-US" w:eastAsia="zh-CN" w:bidi="ar-SA"/>
        </w:rPr>
        <w:t>切实维护</w:t>
      </w:r>
      <w:r>
        <w:rPr>
          <w:rFonts w:hint="default" w:ascii="Times New Roman" w:hAnsi="Times New Roman" w:eastAsia="仿宋_GB2312" w:cs="Times New Roman"/>
          <w:b w:val="0"/>
          <w:bCs w:val="0"/>
          <w:color w:val="auto"/>
          <w:spacing w:val="0"/>
          <w:kern w:val="2"/>
          <w:sz w:val="32"/>
          <w:szCs w:val="32"/>
          <w:shd w:val="clear" w:color="auto" w:fill="FFFFFF"/>
          <w:lang w:val="en-US" w:eastAsia="zh-CN" w:bidi="ar-SA"/>
        </w:rPr>
        <w:t>退役军人</w:t>
      </w:r>
      <w:r>
        <w:rPr>
          <w:rFonts w:hint="eastAsia" w:ascii="Times New Roman" w:hAnsi="Times New Roman" w:eastAsia="仿宋_GB2312" w:cs="Times New Roman"/>
          <w:b w:val="0"/>
          <w:bCs w:val="0"/>
          <w:color w:val="auto"/>
          <w:spacing w:val="0"/>
          <w:kern w:val="2"/>
          <w:sz w:val="32"/>
          <w:szCs w:val="32"/>
          <w:shd w:val="clear" w:color="auto" w:fill="FFFFFF"/>
          <w:lang w:val="en-US" w:eastAsia="zh-CN" w:bidi="ar-SA"/>
        </w:rPr>
        <w:t>合法权益。</w:t>
      </w:r>
    </w:p>
    <w:p w14:paraId="6B291964">
      <w:pPr>
        <w:pStyle w:val="3"/>
        <w:keepNext w:val="0"/>
        <w:keepLines w:val="0"/>
        <w:pageBreakBefore w:val="0"/>
        <w:widowControl w:val="0"/>
        <w:numPr>
          <w:ilvl w:val="0"/>
          <w:numId w:val="0"/>
        </w:numPr>
        <w:kinsoku/>
        <w:wordWrap/>
        <w:overflowPunct w:val="0"/>
        <w:topLinePunct w:val="0"/>
        <w:autoSpaceDE/>
        <w:autoSpaceDN/>
        <w:bidi w:val="0"/>
        <w:adjustRightInd/>
        <w:snapToGrid/>
        <w:spacing w:before="0" w:after="0" w:line="580" w:lineRule="exact"/>
        <w:ind w:left="0" w:leftChars="0" w:firstLine="640" w:firstLineChars="200"/>
        <w:jc w:val="both"/>
        <w:textAlignment w:val="auto"/>
        <w:rPr>
          <w:rFonts w:hint="eastAsia" w:ascii="Times New Roman" w:hAnsi="Times New Roman" w:eastAsia="仿宋_GB2312" w:cs="仿宋_GB2312"/>
          <w:b w:val="0"/>
          <w:bCs w:val="0"/>
          <w:color w:val="auto"/>
          <w:spacing w:val="0"/>
          <w:kern w:val="2"/>
          <w:sz w:val="32"/>
          <w:szCs w:val="32"/>
          <w:shd w:val="clear" w:color="auto" w:fill="FFFFFF"/>
          <w:lang w:val="en-US" w:eastAsia="zh-CN" w:bidi="ar-SA"/>
        </w:rPr>
      </w:pPr>
      <w:r>
        <w:rPr>
          <w:rFonts w:hint="eastAsia" w:ascii="Times New Roman" w:hAnsi="Times New Roman" w:eastAsia="楷体_GB2312" w:cs="Times New Roman"/>
          <w:b w:val="0"/>
          <w:bCs/>
          <w:kern w:val="2"/>
          <w:sz w:val="32"/>
          <w:szCs w:val="32"/>
          <w:lang w:val="en-US" w:eastAsia="zh-CN" w:bidi="ar-SA"/>
        </w:rPr>
        <w:t>（六）</w:t>
      </w:r>
      <w:r>
        <w:rPr>
          <w:rFonts w:hint="default" w:ascii="Times New Roman" w:hAnsi="Times New Roman" w:eastAsia="楷体_GB2312" w:cs="Times New Roman"/>
          <w:b w:val="0"/>
          <w:bCs/>
          <w:spacing w:val="0"/>
          <w:kern w:val="2"/>
          <w:sz w:val="32"/>
          <w:szCs w:val="32"/>
          <w:lang w:val="en-US" w:eastAsia="zh-CN" w:bidi="ar-SA"/>
        </w:rPr>
        <w:t>以专业</w:t>
      </w:r>
      <w:bookmarkStart w:id="11" w:name="_GoBack"/>
      <w:bookmarkEnd w:id="11"/>
      <w:r>
        <w:rPr>
          <w:rFonts w:hint="default" w:ascii="Times New Roman" w:hAnsi="Times New Roman" w:eastAsia="楷体_GB2312" w:cs="Times New Roman"/>
          <w:b w:val="0"/>
          <w:bCs/>
          <w:spacing w:val="0"/>
          <w:kern w:val="2"/>
          <w:sz w:val="32"/>
          <w:szCs w:val="32"/>
          <w:lang w:val="en-US" w:eastAsia="zh-CN" w:bidi="ar-SA"/>
        </w:rPr>
        <w:t>化队伍</w:t>
      </w:r>
      <w:bookmarkStart w:id="10" w:name="OLE_LINK15"/>
      <w:r>
        <w:rPr>
          <w:rFonts w:hint="default" w:ascii="Times New Roman" w:hAnsi="Times New Roman" w:eastAsia="楷体_GB2312" w:cs="Times New Roman"/>
          <w:b w:val="0"/>
          <w:bCs/>
          <w:spacing w:val="0"/>
          <w:kern w:val="2"/>
          <w:sz w:val="32"/>
          <w:szCs w:val="32"/>
          <w:lang w:val="en-US" w:eastAsia="zh-CN" w:bidi="ar-SA"/>
        </w:rPr>
        <w:t>，激发退役军人工作</w:t>
      </w:r>
      <w:bookmarkEnd w:id="10"/>
      <w:r>
        <w:rPr>
          <w:rFonts w:hint="default" w:ascii="Times New Roman" w:hAnsi="Times New Roman" w:eastAsia="楷体_GB2312" w:cs="Times New Roman"/>
          <w:b w:val="0"/>
          <w:bCs/>
          <w:spacing w:val="0"/>
          <w:kern w:val="2"/>
          <w:sz w:val="32"/>
          <w:szCs w:val="32"/>
          <w:lang w:val="en-US" w:eastAsia="zh-CN" w:bidi="ar-SA"/>
        </w:rPr>
        <w:t>潜能。</w:t>
      </w:r>
      <w:r>
        <w:rPr>
          <w:rFonts w:hint="eastAsia" w:ascii="Times New Roman" w:hAnsi="Times New Roman" w:eastAsia="仿宋_GB2312" w:cs="仿宋_GB2312"/>
          <w:b w:val="0"/>
          <w:bCs w:val="0"/>
          <w:color w:val="auto"/>
          <w:spacing w:val="0"/>
          <w:kern w:val="2"/>
          <w:sz w:val="32"/>
          <w:szCs w:val="32"/>
          <w:shd w:val="clear" w:color="auto" w:fill="FFFFFF"/>
          <w:lang w:val="en-US" w:eastAsia="zh-CN" w:bidi="ar-SA"/>
        </w:rPr>
        <w:t>实施能力提升工程，围绕政策法规解读、就业创业扶持、优待抚恤落实等内容，常态化开展专题培训，组织干部职工赴先进地区调研学习经验做法，不断提升工作队伍业务水平与解决问题能力。</w:t>
      </w:r>
    </w:p>
    <w:p w14:paraId="364727B6">
      <w:pPr>
        <w:keepNext w:val="0"/>
        <w:keepLines w:val="0"/>
        <w:pageBreakBefore w:val="0"/>
        <w:widowControl w:val="0"/>
        <w:kinsoku/>
        <w:wordWrap/>
        <w:overflowPunct w:val="0"/>
        <w:topLinePunct w:val="0"/>
        <w:autoSpaceDE/>
        <w:autoSpaceDN/>
        <w:bidi w:val="0"/>
        <w:adjustRightInd w:val="0"/>
        <w:snapToGrid w:val="0"/>
        <w:spacing w:line="240" w:lineRule="auto"/>
        <w:textAlignment w:val="auto"/>
        <w:rPr>
          <w:rFonts w:ascii="Times New Roman" w:hAnsi="Times New Roman"/>
        </w:rPr>
      </w:pPr>
    </w:p>
    <w:sectPr>
      <w:footerReference r:id="rId3" w:type="default"/>
      <w:pgSz w:w="11906" w:h="16838"/>
      <w:pgMar w:top="2041" w:right="1474" w:bottom="192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2E01F0-3364-48CB-A464-DCF832BFBB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5ABAFFBC-A90F-4656-A443-A161877965C9}"/>
  </w:font>
  <w:font w:name="Calibri Light">
    <w:panose1 w:val="020F0302020204030204"/>
    <w:charset w:val="00"/>
    <w:family w:val="auto"/>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embedRegular r:id="rId3" w:fontKey="{CA1E57D0-7249-4E36-B131-6CE097C43C33}"/>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4" w:fontKey="{E9972650-9D61-42A7-8590-1C1B0B592D8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298C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CC975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CC975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wMmQ5NmZkYjU2ZWQzYjU2NDM3N2M0ZDA3ZGExZDMifQ=="/>
  </w:docVars>
  <w:rsids>
    <w:rsidRoot w:val="69A31375"/>
    <w:rsid w:val="00456BB1"/>
    <w:rsid w:val="004C2B45"/>
    <w:rsid w:val="028B18FB"/>
    <w:rsid w:val="03A117B2"/>
    <w:rsid w:val="03FC70A1"/>
    <w:rsid w:val="04A15406"/>
    <w:rsid w:val="0553215B"/>
    <w:rsid w:val="08470072"/>
    <w:rsid w:val="085A4E8F"/>
    <w:rsid w:val="0996543A"/>
    <w:rsid w:val="0B4C599F"/>
    <w:rsid w:val="0B8D5083"/>
    <w:rsid w:val="0B9D3B12"/>
    <w:rsid w:val="0D074274"/>
    <w:rsid w:val="0D0E680E"/>
    <w:rsid w:val="0E533281"/>
    <w:rsid w:val="11DD3EE6"/>
    <w:rsid w:val="11F61EA5"/>
    <w:rsid w:val="153679D3"/>
    <w:rsid w:val="15CE3B81"/>
    <w:rsid w:val="15EB4733"/>
    <w:rsid w:val="15F4486A"/>
    <w:rsid w:val="16351E95"/>
    <w:rsid w:val="17057A51"/>
    <w:rsid w:val="17C469AA"/>
    <w:rsid w:val="196D1903"/>
    <w:rsid w:val="197902A7"/>
    <w:rsid w:val="1B227A12"/>
    <w:rsid w:val="1C330BE1"/>
    <w:rsid w:val="1C692B1F"/>
    <w:rsid w:val="1E205195"/>
    <w:rsid w:val="1EFE029C"/>
    <w:rsid w:val="1F1B2CC6"/>
    <w:rsid w:val="1F5C044F"/>
    <w:rsid w:val="1F7C647C"/>
    <w:rsid w:val="21CE4D28"/>
    <w:rsid w:val="23264FFC"/>
    <w:rsid w:val="234E6170"/>
    <w:rsid w:val="23735D67"/>
    <w:rsid w:val="238622A0"/>
    <w:rsid w:val="25D36F91"/>
    <w:rsid w:val="26301CEE"/>
    <w:rsid w:val="26C32B62"/>
    <w:rsid w:val="280021E2"/>
    <w:rsid w:val="28767C56"/>
    <w:rsid w:val="2A1E2ECD"/>
    <w:rsid w:val="2A53244F"/>
    <w:rsid w:val="2ABB0720"/>
    <w:rsid w:val="2B8912EA"/>
    <w:rsid w:val="2E8452CD"/>
    <w:rsid w:val="2F2422FE"/>
    <w:rsid w:val="2F462582"/>
    <w:rsid w:val="2F725B73"/>
    <w:rsid w:val="304534FE"/>
    <w:rsid w:val="30E12F3D"/>
    <w:rsid w:val="32096215"/>
    <w:rsid w:val="325A7E93"/>
    <w:rsid w:val="34570990"/>
    <w:rsid w:val="34E94737"/>
    <w:rsid w:val="354534D5"/>
    <w:rsid w:val="38A9557F"/>
    <w:rsid w:val="39D042B2"/>
    <w:rsid w:val="3CDC62D4"/>
    <w:rsid w:val="3DC41242"/>
    <w:rsid w:val="3DF80EEB"/>
    <w:rsid w:val="3ED74FA5"/>
    <w:rsid w:val="3F28194A"/>
    <w:rsid w:val="3F40206E"/>
    <w:rsid w:val="3FE07E89"/>
    <w:rsid w:val="40563697"/>
    <w:rsid w:val="42312C1E"/>
    <w:rsid w:val="431A01EA"/>
    <w:rsid w:val="43DA3792"/>
    <w:rsid w:val="47C54E4A"/>
    <w:rsid w:val="485B6C5E"/>
    <w:rsid w:val="499441BE"/>
    <w:rsid w:val="49FD0FEE"/>
    <w:rsid w:val="4A702D6F"/>
    <w:rsid w:val="4B550AEC"/>
    <w:rsid w:val="4C1A156A"/>
    <w:rsid w:val="4C934C01"/>
    <w:rsid w:val="4CA368EA"/>
    <w:rsid w:val="4CB16E35"/>
    <w:rsid w:val="4D752558"/>
    <w:rsid w:val="4DAD3AA0"/>
    <w:rsid w:val="4FD5108C"/>
    <w:rsid w:val="4FDE1232"/>
    <w:rsid w:val="50147B70"/>
    <w:rsid w:val="52A35472"/>
    <w:rsid w:val="533802B0"/>
    <w:rsid w:val="542A3963"/>
    <w:rsid w:val="557C0A0A"/>
    <w:rsid w:val="55DB7267"/>
    <w:rsid w:val="5608283E"/>
    <w:rsid w:val="565A09B2"/>
    <w:rsid w:val="56C21396"/>
    <w:rsid w:val="57C245EC"/>
    <w:rsid w:val="57C739B1"/>
    <w:rsid w:val="58346B6C"/>
    <w:rsid w:val="58A55FB7"/>
    <w:rsid w:val="58EE6DB0"/>
    <w:rsid w:val="599C0E6D"/>
    <w:rsid w:val="59EC5950"/>
    <w:rsid w:val="5B22005D"/>
    <w:rsid w:val="5C164FFF"/>
    <w:rsid w:val="5C2F7D76"/>
    <w:rsid w:val="5D752161"/>
    <w:rsid w:val="5E185667"/>
    <w:rsid w:val="5E3B3678"/>
    <w:rsid w:val="5F801923"/>
    <w:rsid w:val="5FE1341E"/>
    <w:rsid w:val="62F05A47"/>
    <w:rsid w:val="63BA086D"/>
    <w:rsid w:val="65063DB4"/>
    <w:rsid w:val="653D1756"/>
    <w:rsid w:val="656A0078"/>
    <w:rsid w:val="657452D8"/>
    <w:rsid w:val="659F09CD"/>
    <w:rsid w:val="670307BF"/>
    <w:rsid w:val="67410451"/>
    <w:rsid w:val="675E59B4"/>
    <w:rsid w:val="694D1BCB"/>
    <w:rsid w:val="69A31375"/>
    <w:rsid w:val="6A0C16F7"/>
    <w:rsid w:val="6BB22489"/>
    <w:rsid w:val="6D6830E8"/>
    <w:rsid w:val="719426FE"/>
    <w:rsid w:val="71D8313B"/>
    <w:rsid w:val="7372653A"/>
    <w:rsid w:val="748A428C"/>
    <w:rsid w:val="74E219D2"/>
    <w:rsid w:val="74E76FE8"/>
    <w:rsid w:val="77F369BD"/>
    <w:rsid w:val="78774B27"/>
    <w:rsid w:val="7AF1296F"/>
    <w:rsid w:val="7C493449"/>
    <w:rsid w:val="7C991510"/>
    <w:rsid w:val="7CD97B5E"/>
    <w:rsid w:val="7D3174A7"/>
    <w:rsid w:val="7D605B8A"/>
    <w:rsid w:val="7EF53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rPr>
      <w:rFonts w:hint="eastAsia" w:eastAsia="仿宋_GB2312"/>
      <w:sz w:val="32"/>
      <w:szCs w:val="20"/>
    </w:rPr>
  </w:style>
  <w:style w:type="paragraph" w:styleId="3">
    <w:name w:val="Title"/>
    <w:basedOn w:val="1"/>
    <w:next w:val="4"/>
    <w:qFormat/>
    <w:uiPriority w:val="10"/>
    <w:pPr>
      <w:spacing w:before="240" w:after="60"/>
      <w:jc w:val="center"/>
      <w:outlineLvl w:val="0"/>
    </w:pPr>
    <w:rPr>
      <w:rFonts w:asciiTheme="majorHAnsi" w:hAnsiTheme="majorHAnsi" w:eastAsiaTheme="majorEastAsia" w:cstheme="majorBidi"/>
      <w:b/>
      <w:bCs/>
      <w:szCs w:val="32"/>
    </w:rPr>
  </w:style>
  <w:style w:type="paragraph" w:styleId="4">
    <w:name w:val="Body Text Indent"/>
    <w:basedOn w:val="1"/>
    <w:unhideWhenUsed/>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FollowedHyperlink"/>
    <w:basedOn w:val="9"/>
    <w:qFormat/>
    <w:uiPriority w:val="0"/>
    <w:rPr>
      <w:color w:val="005C81"/>
      <w:u w:val="none"/>
    </w:rPr>
  </w:style>
  <w:style w:type="character" w:styleId="11">
    <w:name w:val="Emphasis"/>
    <w:basedOn w:val="9"/>
    <w:qFormat/>
    <w:uiPriority w:val="0"/>
  </w:style>
  <w:style w:type="character" w:styleId="12">
    <w:name w:val="Hyperlink"/>
    <w:basedOn w:val="9"/>
    <w:qFormat/>
    <w:uiPriority w:val="0"/>
    <w:rPr>
      <w:color w:val="005C81"/>
      <w:u w:val="none"/>
    </w:rPr>
  </w:style>
  <w:style w:type="paragraph" w:customStyle="1" w:styleId="13">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3399</Words>
  <Characters>3464</Characters>
  <Lines>0</Lines>
  <Paragraphs>0</Paragraphs>
  <TotalTime>33</TotalTime>
  <ScaleCrop>false</ScaleCrop>
  <LinksUpToDate>false</LinksUpToDate>
  <CharactersWithSpaces>3465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2025-12-04T09:17:00Z</dcterms:created>
  <dc:creator>太阳花</dc:creator>
  <cp:lastModifiedBy>太阳花</cp:lastModifiedBy>
  <cp:lastPrinted>2026-02-05T06:49:00Z</cp:lastPrinted>
  <dcterms:modified xsi:type="dcterms:W3CDTF">2026-02-13T08:14:06Z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91E2B7F4EC964963967FD8F2D9C88160_13</vt:lpwstr>
  </property>
  <property fmtid="{D5CDD505-2E9C-101B-9397-08002B2CF9AE}" pid="4" name="KSOTemplateDocerSaveRecord">
    <vt:lpwstr>eyJoZGlkIjoiYjI1NjEzN2M0ZmQxYmJmODgxZTRhMDhlNDMzM2VlZDgiLCJ1c2VySWQiOiIyMzk3NDgzNjIifQ==</vt:lpwstr>
  </property>
</Properties>
</file>