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D262E">
      <w:pPr>
        <w:spacing w:line="580" w:lineRule="exact"/>
        <w:jc w:val="cente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苏州市财政局2025年工作总结和</w:t>
      </w:r>
    </w:p>
    <w:p w14:paraId="7903657C">
      <w:pPr>
        <w:spacing w:line="580" w:lineRule="exact"/>
        <w:jc w:val="cente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2026年工作</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计划</w:t>
      </w:r>
      <w:bookmarkStart w:id="5" w:name="_GoBack"/>
      <w:bookmarkEnd w:id="5"/>
    </w:p>
    <w:p w14:paraId="10142AAD">
      <w:pPr>
        <w:spacing w:line="580" w:lineRule="exact"/>
        <w:jc w:val="cente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p>
    <w:p w14:paraId="12594979">
      <w:pPr>
        <w:spacing w:line="580" w:lineRule="exact"/>
        <w:ind w:firstLine="640" w:firstLineChars="200"/>
        <w:rPr>
          <w:rFonts w:eastAsia="仿宋_GB2312"/>
          <w:sz w:val="32"/>
          <w:szCs w:val="32"/>
        </w:rPr>
      </w:pPr>
      <w:r>
        <w:rPr>
          <w:rFonts w:hint="eastAsia" w:eastAsia="仿宋_GB2312"/>
          <w:sz w:val="32"/>
          <w:szCs w:val="32"/>
        </w:rPr>
        <w:t>2025年</w:t>
      </w:r>
      <w:r>
        <w:rPr>
          <w:rFonts w:eastAsia="仿宋_GB2312"/>
          <w:sz w:val="32"/>
          <w:szCs w:val="32"/>
        </w:rPr>
        <w:t>，全市各级财政部门坚持以习近平新时代中国特色社会主义思想为指引，牢固树立以政领财、以财辅政角色站位，坚决贯彻市委、市政府决策部署，加力实施更加积极的财政政策，充分发挥财政支撑和保障作用，持续提升生财、聚财、用财能力水平，切实兜牢基层“三保”底线，着力防范化解政府债务风险，为“十四五”规划圆满收官、“十五五”规划良好开局提供坚强财政保障。</w:t>
      </w:r>
    </w:p>
    <w:p w14:paraId="06647184">
      <w:pPr>
        <w:spacing w:line="580" w:lineRule="exact"/>
        <w:ind w:firstLine="624" w:firstLineChars="200"/>
        <w:rPr>
          <w:rFonts w:hint="eastAsia" w:eastAsia="黑体"/>
          <w:spacing w:val="-4"/>
          <w:sz w:val="32"/>
          <w:szCs w:val="32"/>
        </w:rPr>
      </w:pPr>
      <w:r>
        <w:rPr>
          <w:rFonts w:eastAsia="黑体"/>
          <w:spacing w:val="-4"/>
          <w:sz w:val="32"/>
          <w:szCs w:val="32"/>
        </w:rPr>
        <w:t>一、2025年工作</w:t>
      </w:r>
      <w:r>
        <w:rPr>
          <w:rFonts w:hint="eastAsia" w:eastAsia="黑体"/>
          <w:spacing w:val="-4"/>
          <w:sz w:val="32"/>
          <w:szCs w:val="32"/>
        </w:rPr>
        <w:t>概况</w:t>
      </w:r>
    </w:p>
    <w:p w14:paraId="1AA2F0BD">
      <w:pPr>
        <w:adjustRightInd w:val="0"/>
        <w:snapToGrid w:val="0"/>
        <w:spacing w:line="580" w:lineRule="exact"/>
        <w:ind w:firstLine="624" w:firstLineChars="200"/>
        <w:rPr>
          <w:rFonts w:hint="eastAsia" w:eastAsia="仿宋_GB2312"/>
          <w:spacing w:val="-4"/>
          <w:sz w:val="32"/>
          <w:szCs w:val="32"/>
        </w:rPr>
      </w:pPr>
      <w:r>
        <w:rPr>
          <w:rFonts w:hint="eastAsia" w:eastAsia="楷体_GB2312"/>
          <w:spacing w:val="-4"/>
          <w:sz w:val="32"/>
          <w:szCs w:val="32"/>
        </w:rPr>
        <w:t>1．狠抓收支管理，财政保障基础持续稳固</w:t>
      </w:r>
      <w:r>
        <w:rPr>
          <w:rFonts w:hint="eastAsia" w:eastAsia="仿宋_GB2312"/>
          <w:spacing w:val="-4"/>
          <w:sz w:val="32"/>
          <w:szCs w:val="32"/>
        </w:rPr>
        <w:t>。坚持稳中求进工作总基调，着力在收支两端协同发力，确保财政平稳运行、稳中有进。密切跟踪宏观经济和重点税源变化，依法加强税收征管，规范非税收入管理，确保应收尽收。突出“小钱小气、大钱大方”，按照轻重缓急原则持续优化财政支出结构，继续严控一般性支出，切实将有限资金用在刀刃上。</w:t>
      </w:r>
    </w:p>
    <w:p w14:paraId="77FA553A">
      <w:pPr>
        <w:adjustRightInd w:val="0"/>
        <w:snapToGrid w:val="0"/>
        <w:spacing w:line="580" w:lineRule="exact"/>
        <w:ind w:firstLine="624" w:firstLineChars="200"/>
        <w:rPr>
          <w:rFonts w:eastAsia="仿宋_GB2312"/>
          <w:spacing w:val="-4"/>
          <w:sz w:val="32"/>
          <w:szCs w:val="32"/>
        </w:rPr>
      </w:pPr>
      <w:r>
        <w:rPr>
          <w:rFonts w:hint="eastAsia" w:eastAsia="楷体_GB2312"/>
          <w:spacing w:val="-4"/>
          <w:sz w:val="32"/>
          <w:szCs w:val="32"/>
        </w:rPr>
        <w:t>2．聚力赋能提质，服务发展大局精准高效</w:t>
      </w:r>
      <w:r>
        <w:rPr>
          <w:rFonts w:hint="eastAsia" w:eastAsia="仿宋_GB2312"/>
          <w:spacing w:val="-4"/>
          <w:sz w:val="32"/>
          <w:szCs w:val="32"/>
        </w:rPr>
        <w:t>。动态研判外贸外资形势，强化资金统筹和动态调控，及时出台一系列增量支持政策，全力保障各类稳外贸、降成本举措。坚持财政保障、对上争取与市场化相结合促进消费扩围升级。</w:t>
      </w:r>
      <w:bookmarkStart w:id="0" w:name="_Hlk217775845"/>
      <w:r>
        <w:rPr>
          <w:rFonts w:hint="eastAsia" w:eastAsia="仿宋_GB2312"/>
          <w:spacing w:val="-4"/>
          <w:sz w:val="32"/>
          <w:szCs w:val="32"/>
        </w:rPr>
        <w:t>完善普惠金融体系。</w:t>
      </w:r>
      <w:bookmarkStart w:id="1" w:name="OLE_LINK1"/>
      <w:r>
        <w:rPr>
          <w:rFonts w:hint="eastAsia" w:eastAsia="仿宋_GB2312"/>
          <w:spacing w:val="-4"/>
          <w:sz w:val="32"/>
          <w:szCs w:val="32"/>
        </w:rPr>
        <w:t>在“四贷联动”工作体系下加快建设多层次风险分担体系，协同优化“信保贷”、“科贷通”等政银担合作产品分险架构。</w:t>
      </w:r>
    </w:p>
    <w:bookmarkEnd w:id="0"/>
    <w:bookmarkEnd w:id="1"/>
    <w:p w14:paraId="59A498B7">
      <w:pPr>
        <w:adjustRightInd w:val="0"/>
        <w:snapToGrid w:val="0"/>
        <w:spacing w:line="580" w:lineRule="exact"/>
        <w:ind w:firstLine="624" w:firstLineChars="200"/>
        <w:rPr>
          <w:rFonts w:hint="eastAsia" w:eastAsia="仿宋_GB2312"/>
          <w:spacing w:val="-4"/>
          <w:sz w:val="32"/>
          <w:szCs w:val="32"/>
        </w:rPr>
      </w:pPr>
      <w:bookmarkStart w:id="2" w:name="OLE_LINK11"/>
      <w:r>
        <w:rPr>
          <w:rFonts w:hint="eastAsia" w:eastAsia="楷体_GB2312"/>
          <w:spacing w:val="-4"/>
          <w:sz w:val="32"/>
          <w:szCs w:val="32"/>
        </w:rPr>
        <w:t>3．强化创新驱动，支持产业升级加力提效</w:t>
      </w:r>
      <w:r>
        <w:rPr>
          <w:rFonts w:hint="eastAsia" w:eastAsia="仿宋_GB2312"/>
          <w:spacing w:val="-4"/>
          <w:sz w:val="32"/>
          <w:szCs w:val="32"/>
        </w:rPr>
        <w:t>。聚焦科技创新和产业转型升级，不断完善财政投入方向和支持方式。优化科技投入结构。加大培育创新型领军企业，服务“苏州智造”品牌建设。优化人才引育政策</w:t>
      </w:r>
      <w:r>
        <w:rPr>
          <w:rFonts w:hint="eastAsia" w:eastAsia="仿宋_GB2312"/>
          <w:spacing w:val="-4"/>
          <w:sz w:val="32"/>
          <w:szCs w:val="32"/>
          <w:lang w:eastAsia="zh-CN"/>
        </w:rPr>
        <w:t>，</w:t>
      </w:r>
      <w:r>
        <w:rPr>
          <w:rFonts w:hint="eastAsia" w:eastAsia="仿宋_GB2312"/>
          <w:spacing w:val="-4"/>
          <w:sz w:val="32"/>
          <w:szCs w:val="32"/>
        </w:rPr>
        <w:t>聚焦“高精尖缺”提高人才专项资金使用效益，支持顶尖人才团队引进。</w:t>
      </w:r>
    </w:p>
    <w:bookmarkEnd w:id="2"/>
    <w:p w14:paraId="1A838E0F">
      <w:pPr>
        <w:adjustRightInd w:val="0"/>
        <w:snapToGrid w:val="0"/>
        <w:spacing w:line="580" w:lineRule="exact"/>
        <w:ind w:firstLine="624" w:firstLineChars="200"/>
        <w:rPr>
          <w:rFonts w:hint="eastAsia" w:eastAsia="仿宋_GB2312"/>
          <w:spacing w:val="-4"/>
          <w:sz w:val="32"/>
          <w:szCs w:val="32"/>
        </w:rPr>
      </w:pPr>
      <w:r>
        <w:rPr>
          <w:rFonts w:hint="eastAsia" w:eastAsia="楷体_GB2312"/>
          <w:spacing w:val="-4"/>
          <w:sz w:val="32"/>
          <w:szCs w:val="32"/>
        </w:rPr>
        <w:t>4．坚持人民至上，民生福祉保障更加厚实</w:t>
      </w:r>
      <w:r>
        <w:rPr>
          <w:rFonts w:hint="eastAsia" w:eastAsia="仿宋_GB2312"/>
          <w:spacing w:val="-4"/>
          <w:sz w:val="32"/>
          <w:szCs w:val="32"/>
        </w:rPr>
        <w:t>。始终把保障和改善民生作为财政支出的优先方向，做到尽力而为、量力而行。落实逐步推行免费学前教育国家政策，及时拨付资金确保政策平稳落地。积极支持引进优质教育资源，推动在苏高校以产业为导向完善学科布局、培养模式。支持完善“一老一小”服务体系，强化医疗领域资金保障。持续加大古城保护、城市更新、文化传承等领域支持力度。</w:t>
      </w:r>
    </w:p>
    <w:p w14:paraId="0A46224D">
      <w:pPr>
        <w:adjustRightInd w:val="0"/>
        <w:snapToGrid w:val="0"/>
        <w:spacing w:line="580" w:lineRule="exact"/>
        <w:ind w:firstLine="624" w:firstLineChars="200"/>
        <w:rPr>
          <w:rFonts w:eastAsia="仿宋_GB2312"/>
          <w:spacing w:val="-4"/>
          <w:sz w:val="32"/>
          <w:szCs w:val="32"/>
        </w:rPr>
      </w:pPr>
      <w:r>
        <w:rPr>
          <w:rFonts w:hint="eastAsia" w:eastAsia="楷体_GB2312"/>
          <w:spacing w:val="-4"/>
          <w:sz w:val="32"/>
          <w:szCs w:val="32"/>
        </w:rPr>
        <w:t>5．深化改革创新，科学管理水平持续提升</w:t>
      </w:r>
      <w:r>
        <w:rPr>
          <w:rFonts w:hint="eastAsia" w:eastAsia="仿宋_GB2312"/>
          <w:spacing w:val="-4"/>
          <w:sz w:val="32"/>
          <w:szCs w:val="32"/>
        </w:rPr>
        <w:t>。以实施零基预算改革为引领，逐步推动财政管理科学化、精细化。推动零基预算加力扩围</w:t>
      </w:r>
      <w:bookmarkStart w:id="3" w:name="OLE_LINK2"/>
      <w:r>
        <w:rPr>
          <w:rFonts w:hint="eastAsia" w:eastAsia="仿宋_GB2312"/>
          <w:spacing w:val="-4"/>
          <w:sz w:val="32"/>
          <w:szCs w:val="32"/>
        </w:rPr>
        <w:t>，深化成本绩效分析，健全绩效管理体系。</w:t>
      </w:r>
      <w:bookmarkEnd w:id="3"/>
      <w:r>
        <w:rPr>
          <w:rFonts w:hint="eastAsia" w:eastAsia="仿宋_GB2312"/>
          <w:spacing w:val="-4"/>
          <w:sz w:val="32"/>
          <w:szCs w:val="32"/>
          <w:lang w:val="en-US" w:eastAsia="zh-CN"/>
        </w:rPr>
        <w:t>加快财政</w:t>
      </w:r>
      <w:r>
        <w:rPr>
          <w:rFonts w:hint="eastAsia" w:eastAsia="仿宋_GB2312"/>
          <w:spacing w:val="-4"/>
          <w:sz w:val="32"/>
          <w:szCs w:val="32"/>
        </w:rPr>
        <w:t>数智</w:t>
      </w:r>
      <w:r>
        <w:rPr>
          <w:rFonts w:hint="eastAsia" w:eastAsia="仿宋_GB2312"/>
          <w:spacing w:val="-4"/>
          <w:sz w:val="32"/>
          <w:szCs w:val="32"/>
          <w:lang w:val="en-US" w:eastAsia="zh-CN"/>
        </w:rPr>
        <w:t>化转型</w:t>
      </w:r>
      <w:r>
        <w:rPr>
          <w:rFonts w:hint="eastAsia" w:eastAsia="仿宋_GB2312"/>
          <w:spacing w:val="-4"/>
          <w:sz w:val="32"/>
          <w:szCs w:val="32"/>
        </w:rPr>
        <w:t>。依托“作物云”平台，创新实施AI+惠农资金管理，大幅提升信息采集效率，资金发放更加精准迅速。</w:t>
      </w:r>
    </w:p>
    <w:p w14:paraId="3F9E8DC8">
      <w:pPr>
        <w:adjustRightInd w:val="0"/>
        <w:snapToGrid w:val="0"/>
        <w:spacing w:line="580" w:lineRule="exact"/>
        <w:ind w:firstLine="624" w:firstLineChars="200"/>
        <w:rPr>
          <w:rFonts w:eastAsia="仿宋_GB2312"/>
          <w:spacing w:val="-4"/>
          <w:sz w:val="32"/>
          <w:szCs w:val="32"/>
        </w:rPr>
      </w:pPr>
      <w:r>
        <w:rPr>
          <w:rFonts w:hint="eastAsia" w:eastAsia="楷体_GB2312"/>
          <w:spacing w:val="-4"/>
          <w:sz w:val="32"/>
          <w:szCs w:val="32"/>
        </w:rPr>
        <w:t>6．聚焦发展所需，治理服务效能持续彰显</w:t>
      </w:r>
      <w:r>
        <w:rPr>
          <w:rFonts w:hint="eastAsia" w:eastAsia="仿宋_GB2312"/>
          <w:spacing w:val="-4"/>
          <w:sz w:val="32"/>
          <w:szCs w:val="32"/>
        </w:rPr>
        <w:t>。优化惠企资金管理</w:t>
      </w:r>
      <w:bookmarkStart w:id="4" w:name="_Hlk219364685"/>
      <w:r>
        <w:rPr>
          <w:rFonts w:hint="eastAsia" w:eastAsia="仿宋_GB2312"/>
          <w:spacing w:val="-4"/>
          <w:sz w:val="32"/>
          <w:szCs w:val="32"/>
          <w:lang w:eastAsia="zh-CN"/>
        </w:rPr>
        <w:t>，</w:t>
      </w:r>
      <w:r>
        <w:rPr>
          <w:rFonts w:hint="eastAsia" w:eastAsia="仿宋_GB2312"/>
          <w:spacing w:val="-4"/>
          <w:sz w:val="32"/>
          <w:szCs w:val="32"/>
        </w:rPr>
        <w:t>扩围惠企资金“免申直达”。加快推进市级专项资金管理系统与预算一体化系统、“一企来办”等平台互联互通。</w:t>
      </w:r>
      <w:bookmarkEnd w:id="4"/>
      <w:r>
        <w:rPr>
          <w:rFonts w:hint="eastAsia" w:eastAsia="仿宋_GB2312"/>
          <w:spacing w:val="-4"/>
          <w:sz w:val="32"/>
          <w:szCs w:val="32"/>
        </w:rPr>
        <w:t>支持会计行业培优引强</w:t>
      </w:r>
      <w:r>
        <w:rPr>
          <w:rFonts w:hint="eastAsia" w:eastAsia="仿宋_GB2312"/>
          <w:spacing w:val="-4"/>
          <w:sz w:val="32"/>
          <w:szCs w:val="32"/>
          <w:lang w:eastAsia="zh-CN"/>
        </w:rPr>
        <w:t>，</w:t>
      </w:r>
      <w:r>
        <w:rPr>
          <w:rFonts w:hint="eastAsia" w:eastAsia="仿宋_GB2312"/>
          <w:spacing w:val="-4"/>
          <w:sz w:val="32"/>
          <w:szCs w:val="32"/>
        </w:rPr>
        <w:t>积极引导会计审计评估行业健康发展。</w:t>
      </w:r>
    </w:p>
    <w:p w14:paraId="7447674C">
      <w:pPr>
        <w:spacing w:line="580" w:lineRule="exact"/>
        <w:ind w:firstLine="640" w:firstLineChars="200"/>
        <w:rPr>
          <w:rFonts w:eastAsia="黑体"/>
          <w:sz w:val="32"/>
          <w:szCs w:val="32"/>
          <w:shd w:val="clear" w:color="auto" w:fill="FFFFFF"/>
        </w:rPr>
      </w:pPr>
      <w:r>
        <w:rPr>
          <w:rFonts w:eastAsia="黑体"/>
          <w:sz w:val="32"/>
          <w:szCs w:val="32"/>
          <w:shd w:val="clear" w:color="auto" w:fill="FFFFFF"/>
        </w:rPr>
        <w:t>二、2026年工作计划</w:t>
      </w:r>
    </w:p>
    <w:p w14:paraId="16B79238">
      <w:pPr>
        <w:spacing w:line="580" w:lineRule="exact"/>
        <w:ind w:firstLine="624" w:firstLineChars="200"/>
        <w:rPr>
          <w:rFonts w:eastAsia="仿宋_GB2312"/>
          <w:spacing w:val="-4"/>
          <w:sz w:val="32"/>
          <w:szCs w:val="32"/>
        </w:rPr>
      </w:pPr>
      <w:r>
        <w:rPr>
          <w:rFonts w:eastAsia="仿宋_GB2312"/>
          <w:spacing w:val="-4"/>
          <w:sz w:val="32"/>
          <w:szCs w:val="32"/>
        </w:rPr>
        <w:t>2026年是“十五五”规划的开局之年。全市财政工作将在市委市政府的坚强领导下，深入贯彻中央经济工作会议精神，牢固树立“大财政”理念，以增强财政可持续性为统领，以提升财政科学管理水平为目标，继续实施更加积极的财政政策，在稳增长、提质效、防风险、守底线中彰显担当，为苏州高质量发展提供更加坚实的财政保障。</w:t>
      </w:r>
    </w:p>
    <w:p w14:paraId="2462F0BB">
      <w:pPr>
        <w:spacing w:line="580" w:lineRule="exact"/>
        <w:ind w:firstLine="624" w:firstLineChars="200"/>
        <w:rPr>
          <w:rFonts w:eastAsia="仿宋_GB2312"/>
          <w:spacing w:val="-4"/>
          <w:sz w:val="32"/>
          <w:szCs w:val="32"/>
        </w:rPr>
      </w:pPr>
      <w:r>
        <w:rPr>
          <w:rFonts w:hint="eastAsia" w:eastAsia="仿宋_GB2312"/>
          <w:spacing w:val="-4"/>
          <w:sz w:val="32"/>
          <w:szCs w:val="32"/>
        </w:rPr>
        <w:t>1.</w:t>
      </w:r>
      <w:r>
        <w:rPr>
          <w:rFonts w:eastAsia="楷体_GB2312"/>
          <w:sz w:val="32"/>
          <w:szCs w:val="32"/>
        </w:rPr>
        <w:t>稳住财政运行基本盘</w:t>
      </w:r>
      <w:r>
        <w:rPr>
          <w:rFonts w:hint="eastAsia" w:eastAsia="楷体_GB2312"/>
          <w:sz w:val="32"/>
          <w:szCs w:val="32"/>
        </w:rPr>
        <w:t>。</w:t>
      </w:r>
      <w:r>
        <w:rPr>
          <w:rFonts w:eastAsia="仿宋_GB2312"/>
          <w:sz w:val="32"/>
          <w:szCs w:val="32"/>
        </w:rPr>
        <w:t>加强协税护税工作机制，动态关注税源连续性、稳定性，抓好重点税源企业跟踪和分析研判，做好政策、服务支持保障。不折不扣落实各类税费优惠政策，涵养优质税源企业。</w:t>
      </w:r>
    </w:p>
    <w:p w14:paraId="7B4E4952">
      <w:pPr>
        <w:spacing w:line="600" w:lineRule="exact"/>
        <w:ind w:firstLine="640" w:firstLineChars="200"/>
        <w:rPr>
          <w:rFonts w:eastAsia="仿宋_GB2312"/>
          <w:sz w:val="32"/>
          <w:szCs w:val="32"/>
        </w:rPr>
      </w:pPr>
      <w:r>
        <w:rPr>
          <w:rFonts w:hint="eastAsia" w:eastAsia="楷体_GB2312"/>
          <w:sz w:val="32"/>
          <w:szCs w:val="32"/>
        </w:rPr>
        <w:t>2</w:t>
      </w:r>
      <w:r>
        <w:rPr>
          <w:rFonts w:eastAsia="楷体_GB2312"/>
          <w:sz w:val="32"/>
          <w:szCs w:val="32"/>
        </w:rPr>
        <w:t>.加强惠企专项资金管理</w:t>
      </w:r>
      <w:r>
        <w:rPr>
          <w:rFonts w:eastAsia="仿宋_GB2312"/>
          <w:sz w:val="32"/>
          <w:szCs w:val="32"/>
        </w:rPr>
        <w:t>。</w:t>
      </w:r>
      <w:r>
        <w:rPr>
          <w:rFonts w:hint="eastAsia" w:eastAsia="仿宋_GB2312"/>
          <w:sz w:val="32"/>
          <w:szCs w:val="32"/>
        </w:rPr>
        <w:t>加快、</w:t>
      </w:r>
      <w:r>
        <w:rPr>
          <w:rFonts w:eastAsia="仿宋_GB2312"/>
          <w:sz w:val="32"/>
          <w:szCs w:val="32"/>
        </w:rPr>
        <w:t>惠企资金支出进度，</w:t>
      </w:r>
      <w:r>
        <w:rPr>
          <w:rFonts w:hint="eastAsia" w:eastAsia="仿宋_GB2312"/>
          <w:sz w:val="32"/>
          <w:szCs w:val="32"/>
        </w:rPr>
        <w:t>扩大</w:t>
      </w:r>
      <w:r>
        <w:rPr>
          <w:rFonts w:eastAsia="仿宋_GB2312"/>
          <w:sz w:val="32"/>
          <w:szCs w:val="32"/>
        </w:rPr>
        <w:t>“免申即享”适用比例。充分发挥财政资金的引导撬动作用，以结果为导向，进一步优化各类专项资金的支持方向和范围，推动资金使用更加精准、更加高效。</w:t>
      </w:r>
    </w:p>
    <w:p w14:paraId="055FBE96">
      <w:pPr>
        <w:spacing w:line="600" w:lineRule="exact"/>
        <w:ind w:firstLine="640" w:firstLineChars="200"/>
        <w:rPr>
          <w:rFonts w:eastAsia="仿宋_GB2312"/>
          <w:sz w:val="32"/>
          <w:szCs w:val="32"/>
        </w:rPr>
      </w:pPr>
      <w:r>
        <w:rPr>
          <w:rFonts w:hint="eastAsia" w:eastAsia="楷体_GB2312"/>
          <w:sz w:val="32"/>
          <w:szCs w:val="32"/>
        </w:rPr>
        <w:t>3</w:t>
      </w:r>
      <w:r>
        <w:rPr>
          <w:rFonts w:eastAsia="楷体_GB2312"/>
          <w:sz w:val="32"/>
          <w:szCs w:val="32"/>
        </w:rPr>
        <w:t>.加力扩内需促消费</w:t>
      </w:r>
      <w:r>
        <w:rPr>
          <w:rFonts w:eastAsia="仿宋_GB2312"/>
          <w:sz w:val="32"/>
          <w:szCs w:val="32"/>
        </w:rPr>
        <w:t>。积极探索政府投融资新模式，围绕基础设施和公共事业补短补弱补软，科学合理谋划未来政府投资的投向和重点，有效激发民间投资活力。全力保障“三新”消费试点。探索财政支持消费新模式，聚焦首发经济、场景创新与IP跨界融合，激发消费市场活力。</w:t>
      </w:r>
    </w:p>
    <w:p w14:paraId="7BD41A27">
      <w:pPr>
        <w:spacing w:line="600" w:lineRule="exact"/>
        <w:ind w:firstLine="640" w:firstLineChars="200"/>
        <w:rPr>
          <w:rFonts w:eastAsia="仿宋_GB2312"/>
          <w:sz w:val="32"/>
          <w:szCs w:val="32"/>
        </w:rPr>
      </w:pPr>
      <w:r>
        <w:rPr>
          <w:rFonts w:hint="eastAsia" w:eastAsia="楷体_GB2312"/>
          <w:sz w:val="32"/>
          <w:szCs w:val="32"/>
        </w:rPr>
        <w:t>4</w:t>
      </w:r>
      <w:r>
        <w:rPr>
          <w:rFonts w:eastAsia="楷体_GB2312"/>
          <w:sz w:val="32"/>
          <w:szCs w:val="32"/>
        </w:rPr>
        <w:t>.优化民生领域支出结构</w:t>
      </w:r>
      <w:r>
        <w:rPr>
          <w:rFonts w:eastAsia="仿宋_GB2312"/>
          <w:sz w:val="32"/>
          <w:szCs w:val="32"/>
        </w:rPr>
        <w:t>。按照高质量发展要求，坚持投资于物与投资于人相结合，不断加大民生领域投入。对标高水平供给要求，加快推进教育、医疗等领域高层次人才和重点学科（专科）发展。探索农业保险新路径，丰富农业科技的场景与应用，实现“三农”政策资金的精准落地。</w:t>
      </w:r>
    </w:p>
    <w:p w14:paraId="12FC4042">
      <w:pPr>
        <w:spacing w:line="600" w:lineRule="exact"/>
        <w:ind w:firstLine="640" w:firstLineChars="200"/>
        <w:rPr>
          <w:rFonts w:eastAsia="仿宋_GB2312"/>
          <w:sz w:val="32"/>
          <w:szCs w:val="32"/>
        </w:rPr>
      </w:pPr>
      <w:r>
        <w:rPr>
          <w:rFonts w:hint="eastAsia" w:eastAsia="楷体_GB2312"/>
          <w:sz w:val="32"/>
          <w:szCs w:val="32"/>
        </w:rPr>
        <w:t>5</w:t>
      </w:r>
      <w:r>
        <w:rPr>
          <w:rFonts w:eastAsia="楷体_GB2312"/>
          <w:sz w:val="32"/>
          <w:szCs w:val="32"/>
        </w:rPr>
        <w:t>.支持行业高质量发展。</w:t>
      </w:r>
      <w:r>
        <w:rPr>
          <w:rFonts w:eastAsia="仿宋_GB2312"/>
          <w:sz w:val="32"/>
          <w:szCs w:val="32"/>
        </w:rPr>
        <w:t>进一步壮大本地头部机构，做大做强规上机构规模。加大市级高级会计人才培养力度，筹建1030重点产业财会分会，推动会计行业深度赋能苏州产业发展。</w:t>
      </w:r>
    </w:p>
    <w:p w14:paraId="7E0D2A1F">
      <w:pPr>
        <w:spacing w:line="600" w:lineRule="exact"/>
        <w:ind w:firstLine="640" w:firstLineChars="200"/>
        <w:rPr>
          <w:rFonts w:eastAsia="仿宋_GB2312"/>
          <w:sz w:val="32"/>
          <w:szCs w:val="32"/>
        </w:rPr>
      </w:pPr>
      <w:r>
        <w:rPr>
          <w:rFonts w:hint="eastAsia" w:eastAsia="楷体_GB2312"/>
          <w:sz w:val="32"/>
          <w:szCs w:val="32"/>
        </w:rPr>
        <w:t>6</w:t>
      </w:r>
      <w:r>
        <w:rPr>
          <w:rFonts w:eastAsia="楷体_GB2312"/>
          <w:sz w:val="32"/>
          <w:szCs w:val="32"/>
        </w:rPr>
        <w:t>.加快数智财政建设</w:t>
      </w:r>
      <w:r>
        <w:rPr>
          <w:rFonts w:eastAsia="仿宋_GB2312"/>
          <w:sz w:val="32"/>
          <w:szCs w:val="32"/>
        </w:rPr>
        <w:t>。积极运用大数据、人工智能赋能财政工作，将数字技术深度嵌入财政各领域、各环节</w:t>
      </w:r>
      <w:r>
        <w:rPr>
          <w:rFonts w:hint="eastAsia" w:eastAsia="仿宋_GB2312"/>
          <w:sz w:val="32"/>
          <w:szCs w:val="32"/>
        </w:rPr>
        <w:t>。</w:t>
      </w:r>
      <w:r>
        <w:rPr>
          <w:rFonts w:eastAsia="仿宋_GB2312"/>
          <w:sz w:val="32"/>
          <w:szCs w:val="32"/>
        </w:rPr>
        <w:t>加强基于数据的动态测算、智能分析和精准投入，实现财政资源的更优配置，更好履行党委政府“决策参谋”职能。</w:t>
      </w:r>
    </w:p>
    <w:p w14:paraId="12D10F43">
      <w:pPr>
        <w:spacing w:line="600" w:lineRule="exact"/>
        <w:ind w:firstLine="640" w:firstLineChars="200"/>
        <w:rPr>
          <w:rFonts w:eastAsia="仿宋_GB2312"/>
          <w:sz w:val="32"/>
          <w:szCs w:val="32"/>
        </w:rPr>
      </w:pPr>
    </w:p>
    <w:p w14:paraId="79433F20">
      <w:pPr>
        <w:spacing w:line="600" w:lineRule="exact"/>
        <w:ind w:firstLine="640" w:firstLineChars="200"/>
        <w:rPr>
          <w:rFonts w:eastAsia="仿宋_GB2312"/>
          <w:sz w:val="32"/>
          <w:szCs w:val="32"/>
        </w:rPr>
      </w:pPr>
    </w:p>
    <w:p w14:paraId="23D99AE6">
      <w:pPr>
        <w:spacing w:line="600" w:lineRule="exact"/>
        <w:ind w:firstLine="640" w:firstLineChars="200"/>
        <w:rPr>
          <w:rFonts w:eastAsia="仿宋_GB2312"/>
          <w:sz w:val="32"/>
          <w:szCs w:val="32"/>
        </w:rPr>
      </w:pPr>
    </w:p>
    <w:p w14:paraId="1608894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6CA"/>
    <w:rsid w:val="00040C86"/>
    <w:rsid w:val="000C6ABA"/>
    <w:rsid w:val="00101789"/>
    <w:rsid w:val="00247795"/>
    <w:rsid w:val="0041180B"/>
    <w:rsid w:val="00495B53"/>
    <w:rsid w:val="005C6215"/>
    <w:rsid w:val="00630426"/>
    <w:rsid w:val="00660292"/>
    <w:rsid w:val="00694946"/>
    <w:rsid w:val="008526CA"/>
    <w:rsid w:val="00916FDB"/>
    <w:rsid w:val="00A337BA"/>
    <w:rsid w:val="00CA77B2"/>
    <w:rsid w:val="00E45C3B"/>
    <w:rsid w:val="359B4383"/>
    <w:rsid w:val="62F63A1D"/>
    <w:rsid w:val="672A4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Cs w:val="22"/>
    </w:rPr>
  </w:style>
  <w:style w:type="paragraph" w:styleId="8">
    <w:name w:val="heading 7"/>
    <w:basedOn w:val="1"/>
    <w:next w:val="1"/>
    <w:link w:val="23"/>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Cs w:val="22"/>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asciiTheme="minorHAnsi" w:hAnsiTheme="minorHAnsi" w:eastAsiaTheme="minorEastAsia" w:cstheme="majorBidi"/>
      <w:color w:val="595959" w:themeColor="text1" w:themeTint="A6"/>
      <w:szCs w:val="22"/>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asciiTheme="minorHAnsi" w:hAnsiTheme="minorHAnsi" w:eastAsiaTheme="majorEastAsia" w:cstheme="majorBidi"/>
      <w:color w:val="595959" w:themeColor="text1" w:themeTint="A6"/>
      <w:szCs w:val="22"/>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35"/>
    <w:unhideWhenUsed/>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rFonts w:asciiTheme="minorHAnsi" w:hAnsiTheme="minorHAnsi" w:eastAsiaTheme="minorEastAsia" w:cstheme="minorBidi"/>
      <w:i/>
      <w:iCs/>
      <w:color w:val="404040" w:themeColor="text1" w:themeTint="BF"/>
      <w:szCs w:val="22"/>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Cs w:val="22"/>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1801</Words>
  <Characters>1825</Characters>
  <Lines>52</Lines>
  <Paragraphs>9</Paragraphs>
  <TotalTime>32</TotalTime>
  <ScaleCrop>false</ScaleCrop>
  <LinksUpToDate>false</LinksUpToDate>
  <CharactersWithSpaces>1825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2026-02-02T01:30:00Z</dcterms:created>
  <dc:creator>qian chen</dc:creator>
  <cp:lastModifiedBy>甍深</cp:lastModifiedBy>
  <dcterms:modified xsi:type="dcterms:W3CDTF">2026-03-03T09:35:20Z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eyJoZGlkIjoiY2EzNmFlYzU5ZWUwZGEzYTM2OGFmZTQ5NmU5NTE0OGUiLCJ1c2VySWQiOiI0MDc3MDQzNzMifQ==</vt:lpwstr>
  </property>
  <property fmtid="{D5CDD505-2E9C-101B-9397-08002B2CF9AE}" pid="3" name="KSOProductBuildVer">
    <vt:lpwstr>2052-12.1.0.25225</vt:lpwstr>
  </property>
  <property fmtid="{D5CDD505-2E9C-101B-9397-08002B2CF9AE}" pid="4" name="ICV">
    <vt:lpwstr>2EC231B4A9EC4EAFBF98DFDF535975D7_13</vt:lpwstr>
  </property>
</Properties>
</file>