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A598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32"/>
          <w:szCs w:val="32"/>
          <w:lang w:val="en-US" w:eastAsia="zh-CN"/>
        </w:rPr>
      </w:pPr>
      <w:r>
        <w:rPr>
          <w:rFonts w:hint="eastAsia" w:ascii="方正小标宋_GBK" w:hAnsi="方正小标宋_GBK" w:eastAsia="方正小标宋_GBK" w:cs="方正小标宋_GBK"/>
          <w:sz w:val="44"/>
          <w:szCs w:val="44"/>
          <w:highlight w:val="none"/>
          <w:lang w:val="en-US" w:eastAsia="zh-CN"/>
        </w:rPr>
        <w:t>2025年度苏州统计工作总结</w:t>
      </w:r>
    </w:p>
    <w:p w14:paraId="772BE6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14:paraId="44965F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市统计局始终坚持以习近平新时代中国特色社会主义思想为指导，深入学习贯彻党的二十大和二十届历次全会精神，认真贯彻落实习近平总书记对江苏、苏州工作的重要讲话和重要指示精神，紧紧围绕市委、市政</w:t>
      </w:r>
      <w:bookmarkStart w:id="0" w:name="_GoBack"/>
      <w:bookmarkEnd w:id="0"/>
      <w:r>
        <w:rPr>
          <w:rFonts w:hint="eastAsia" w:ascii="仿宋_GB2312" w:hAnsi="仿宋_GB2312" w:eastAsia="仿宋_GB2312" w:cs="仿宋_GB2312"/>
          <w:sz w:val="32"/>
          <w:szCs w:val="32"/>
          <w:lang w:val="en-US" w:eastAsia="zh-CN"/>
        </w:rPr>
        <w:t>府中心工作，全力推动全市统计工作提质增效，顺利完成全年各项工作任务，为苏州经济社会高质量</w:t>
      </w:r>
      <w:r>
        <w:rPr>
          <w:rFonts w:hint="eastAsia" w:ascii="楷体_GB2312" w:hAnsi="楷体_GB2312" w:eastAsia="楷体_GB2312" w:cs="楷体_GB2312"/>
          <w:b w:val="0"/>
          <w:bCs w:val="0"/>
          <w:sz w:val="32"/>
          <w:szCs w:val="32"/>
          <w:lang w:val="en-US" w:eastAsia="zh-CN"/>
        </w:rPr>
        <w:t>发展</w:t>
      </w:r>
      <w:r>
        <w:rPr>
          <w:rFonts w:hint="eastAsia" w:ascii="仿宋_GB2312" w:hAnsi="仿宋_GB2312" w:eastAsia="仿宋_GB2312" w:cs="仿宋_GB2312"/>
          <w:sz w:val="32"/>
          <w:szCs w:val="32"/>
          <w:lang w:val="en-US" w:eastAsia="zh-CN"/>
        </w:rPr>
        <w:t>提供了有力的统计支撑。</w:t>
      </w:r>
    </w:p>
    <w:p w14:paraId="552F87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一、坚持全面从严，机关党建政治引领坚强稳固</w:t>
      </w:r>
    </w:p>
    <w:p w14:paraId="6F7694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一是加强理论武装，坚定正确政治方向。</w:t>
      </w:r>
      <w:r>
        <w:rPr>
          <w:rFonts w:hint="eastAsia" w:ascii="仿宋_GB2312" w:hAnsi="仿宋_GB2312" w:eastAsia="仿宋_GB2312" w:cs="仿宋_GB2312"/>
          <w:sz w:val="32"/>
          <w:szCs w:val="32"/>
          <w:lang w:val="en-US" w:eastAsia="zh-CN"/>
        </w:rPr>
        <w:t>发挥党组理论学习中心组示范引领作用，将学习贯彻习近平总书记重要讲话重要指示精神与党的二十届四中全会精神一体推进，坚持学思用贯通、知信行统一，带领党员干部在思想上政治上行动上同党中央保持高度一致。坚持个人自学和集体学习研讨相结合，请进来和走出去相结合，全年共组织专题学习12次、研讨交流33人次。通过强化学习教育，进一步增强全体党员干部捍卫“两个确立”、做到“两个维护”的思想自觉和行动自觉。</w:t>
      </w:r>
    </w:p>
    <w:p w14:paraId="0064AE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二是坚持从严治党，营造良好政治生态。</w:t>
      </w:r>
      <w:r>
        <w:rPr>
          <w:rFonts w:hint="eastAsia" w:ascii="仿宋_GB2312" w:hAnsi="仿宋_GB2312" w:eastAsia="仿宋_GB2312" w:cs="仿宋_GB2312"/>
          <w:sz w:val="32"/>
          <w:szCs w:val="32"/>
          <w:lang w:val="en-US" w:eastAsia="zh-CN"/>
        </w:rPr>
        <w:t>扎实开展深入贯彻中央八项规定精神学习教育，坚持学查改一体推进，推动纪律规矩真正内化于心、外化于行。逐级签订党风廉政责任书，制定全面从严治党工作责任制“三张清单”，细化61项举措，层层压紧压实工作责任。组织开展廉政风险点排查，针对排查出的廉政风险点，制定41条具体防控措施。扎实做好巡察整改“后半篇”文章，建立健全常态化、长效化整改机制，巡察组反馈的6个方面16项具体整改任务已全部如期销号清零。</w:t>
      </w:r>
    </w:p>
    <w:p w14:paraId="711EB5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三是深化协同发展，推动党建业务融合。</w:t>
      </w:r>
      <w:r>
        <w:rPr>
          <w:rFonts w:hint="eastAsia" w:ascii="仿宋_GB2312" w:hAnsi="仿宋_GB2312" w:eastAsia="仿宋_GB2312" w:cs="仿宋_GB2312"/>
          <w:sz w:val="32"/>
          <w:szCs w:val="32"/>
          <w:lang w:val="en-US" w:eastAsia="zh-CN"/>
        </w:rPr>
        <w:t>坚持党建与业务工作同谋划、同部署、同推进、同考核，构建“党组—机关党委—党支部”三级责任体系，制定党建工作“三级”责任清单，形成一级抓一级、层层抓落实的工作格局。积极培育“数海扬帆勇担当 精准服务促发展”书记项目，深入打造“精准服务、数说发展”党建品牌，举办“党建领航强技能 以赛促学砺精兵”业务技能竞赛和“数说十四五”统计大讲堂，通过党建工作平台搭建统计业务舞台，实现党建与业务工作同频共振、共促共融。</w:t>
      </w:r>
    </w:p>
    <w:p w14:paraId="1399AD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二、服务发展大局，统计调查监测分析精准高效</w:t>
      </w:r>
    </w:p>
    <w:p w14:paraId="1D12FB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一是聚焦经济发展，精准研判保决策。</w:t>
      </w:r>
      <w:r>
        <w:rPr>
          <w:rFonts w:hint="eastAsia" w:ascii="仿宋_GB2312" w:hAnsi="仿宋_GB2312" w:eastAsia="仿宋_GB2312" w:cs="仿宋_GB2312"/>
          <w:sz w:val="32"/>
          <w:szCs w:val="32"/>
          <w:lang w:val="en-US" w:eastAsia="zh-CN"/>
        </w:rPr>
        <w:t>紧扣苏州服务全省挑大梁使命担当，建立主要经济指标“分时段、分领域、分板块”跟踪监测机制，固化形成四套“定制化表格”，实时监测经济运行的脉搏与走势，为党委、政府提供全面、直观、清晰的数据参考。充分发挥“数说”统计服务品牌的“参谋部”作用，全年撰写各类分析材料180多篇，其中《起步良好显韧劲，向好仍需添助力》《从经普数据看苏州经济高质量发展》等56篇次获市领导批示肯定，打造的季度《“数”说板块经济发展》分析品牌，也为市领导研判区域经济发展提供了重要统计参考。</w:t>
      </w:r>
    </w:p>
    <w:p w14:paraId="23B819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二是聚焦产业升级，动态监测赋动能。</w:t>
      </w:r>
      <w:r>
        <w:rPr>
          <w:rFonts w:hint="eastAsia" w:ascii="仿宋_GB2312" w:hAnsi="仿宋_GB2312" w:eastAsia="仿宋_GB2312" w:cs="仿宋_GB2312"/>
          <w:sz w:val="32"/>
          <w:szCs w:val="32"/>
          <w:lang w:val="en-US" w:eastAsia="zh-CN"/>
        </w:rPr>
        <w:t>围绕“四个走在前”“四个新”重大任务，持续跟进“1030”产业体系、服务业“1840”产业体系指标监测，动态监测1360多家对美出口规上工业企业、820多家人工智能规上企业、1200多家规上台资工业企业，并不断拓展高技术产业、战略性新兴产业等关键领域的监测维度，精准研判产业发展态势，深度赋能产业转型升级。创新搭建“制造业产能变化监测平台”，汇聚用电、用工、物流、税务等多源数据信息，对1500余家重点企业动态画像，精准识别出200多家产能转移或高风险企业，为“稳链保链”提供了及时有力的信息支撑。</w:t>
      </w:r>
    </w:p>
    <w:p w14:paraId="6EE810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三是聚焦普查调查，务实作风显成效。</w:t>
      </w:r>
      <w:r>
        <w:rPr>
          <w:rFonts w:hint="eastAsia" w:ascii="仿宋_GB2312" w:hAnsi="仿宋_GB2312" w:eastAsia="仿宋_GB2312" w:cs="仿宋_GB2312"/>
          <w:sz w:val="32"/>
          <w:szCs w:val="32"/>
          <w:lang w:val="en-US" w:eastAsia="zh-CN"/>
        </w:rPr>
        <w:t>高标准完成苏州市第五次全国经济普查所有任务，实现普查数据向发展动能的有效转化，苏州市及常熟市、吴江区、相城区统计局荣获“五经普”全国先进集体，苏州市统计局作为先进代表在全国总结表彰大会上交流发言，苏州获评先进集体、先进个人数量均为全省最多。稳步推进1%人口抽样调查，高质量完成36.56万个建筑物标绘、4万个住房单元入户登记等关键任务，为科学制定民生政策提供坚实可靠的数据支撑‌。积极开展美国加征关税对苏州企业影响、“苏超”赛事效应、民生实事项目市民评议等系列专项调查，用一个个“小切口”的精准数据，撬动服务发展、服务民生的“大文章”。</w:t>
      </w:r>
    </w:p>
    <w:p w14:paraId="67821D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三、坚持法治固本，落实防治统计造假坚决有力</w:t>
      </w:r>
    </w:p>
    <w:p w14:paraId="5A2F61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一是学法普法齐头并进，筑牢依法统计思想根基。</w:t>
      </w:r>
      <w:r>
        <w:rPr>
          <w:rFonts w:hint="eastAsia" w:ascii="仿宋_GB2312" w:hAnsi="仿宋_GB2312" w:eastAsia="仿宋_GB2312" w:cs="仿宋_GB2312"/>
          <w:sz w:val="32"/>
          <w:szCs w:val="32"/>
          <w:lang w:val="en-US" w:eastAsia="zh-CN"/>
        </w:rPr>
        <w:t>扛起学习宣传统计法牵头部门责任，第一时间向市委、市政府汇报习近平总书记关于防治统计造假的重要讲话和重要指示批示精神以及国家和省最新要求，推动市委常委会、市政府常务会议先后6次专题学习统计法治相关内容。邀请省统计局局长为全市领导干部作树立和践行正确政绩观专题辅导，多次赴市、县党校领导干部培训班及其他干部培训班宣讲统计法，强化领导干部依法统计意识。创造性开展“线上+线下”立体普法新模式，线上借助“苏工惠”平台推出答题宣传活动，线下走进企业厂房、商场商圈、居民社区开展各类活动，推动依法统计从“行业自觉”上升为“社会共识”。</w:t>
      </w:r>
    </w:p>
    <w:p w14:paraId="5B8F79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二是监督执法量质并举，坚决防范惩治统计造假。</w:t>
      </w:r>
      <w:r>
        <w:rPr>
          <w:rFonts w:hint="eastAsia" w:ascii="仿宋_GB2312" w:hAnsi="仿宋_GB2312" w:eastAsia="仿宋_GB2312" w:cs="仿宋_GB2312"/>
          <w:sz w:val="32"/>
          <w:szCs w:val="32"/>
          <w:lang w:val="en-US" w:eastAsia="zh-CN"/>
        </w:rPr>
        <w:t>对照国家督察江苏反馈意见，举一反三研究制定苏州整改方案，不折不扣牵头抓落实、促整改，高标准完成四个方面13项督察整改任务。联合9部门认真贯彻落实国家8部委《实施方案》，出台《苏州市统计局统计违纪违法案件通报制度》等6个文件，建立与组织部门常态化沟通机制的6条举措，统计监督与组织监督、审计监督、巡视巡察监督的协同贯通进一步强化。扎实开展统计造假专项整治“回头看”，深挖巡视巡察线索，严格开展执法检查，开展执法检查300多家，给予行政处罚5家、责令改正7家，持续释放不敢假、不能假、不想假的强烈信号。</w:t>
      </w:r>
    </w:p>
    <w:p w14:paraId="7BE7F0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三是审查核查同向发力，源头填报数据更加准确。</w:t>
      </w:r>
      <w:r>
        <w:rPr>
          <w:rFonts w:hint="eastAsia" w:ascii="仿宋_GB2312" w:hAnsi="仿宋_GB2312" w:eastAsia="仿宋_GB2312" w:cs="仿宋_GB2312"/>
          <w:sz w:val="32"/>
          <w:szCs w:val="32"/>
          <w:lang w:val="en-US" w:eastAsia="zh-CN"/>
        </w:rPr>
        <w:t>建立多维预警模型，自动比对企业指标数据的偏离度高以及营收与税收变动趋势等，发现异常波动及时预警，实现风险早识别、早纠正。构建数据质量评分体系，精准识别数据质量风险企业，有针对性地开展核查，确保企业填报数据真实准确，国家“强审”通过率位居全省前列。健全常态化核查机制，融合线上智能查询与实地精准核查，全年审核查询企业超3万家次，并对问题突出地区下发提示函，形成“监测—预警—核查—反馈”工作闭环。</w:t>
      </w:r>
    </w:p>
    <w:p w14:paraId="7D915A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四、大胆创新突破，数智赋能统计工作成效显著</w:t>
      </w:r>
    </w:p>
    <w:p w14:paraId="14F877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一是坚持守正创新，打造改革标杆。</w:t>
      </w:r>
      <w:r>
        <w:rPr>
          <w:rFonts w:hint="eastAsia" w:ascii="仿宋_GB2312" w:hAnsi="仿宋_GB2312" w:eastAsia="仿宋_GB2312" w:cs="仿宋_GB2312"/>
          <w:sz w:val="32"/>
          <w:szCs w:val="32"/>
          <w:lang w:val="en-US" w:eastAsia="zh-CN"/>
        </w:rPr>
        <w:t>深入贯彻落实国家深化统计改革部署，成功争取服务业营业额统计改革国家试点，市县协力抓好试点，450多家试点企业上报率100%，高标准完成试点任务，国家以及省统计局有关领导对苏州试点成果给予高度肯定，试点经验在全国推广。圆满完成经营主体活动发生地统计改革试点任务，并充分运用试点经验，大力推进当地跨省分支机构申请“视同法人”单位在苏州入库纳统，全年申报28家，申报数超全省2/3、占全国近1/2，推进效率与质量均居全国、全省前列。</w:t>
      </w:r>
    </w:p>
    <w:p w14:paraId="326251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二是推动数智赋能，提升工作效率。</w:t>
      </w:r>
      <w:r>
        <w:rPr>
          <w:rFonts w:hint="eastAsia" w:ascii="仿宋_GB2312" w:hAnsi="仿宋_GB2312" w:eastAsia="仿宋_GB2312" w:cs="仿宋_GB2312"/>
          <w:sz w:val="32"/>
          <w:szCs w:val="32"/>
          <w:lang w:val="en-US" w:eastAsia="zh-CN"/>
        </w:rPr>
        <w:t>以人工智能为关键引擎，自主开发工业统计数据异动监测分析系统，精准筛选异动企业，多维度进行分析，让监测从“事后发现”升级为“事前预判”。自主研发行业分类和行政区划智能赋码系统，实现对30多万个市场实体的智能匹配与自动赋码，工作效率大幅度提升。创新推出首款移动端智能工具——“AI拍拍”市场主体分析软件，可以随时随地获取市场主体在库信息，快速了解入库纳统情况。自主开发苏州经济要闻智能网站，通过建设1个平台、融合2项技术、实现3大功能，为统计人员获取资讯提供全面便捷的信息支撑。苏州统计现代化改革的经验做法连续两年在《中国信息报》头条刊发，数智赋能统计工作系列创新举措在全省统计工作会议上作专题交流。</w:t>
      </w:r>
    </w:p>
    <w:p w14:paraId="7C1A5F9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三是创建“四库”平台，彰显统计担当。</w:t>
      </w:r>
      <w:r>
        <w:rPr>
          <w:rFonts w:hint="eastAsia" w:ascii="仿宋_GB2312" w:hAnsi="仿宋_GB2312" w:eastAsia="仿宋_GB2312" w:cs="仿宋_GB2312"/>
          <w:sz w:val="32"/>
          <w:szCs w:val="32"/>
          <w:lang w:val="en-US" w:eastAsia="zh-CN"/>
        </w:rPr>
        <w:t>主动联动有关部门，打破信息壁垒，创新打造“四库”监测平台，形成“数据共享、业务协同、闭环管理”的纳统新机制，省、市领导对此创新举措高度肯定，省相关部门以及省内多个市统计局来苏州学习借鉴，经验做法在全省推广。充分发挥平台作用，组建专班每日监测纳统情况，全力抓单位达规纳统，确保“达规一家，入统一家”，切实将发展成果转化为统计增量，全年全市新入库单位3707家，合计拉动GDP增长约0.8个百分点，贡献率达14.5%，拉动成效显著。</w:t>
      </w:r>
    </w:p>
    <w:p w14:paraId="6F8970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五、推动协同赋能，基层统计工作提质增效</w:t>
      </w:r>
    </w:p>
    <w:p w14:paraId="3A4708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一是靶向减负提效，破解基层痛点难点。</w:t>
      </w:r>
      <w:r>
        <w:rPr>
          <w:rFonts w:hint="eastAsia" w:ascii="仿宋_GB2312" w:hAnsi="仿宋_GB2312" w:eastAsia="仿宋_GB2312" w:cs="仿宋_GB2312"/>
          <w:sz w:val="32"/>
          <w:szCs w:val="32"/>
          <w:lang w:val="en-US" w:eastAsia="zh-CN"/>
        </w:rPr>
        <w:t>深入基层、企业开展“换位跑一次”行动，累计有140多人次参与活动，协调解决51个问题，打通服务基层“最后一公里”。运用Deepseek智能分析引擎与混元多模态大模型，搭建基层统计业务智能学习平台，为统计人员提供24小时准确、权威的智能解答。精心编制“统计云”平台《填报指南》《审核指南》等实用手册，帮助企业统计人员平均填报耗时减少近30%，该经验做法入选市学习教育典型案例。</w:t>
      </w:r>
    </w:p>
    <w:p w14:paraId="3D4BF5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二是精准赋能固本，提升基层业务效能。</w:t>
      </w:r>
      <w:r>
        <w:rPr>
          <w:rFonts w:hint="eastAsia" w:ascii="仿宋_GB2312" w:hAnsi="仿宋_GB2312" w:eastAsia="仿宋_GB2312" w:cs="仿宋_GB2312"/>
          <w:sz w:val="32"/>
          <w:szCs w:val="32"/>
          <w:lang w:val="en-US" w:eastAsia="zh-CN"/>
        </w:rPr>
        <w:t>建立领导定责分包联系基层机制，20多次深入乡镇（街道）统计站开展调研指导，面对面了解突出问题，手把手帮助解决实际困难。持续督促加强基层统计人员力量配备，2025年底全市基层统计人员共有628人，较2024年增加了13人。精准精细搞好业务培训，创新推出“需求导向+精准供给”的培训模式，在全省首创“菜单式”业务培训，构建起了覆盖“市县乡企”四级的培训体系，全年市县两级累计开展业务培训280余场，培训人员超2万人次，基层统计人员的业务能力稳步提升。</w:t>
      </w:r>
    </w:p>
    <w:p w14:paraId="1E7110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14:paraId="37384C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p>
    <w:p w14:paraId="39DD17DD">
      <w:pPr>
        <w:keepNext w:val="0"/>
        <w:keepLines w:val="0"/>
        <w:pageBreakBefore w:val="0"/>
        <w:widowControl w:val="0"/>
        <w:kinsoku/>
        <w:wordWrap/>
        <w:overflowPunct/>
        <w:topLinePunct w:val="0"/>
        <w:autoSpaceDE/>
        <w:autoSpaceDN/>
        <w:bidi w:val="0"/>
        <w:adjustRightInd/>
        <w:snapToGrid/>
        <w:spacing w:line="700" w:lineRule="exact"/>
        <w:ind w:firstLine="5600" w:firstLineChars="1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苏州市统计局</w:t>
      </w:r>
    </w:p>
    <w:p w14:paraId="41A2393D">
      <w:pPr>
        <w:keepNext w:val="0"/>
        <w:keepLines w:val="0"/>
        <w:pageBreakBefore w:val="0"/>
        <w:widowControl w:val="0"/>
        <w:kinsoku/>
        <w:wordWrap/>
        <w:overflowPunct/>
        <w:topLinePunct w:val="0"/>
        <w:autoSpaceDE/>
        <w:autoSpaceDN/>
        <w:bidi w:val="0"/>
        <w:adjustRightInd/>
        <w:snapToGrid/>
        <w:spacing w:line="700" w:lineRule="exact"/>
        <w:ind w:firstLine="5440" w:firstLineChars="17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2026年3月9日</w:t>
      </w:r>
    </w:p>
    <w:sectPr>
      <w:footerReference r:id="rId3" w:type="default"/>
      <w:pgSz w:w="11906" w:h="16838"/>
      <w:pgMar w:top="2098" w:right="1474" w:bottom="1984" w:left="1587" w:header="851" w:footer="1474" w:gutter="0"/>
      <w:pgNumType w:fmt="decimal"/>
      <w:cols w:space="0" w:num="1"/>
      <w:rtlGutter w:val="0"/>
      <w:docGrid w:type="linesAndChars" w:linePitch="28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9BE0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60698">
                          <w:pPr>
                            <w:pStyle w:val="6"/>
                            <w:rPr>
                              <w:rFonts w:hint="eastAsia" w:asciiTheme="minorEastAsia" w:hAnsiTheme="minorEastAsia" w:eastAsiaTheme="minorEastAsia" w:cstheme="minorEastAsia"/>
                              <w:sz w:val="28"/>
                              <w:szCs w:val="44"/>
                            </w:rPr>
                          </w:pPr>
                          <w:r>
                            <w:rPr>
                              <w:rFonts w:hint="eastAsia" w:asciiTheme="minorEastAsia" w:hAnsiTheme="minorEastAsia" w:cstheme="minorEastAsia"/>
                              <w:sz w:val="28"/>
                              <w:szCs w:val="44"/>
                            </w:rPr>
                            <w:t xml:space="preserve">— </w:t>
                          </w: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hint="eastAsia" w:asciiTheme="minorEastAsia" w:hAnsiTheme="minorEastAsia" w:cstheme="minorEastAsia"/>
                              <w:sz w:val="28"/>
                              <w:szCs w:val="44"/>
                            </w:rPr>
                            <w:t>1</w:t>
                          </w:r>
                          <w:r>
                            <w:rPr>
                              <w:rFonts w:hint="eastAsia" w:asciiTheme="minorEastAsia" w:hAnsiTheme="minorEastAsia" w:cstheme="minorEastAsia"/>
                              <w:sz w:val="28"/>
                              <w:szCs w:val="44"/>
                            </w:rPr>
                            <w:fldChar w:fldCharType="end"/>
                          </w:r>
                          <w:r>
                            <w:rPr>
                              <w:rFonts w:hint="eastAsia" w:asciiTheme="minorEastAsia" w:hAnsi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360698">
                    <w:pPr>
                      <w:pStyle w:val="6"/>
                      <w:rPr>
                        <w:rFonts w:hint="eastAsia" w:asciiTheme="minorEastAsia" w:hAnsiTheme="minorEastAsia" w:eastAsiaTheme="minorEastAsia" w:cstheme="minorEastAsia"/>
                        <w:sz w:val="28"/>
                        <w:szCs w:val="44"/>
                      </w:rPr>
                    </w:pPr>
                    <w:r>
                      <w:rPr>
                        <w:rFonts w:hint="eastAsia" w:asciiTheme="minorEastAsia" w:hAnsiTheme="minorEastAsia" w:cstheme="minorEastAsia"/>
                        <w:sz w:val="28"/>
                        <w:szCs w:val="44"/>
                      </w:rPr>
                      <w:t xml:space="preserve">— </w:t>
                    </w: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hint="eastAsia" w:asciiTheme="minorEastAsia" w:hAnsiTheme="minorEastAsia" w:cstheme="minorEastAsia"/>
                        <w:sz w:val="28"/>
                        <w:szCs w:val="44"/>
                      </w:rPr>
                      <w:t>1</w:t>
                    </w:r>
                    <w:r>
                      <w:rPr>
                        <w:rFonts w:hint="eastAsia" w:asciiTheme="minorEastAsia" w:hAnsiTheme="minorEastAsia" w:cstheme="minorEastAsia"/>
                        <w:sz w:val="28"/>
                        <w:szCs w:val="44"/>
                      </w:rPr>
                      <w:fldChar w:fldCharType="end"/>
                    </w:r>
                    <w:r>
                      <w:rPr>
                        <w:rFonts w:hint="eastAsia" w:asciiTheme="minorEastAsia" w:hAnsiTheme="minorEastAsia" w:cstheme="minorEastAsia"/>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44"/>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03897"/>
    <w:rsid w:val="002819B1"/>
    <w:rsid w:val="006570F0"/>
    <w:rsid w:val="007E4CA5"/>
    <w:rsid w:val="01885311"/>
    <w:rsid w:val="02782950"/>
    <w:rsid w:val="027A5940"/>
    <w:rsid w:val="0289746C"/>
    <w:rsid w:val="03511F5F"/>
    <w:rsid w:val="045A3333"/>
    <w:rsid w:val="047C599F"/>
    <w:rsid w:val="047E3EDA"/>
    <w:rsid w:val="04B2046F"/>
    <w:rsid w:val="04FC263C"/>
    <w:rsid w:val="05263B5D"/>
    <w:rsid w:val="06212B1B"/>
    <w:rsid w:val="06A765D7"/>
    <w:rsid w:val="088C6563"/>
    <w:rsid w:val="08F5187C"/>
    <w:rsid w:val="090F7B55"/>
    <w:rsid w:val="09293C1C"/>
    <w:rsid w:val="094E1FC1"/>
    <w:rsid w:val="09B47989"/>
    <w:rsid w:val="09ED69F7"/>
    <w:rsid w:val="0BDF05C2"/>
    <w:rsid w:val="0BE300B2"/>
    <w:rsid w:val="0C6C454B"/>
    <w:rsid w:val="0CA27847"/>
    <w:rsid w:val="0D0D3687"/>
    <w:rsid w:val="0D643474"/>
    <w:rsid w:val="0F6B21A9"/>
    <w:rsid w:val="0F7C4373"/>
    <w:rsid w:val="0FF860F6"/>
    <w:rsid w:val="0FFA43ED"/>
    <w:rsid w:val="107A6B0B"/>
    <w:rsid w:val="10850CE7"/>
    <w:rsid w:val="10930DC1"/>
    <w:rsid w:val="10E548CC"/>
    <w:rsid w:val="12EA0EE8"/>
    <w:rsid w:val="133B4C77"/>
    <w:rsid w:val="1596595E"/>
    <w:rsid w:val="16E41182"/>
    <w:rsid w:val="17D261EE"/>
    <w:rsid w:val="18BF5A03"/>
    <w:rsid w:val="1969151D"/>
    <w:rsid w:val="1A400DC5"/>
    <w:rsid w:val="1BD417C5"/>
    <w:rsid w:val="1C200EAE"/>
    <w:rsid w:val="1C307F21"/>
    <w:rsid w:val="1C5B518F"/>
    <w:rsid w:val="1C832B05"/>
    <w:rsid w:val="1D1247BD"/>
    <w:rsid w:val="1D4A4435"/>
    <w:rsid w:val="1D5030CD"/>
    <w:rsid w:val="1DA47385"/>
    <w:rsid w:val="1DCF4509"/>
    <w:rsid w:val="1EF74148"/>
    <w:rsid w:val="1FB262C1"/>
    <w:rsid w:val="1FDF698A"/>
    <w:rsid w:val="20586E69"/>
    <w:rsid w:val="20C95670"/>
    <w:rsid w:val="20DD55C0"/>
    <w:rsid w:val="20EF7EDD"/>
    <w:rsid w:val="21112ACF"/>
    <w:rsid w:val="222F02D2"/>
    <w:rsid w:val="2257534E"/>
    <w:rsid w:val="2323228C"/>
    <w:rsid w:val="234C2589"/>
    <w:rsid w:val="2383244E"/>
    <w:rsid w:val="239C52BE"/>
    <w:rsid w:val="23F8626D"/>
    <w:rsid w:val="246B3F77"/>
    <w:rsid w:val="249C557D"/>
    <w:rsid w:val="24EE1B26"/>
    <w:rsid w:val="25A14E0E"/>
    <w:rsid w:val="2609650F"/>
    <w:rsid w:val="263C0693"/>
    <w:rsid w:val="26753BA5"/>
    <w:rsid w:val="26766607"/>
    <w:rsid w:val="28AE5DC0"/>
    <w:rsid w:val="298A2320"/>
    <w:rsid w:val="29AF647C"/>
    <w:rsid w:val="2A3049B2"/>
    <w:rsid w:val="2C4962D9"/>
    <w:rsid w:val="2D012636"/>
    <w:rsid w:val="2E3B35B0"/>
    <w:rsid w:val="2E894297"/>
    <w:rsid w:val="2F9B0B20"/>
    <w:rsid w:val="2FA659BD"/>
    <w:rsid w:val="300A6465"/>
    <w:rsid w:val="305F50DC"/>
    <w:rsid w:val="3098505F"/>
    <w:rsid w:val="30CD22F7"/>
    <w:rsid w:val="31B9703B"/>
    <w:rsid w:val="31D64091"/>
    <w:rsid w:val="323B3EF4"/>
    <w:rsid w:val="328D12A4"/>
    <w:rsid w:val="32E60304"/>
    <w:rsid w:val="333B5BFF"/>
    <w:rsid w:val="344F06EC"/>
    <w:rsid w:val="34AF5D56"/>
    <w:rsid w:val="358907BF"/>
    <w:rsid w:val="35BA15D4"/>
    <w:rsid w:val="368E7103"/>
    <w:rsid w:val="36CA1848"/>
    <w:rsid w:val="36F909D9"/>
    <w:rsid w:val="372D3BCB"/>
    <w:rsid w:val="375D2B5F"/>
    <w:rsid w:val="37C93D50"/>
    <w:rsid w:val="38353194"/>
    <w:rsid w:val="38635F53"/>
    <w:rsid w:val="387463B2"/>
    <w:rsid w:val="38AE3672"/>
    <w:rsid w:val="38CB0B52"/>
    <w:rsid w:val="390019F4"/>
    <w:rsid w:val="39630C3B"/>
    <w:rsid w:val="39F71362"/>
    <w:rsid w:val="3A0A180B"/>
    <w:rsid w:val="3AB26D1E"/>
    <w:rsid w:val="3B4262F3"/>
    <w:rsid w:val="3D2E4848"/>
    <w:rsid w:val="3E247F32"/>
    <w:rsid w:val="3E2C6DE7"/>
    <w:rsid w:val="3E6F38A3"/>
    <w:rsid w:val="3EDD6E27"/>
    <w:rsid w:val="3F1104B7"/>
    <w:rsid w:val="3F2006FA"/>
    <w:rsid w:val="405C1C05"/>
    <w:rsid w:val="407D1B7C"/>
    <w:rsid w:val="413E3AC6"/>
    <w:rsid w:val="41664F4F"/>
    <w:rsid w:val="41810E86"/>
    <w:rsid w:val="41DF05F2"/>
    <w:rsid w:val="425D3A13"/>
    <w:rsid w:val="42C341BE"/>
    <w:rsid w:val="42FA5D87"/>
    <w:rsid w:val="43340C18"/>
    <w:rsid w:val="43454BD3"/>
    <w:rsid w:val="43570DAA"/>
    <w:rsid w:val="43A713E9"/>
    <w:rsid w:val="441E34E3"/>
    <w:rsid w:val="447D6881"/>
    <w:rsid w:val="45857508"/>
    <w:rsid w:val="46226EB3"/>
    <w:rsid w:val="46FD7572"/>
    <w:rsid w:val="477270E0"/>
    <w:rsid w:val="47E0311C"/>
    <w:rsid w:val="48A64FF9"/>
    <w:rsid w:val="48CE7418"/>
    <w:rsid w:val="49B04D70"/>
    <w:rsid w:val="49ED7D72"/>
    <w:rsid w:val="4AE5116D"/>
    <w:rsid w:val="4B630235"/>
    <w:rsid w:val="4DA370C6"/>
    <w:rsid w:val="4E3C358D"/>
    <w:rsid w:val="4F4026F2"/>
    <w:rsid w:val="4F6B3C13"/>
    <w:rsid w:val="501A47C3"/>
    <w:rsid w:val="505C77C2"/>
    <w:rsid w:val="519A433C"/>
    <w:rsid w:val="52371B75"/>
    <w:rsid w:val="52454820"/>
    <w:rsid w:val="525C3CE7"/>
    <w:rsid w:val="529671F9"/>
    <w:rsid w:val="52E66190"/>
    <w:rsid w:val="5359794D"/>
    <w:rsid w:val="5391176E"/>
    <w:rsid w:val="53DD3EAD"/>
    <w:rsid w:val="54AA0D3A"/>
    <w:rsid w:val="54C77550"/>
    <w:rsid w:val="5516017D"/>
    <w:rsid w:val="57633422"/>
    <w:rsid w:val="584B2834"/>
    <w:rsid w:val="58931AE5"/>
    <w:rsid w:val="589D2585"/>
    <w:rsid w:val="58C919AA"/>
    <w:rsid w:val="58F2626C"/>
    <w:rsid w:val="59374B66"/>
    <w:rsid w:val="594340A3"/>
    <w:rsid w:val="596D4A2C"/>
    <w:rsid w:val="59A742DF"/>
    <w:rsid w:val="59AF0BA0"/>
    <w:rsid w:val="5A955FE8"/>
    <w:rsid w:val="5AF34ABD"/>
    <w:rsid w:val="5C6B34A4"/>
    <w:rsid w:val="5DFA3ADD"/>
    <w:rsid w:val="5EFE071B"/>
    <w:rsid w:val="60031C46"/>
    <w:rsid w:val="607466A0"/>
    <w:rsid w:val="60AA20C1"/>
    <w:rsid w:val="60EE0D48"/>
    <w:rsid w:val="62D67A3D"/>
    <w:rsid w:val="639D7D03"/>
    <w:rsid w:val="63E678B4"/>
    <w:rsid w:val="642108EC"/>
    <w:rsid w:val="64295DC1"/>
    <w:rsid w:val="649E6FF8"/>
    <w:rsid w:val="64AD2180"/>
    <w:rsid w:val="64CD45D0"/>
    <w:rsid w:val="64D44A83"/>
    <w:rsid w:val="65A92E7D"/>
    <w:rsid w:val="65FF2842"/>
    <w:rsid w:val="66410DD2"/>
    <w:rsid w:val="67C77297"/>
    <w:rsid w:val="67E77C07"/>
    <w:rsid w:val="686F7E78"/>
    <w:rsid w:val="68C63810"/>
    <w:rsid w:val="691B590A"/>
    <w:rsid w:val="6B1C6926"/>
    <w:rsid w:val="6B8E4AB9"/>
    <w:rsid w:val="6BD07E5F"/>
    <w:rsid w:val="6C3E3D46"/>
    <w:rsid w:val="6CAA005C"/>
    <w:rsid w:val="6D4F17FE"/>
    <w:rsid w:val="6DA804B9"/>
    <w:rsid w:val="6E101D29"/>
    <w:rsid w:val="6E731D44"/>
    <w:rsid w:val="6F9D176F"/>
    <w:rsid w:val="6FF62C2D"/>
    <w:rsid w:val="701337DF"/>
    <w:rsid w:val="71FD6D00"/>
    <w:rsid w:val="73515B44"/>
    <w:rsid w:val="751F6782"/>
    <w:rsid w:val="75514A8A"/>
    <w:rsid w:val="7557416E"/>
    <w:rsid w:val="75F714AD"/>
    <w:rsid w:val="76662460"/>
    <w:rsid w:val="76B61368"/>
    <w:rsid w:val="77CC2259"/>
    <w:rsid w:val="77F75794"/>
    <w:rsid w:val="782448CD"/>
    <w:rsid w:val="78250206"/>
    <w:rsid w:val="786E05F1"/>
    <w:rsid w:val="79390854"/>
    <w:rsid w:val="79BA6BE2"/>
    <w:rsid w:val="7A911ED0"/>
    <w:rsid w:val="7B6F4A39"/>
    <w:rsid w:val="7BEF6F10"/>
    <w:rsid w:val="7C5C5DD2"/>
    <w:rsid w:val="7E2E5C88"/>
    <w:rsid w:val="7F967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qFormat/>
    <w:uiPriority w:val="0"/>
    <w:pPr>
      <w:keepNext w:val="0"/>
      <w:keepLines w:val="0"/>
      <w:pageBreakBefore w:val="0"/>
      <w:widowControl w:val="0"/>
      <w:kinsoku/>
      <w:wordWrap/>
      <w:overflowPunct/>
      <w:topLinePunct w:val="0"/>
      <w:autoSpaceDE/>
      <w:autoSpaceDN/>
      <w:bidi w:val="0"/>
      <w:adjustRightInd/>
      <w:spacing w:line="240" w:lineRule="auto"/>
      <w:ind w:firstLine="640" w:firstLineChars="200"/>
      <w:jc w:val="both"/>
      <w:textAlignment w:val="auto"/>
      <w:outlineLvl w:val="9"/>
    </w:pPr>
    <w:rPr>
      <w:rFonts w:ascii="仿宋_GB2312" w:hAnsi="仿宋_GB2312" w:eastAsia="仿宋_GB2312" w:cs="Times New Roman"/>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1">
    <w:name w:val="Strong"/>
    <w:basedOn w:val="10"/>
    <w:qFormat/>
    <w:uiPriority w:val="0"/>
    <w:rPr>
      <w:b/>
    </w:rPr>
  </w:style>
  <w:style w:type="character" w:styleId="12">
    <w:name w:val="Emphasis"/>
    <w:basedOn w:val="10"/>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2cd0b4df-ef25-4f7a-8dc0-3c3d3bfc96b6</errorID>
      <errorWord>从严治党</errorWord>
      <group>L1_Word</group>
      <groupName>字词问题</groupName>
      <ability>L2_Typo</ability>
      <abilityName>字词错误</abilityName>
      <candidateList>
        <item>全面从严治党</item>
      </candidateList>
      <explain/>
      <paraID>  64AE83</paraID>
      <start>4</start>
      <end>8</end>
      <status>unmodified</status>
      <modifiedWord/>
      <trackRevisions>false</trackRevisions>
    </reviewItem>
    <reviewItem>
      <errorID>1c4e29ac-3905-4b7e-81a8-d505f45ba3c6</errorID>
      <errorWord>“后半篇”文章</errorWord>
      <group>L1_Political</group>
      <groupName>政治性问题</groupName>
      <ability>L2_Keyword</ability>
      <abilityName>固定表述</abilityName>
      <candidateList>
        <item>“后半篇文章”</item>
      </candidateList>
      <explain>注意检查当前固定表述标点是否使用规范。</explain>
      <paraID>  64AE83</paraID>
      <start>162</start>
      <end>169</end>
      <status>unmodified</status>
      <modifiedWord/>
      <trackRevisions>false</trackRevisions>
    </reviewItem>
    <reviewItem>
      <errorID>5dca7775-c0d2-49e8-9a2d-922b1d8096c4</errorID>
      <errorWord>同谋划、同部署、同推进、同考核</errorWord>
      <group>L1_Word</group>
      <groupName>字词问题</groupName>
      <ability>L2_Typo</ability>
      <abilityName>字词错误</abilityName>
      <candidateList>
        <item>同谋划、同部署、同推进</item>
      </candidateList>
      <explain/>
      <paraID>711EB515</paraID>
      <start>27</start>
      <end>42</end>
      <status>unmodified</status>
      <modifiedWord/>
      <trackRevisions>false</trackRevisions>
    </reviewItem>
    <reviewItem>
      <errorID>f5261f7d-c6c6-4918-ac7c-cf2b03c50bfa</errorID>
      <errorWord>度高</errorWord>
      <group>L1_Word</group>
      <groupName>字词问题</groupName>
      <ability>L2_Typo</ability>
      <abilityName>字词错误</abilityName>
      <candidateList>
        <item>高度</item>
      </candidateList>
      <explain>❶〈名〉高低的程度；从地面或基准面向上到某处的距离；从物体的底部到顶端的距离：飞行的～｜这座山的～是四千二百米。❷〈形〉属性词。程度很高的：～的劳动热情｜～评价他的业绩｜这个问题应该受到～重视。</explain>
      <paraID>7BE7F032</paraID>
      <start>44</start>
      <end>46</end>
      <status>unmodified</status>
      <modifiedWord/>
      <trackRevisions>false</trackRevisions>
    </reviewItem>
    <reviewItem>
      <errorID>75758113-2906-48d9-b60c-0f601a0dcc03</errorID>
      <errorWord>以及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14F87783</paraID>
      <start>90</start>
      <end>92</end>
      <status>unmodified</status>
      <modifiedWord/>
      <trackRevisions>false</trackRevisions>
    </reviewItem>
    <reviewItem>
      <errorID>f52afb4b-0fbb-4ca3-8f54-cba78b903315</errorID>
      <errorWord>市</errorWord>
      <group>L1_Word</group>
      <groupName>字词问题</groupName>
      <ability>L2_Typo</ability>
      <abilityName>字词错误</abilityName>
      <candidateList>
        <item>市级</item>
      </candidateList>
      <explain/>
      <paraID>3A4708BC</paraID>
      <start>195</start>
      <end>196</end>
      <status>unmodified</status>
      <modifiedWord/>
      <trackRevisions>false</trackRevisions>
    </reviewItem>
    <reviewItem>
      <errorID>fc265168-f1b4-4410-8096-f628135a63e6</errorID>
      <errorWord>源</errorWord>
      <group>L1_Word</group>
      <groupName>字词问题</groupName>
      <ability>L2_Typo</ability>
      <abilityName>字词错误</abilityName>
      <candidateList>
        <item>源上</item>
      </candidateList>
      <explain/>
      <paraID>5F962077</paraID>
      <start>218</start>
      <end>219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5d3977-6697-475b-96d7-1daa80616684}">
  <ds:schemaRefs/>
</ds:datastoreItem>
</file>

<file path=docProps/app.xml><?xml version="1.0" encoding="utf-8"?>
<Properties xmlns="http://schemas.openxmlformats.org/officeDocument/2006/extended-properties" xmlns:vt="http://schemas.openxmlformats.org/officeDocument/2006/docPropsVTypes">
  <Template>Normal.dotm</Template>
  <Pages>7</Pages>
  <Words>7500</Words>
  <Characters>7625</Characters>
  <Lines>1</Lines>
  <Paragraphs>1</Paragraphs>
  <TotalTime>2</TotalTime>
  <ScaleCrop>false</ScaleCrop>
  <LinksUpToDate>false</LinksUpToDate>
  <CharactersWithSpaces>7628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2025-04-11T15:13:00Z</dcterms:created>
  <dc:creator>pc</dc:creator>
  <cp:lastModifiedBy>Osen</cp:lastModifiedBy>
  <cp:lastPrinted>2026-02-11T05:32:00Z</cp:lastPrinted>
  <dcterms:modified xsi:type="dcterms:W3CDTF">2026-03-11T05:27:10Z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098E3C047273464F87A8DA42C322EAF1_13</vt:lpwstr>
  </property>
  <property fmtid="{D5CDD505-2E9C-101B-9397-08002B2CF9AE}" pid="4" name="KSOTemplateDocerSaveRecord">
    <vt:lpwstr>eyJoZGlkIjoiYmNlM2UxMmM0M2NhNDYxMzRiYjI3NThkMmY2M2UyMmUiLCJ1c2VySWQiOiI1MTM5MTk2NTQifQ==</vt:lpwstr>
  </property>
</Properties>
</file>