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sz w:val="30"/>
        </w:rPr>
      </w:pPr>
    </w:p>
    <w:p>
      <w:pPr>
        <w:spacing w:line="360" w:lineRule="auto"/>
        <w:jc w:val="center"/>
        <w:rPr>
          <w:rFonts w:ascii="黑体" w:hAnsi="黑体" w:eastAsia="黑体"/>
          <w:sz w:val="32"/>
          <w:szCs w:val="32"/>
        </w:rPr>
      </w:pPr>
      <w:r>
        <w:rPr>
          <w:rFonts w:hint="eastAsia" w:ascii="黑体" w:hAnsi="黑体" w:eastAsia="黑体"/>
          <w:sz w:val="32"/>
          <w:szCs w:val="32"/>
        </w:rPr>
        <w:t>苏州市市级预算部门（单位）整体支出预算绩效自评报告</w:t>
      </w:r>
    </w:p>
    <w:p>
      <w:pPr>
        <w:spacing w:line="360" w:lineRule="auto"/>
        <w:jc w:val="center"/>
        <w:rPr>
          <w:rFonts w:ascii="黑体" w:eastAsia="黑体"/>
          <w:sz w:val="32"/>
          <w:szCs w:val="32"/>
        </w:rPr>
      </w:pPr>
      <w:r>
        <w:rPr>
          <w:rFonts w:hint="eastAsia" w:ascii="黑体" w:eastAsia="黑体"/>
          <w:sz w:val="32"/>
          <w:szCs w:val="32"/>
        </w:rPr>
        <w:t>（2022年度）</w:t>
      </w:r>
    </w:p>
    <w:p>
      <w:pPr>
        <w:spacing w:line="360" w:lineRule="auto"/>
        <w:jc w:val="center"/>
        <w:rPr>
          <w:rFonts w:eastAsia="仿宋_GB2312"/>
          <w:sz w:val="30"/>
        </w:rPr>
      </w:pPr>
    </w:p>
    <w:p>
      <w:pPr>
        <w:spacing w:line="360" w:lineRule="auto"/>
        <w:ind w:firstLine="600" w:firstLineChars="200"/>
        <w:rPr>
          <w:rFonts w:hint="default" w:ascii="黑体" w:hAnsi="黑体" w:eastAsia="黑体"/>
          <w:sz w:val="30"/>
          <w:lang w:val="en-US" w:eastAsia="zh-CN"/>
        </w:rPr>
      </w:pPr>
      <w:r>
        <w:rPr>
          <w:rFonts w:hint="eastAsia" w:ascii="黑体" w:hAnsi="黑体" w:eastAsia="黑体"/>
          <w:sz w:val="30"/>
          <w:lang w:val="en-US" w:eastAsia="zh-CN"/>
        </w:rPr>
        <w:t>一、预算部门名称：</w:t>
      </w:r>
      <w:r>
        <w:rPr>
          <w:rFonts w:hint="eastAsia" w:ascii="宋体" w:hAnsi="宋体" w:eastAsia="宋体" w:cs="宋体"/>
          <w:sz w:val="24"/>
          <w:szCs w:val="24"/>
          <w:lang w:val="en-US" w:eastAsia="zh-CN"/>
        </w:rPr>
        <w:t>中国共产党苏州市委员会办公室</w:t>
      </w:r>
    </w:p>
    <w:p>
      <w:pPr>
        <w:spacing w:line="360" w:lineRule="auto"/>
        <w:ind w:firstLine="600" w:firstLineChars="200"/>
        <w:rPr>
          <w:rFonts w:hint="eastAsia" w:ascii="黑体" w:hAnsi="黑体" w:eastAsia="黑体"/>
          <w:sz w:val="30"/>
          <w:lang w:val="en-US" w:eastAsia="zh-CN"/>
        </w:rPr>
      </w:pPr>
      <w:r>
        <w:rPr>
          <w:rFonts w:hint="eastAsia" w:ascii="黑体" w:hAnsi="黑体" w:eastAsia="黑体"/>
          <w:sz w:val="30"/>
          <w:lang w:val="en-US" w:eastAsia="zh-CN"/>
        </w:rPr>
        <w:t>二、</w:t>
      </w:r>
      <w:r>
        <w:rPr>
          <w:rFonts w:hint="default" w:ascii="黑体" w:hAnsi="黑体" w:eastAsia="黑体"/>
          <w:sz w:val="30"/>
          <w:lang w:val="en-US" w:eastAsia="zh-CN"/>
        </w:rPr>
        <w:t>年度履职目标完成情况</w:t>
      </w:r>
      <w:r>
        <w:rPr>
          <w:rFonts w:hint="eastAsia" w:ascii="黑体" w:hAnsi="黑体" w:eastAsia="黑体"/>
          <w:sz w:val="30"/>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市委办公室坚持以习近平新时代中国特色社会主义思想为指导，在市委的正确领导下，践行“五个坚持”、做好“三服务”工作，认真落实曹路宝书记对市委办公室工作“改进作风、转变文风、树立新风” 的要求，自信自强、守正创新，踔厉奋发、勇毅前行，在挑重担、扛重责中当好党委的“坚强前哨”和“巩固后院”，为市委中心工作和全市发展大局提供了坚强保障。</w:t>
      </w:r>
    </w:p>
    <w:p>
      <w:pPr>
        <w:numPr>
          <w:ilvl w:val="0"/>
          <w:numId w:val="0"/>
        </w:numPr>
        <w:spacing w:line="360" w:lineRule="auto"/>
        <w:ind w:left="600" w:leftChars="0"/>
        <w:rPr>
          <w:rFonts w:ascii="黑体" w:hAnsi="黑体" w:eastAsia="黑体"/>
          <w:sz w:val="30"/>
        </w:rPr>
      </w:pPr>
      <w:r>
        <w:rPr>
          <w:rFonts w:hint="eastAsia" w:ascii="黑体" w:hAnsi="黑体" w:eastAsia="黑体"/>
          <w:sz w:val="30"/>
          <w:lang w:val="en-US" w:eastAsia="zh-CN"/>
        </w:rPr>
        <w:t>三、</w:t>
      </w:r>
      <w:r>
        <w:rPr>
          <w:rFonts w:hint="eastAsia" w:ascii="黑体" w:hAnsi="黑体" w:eastAsia="黑体"/>
          <w:sz w:val="30"/>
        </w:rPr>
        <w:t>部门（单位）概况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部门职责分工，本部门内设机构包括：秘书处、总值班室、综合一处、综合三处、综合五处、综合六处、综合七处、信息调研一处、督察处、政策法规处、档案管理处、组织人事处、行政处、联络工作处、合作交流处、国安办、机关党委、合作交流服务中心。</w:t>
      </w:r>
    </w:p>
    <w:p>
      <w:pPr>
        <w:numPr>
          <w:ilvl w:val="0"/>
          <w:numId w:val="0"/>
        </w:numPr>
        <w:spacing w:line="360" w:lineRule="auto"/>
        <w:ind w:left="600" w:leftChars="0"/>
        <w:rPr>
          <w:rFonts w:ascii="黑体" w:hAnsi="黑体" w:eastAsia="黑体"/>
          <w:sz w:val="30"/>
        </w:rPr>
      </w:pPr>
      <w:r>
        <w:rPr>
          <w:rFonts w:hint="eastAsia" w:ascii="黑体" w:hAnsi="黑体" w:eastAsia="黑体"/>
          <w:sz w:val="30"/>
          <w:lang w:val="en-US" w:eastAsia="zh-CN"/>
        </w:rPr>
        <w:t>四、</w:t>
      </w:r>
      <w:r>
        <w:rPr>
          <w:rFonts w:hint="eastAsia" w:ascii="黑体" w:hAnsi="黑体" w:eastAsia="黑体"/>
          <w:sz w:val="30"/>
        </w:rPr>
        <w:t>部门</w:t>
      </w:r>
      <w:r>
        <w:rPr>
          <w:rFonts w:ascii="黑体" w:hAnsi="黑体" w:eastAsia="黑体"/>
          <w:sz w:val="30"/>
        </w:rPr>
        <w:t>（</w:t>
      </w:r>
      <w:r>
        <w:rPr>
          <w:rFonts w:hint="eastAsia" w:ascii="黑体" w:hAnsi="黑体" w:eastAsia="黑体"/>
          <w:sz w:val="30"/>
        </w:rPr>
        <w:t>单位</w:t>
      </w:r>
      <w:r>
        <w:rPr>
          <w:rFonts w:ascii="黑体" w:hAnsi="黑体" w:eastAsia="黑体"/>
          <w:sz w:val="30"/>
        </w:rPr>
        <w:t>）</w:t>
      </w:r>
      <w:r>
        <w:rPr>
          <w:rFonts w:hint="eastAsia" w:ascii="黑体" w:hAnsi="黑体" w:eastAsia="黑体"/>
          <w:sz w:val="30"/>
        </w:rPr>
        <w:t>整体支出绩效实现情况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部门整体支出预算执行率达到89.84%</w:t>
      </w:r>
    </w:p>
    <w:p>
      <w:pPr>
        <w:numPr>
          <w:ilvl w:val="0"/>
          <w:numId w:val="0"/>
        </w:numPr>
        <w:spacing w:line="360" w:lineRule="auto"/>
        <w:ind w:left="600" w:leftChars="0"/>
        <w:rPr>
          <w:rFonts w:ascii="黑体" w:hAnsi="黑体" w:eastAsia="黑体"/>
          <w:sz w:val="30"/>
        </w:rPr>
      </w:pPr>
      <w:r>
        <w:rPr>
          <w:rFonts w:hint="eastAsia" w:ascii="黑体" w:hAnsi="黑体" w:eastAsia="黑体"/>
          <w:sz w:val="30"/>
          <w:lang w:val="en-US" w:eastAsia="zh-CN"/>
        </w:rPr>
        <w:t>五、</w:t>
      </w:r>
      <w:r>
        <w:rPr>
          <w:rFonts w:hint="eastAsia" w:ascii="黑体" w:hAnsi="黑体" w:eastAsia="黑体"/>
          <w:sz w:val="30"/>
        </w:rPr>
        <w:t>部门</w:t>
      </w:r>
      <w:r>
        <w:rPr>
          <w:rFonts w:ascii="黑体" w:hAnsi="黑体" w:eastAsia="黑体"/>
          <w:sz w:val="30"/>
        </w:rPr>
        <w:t>（</w:t>
      </w:r>
      <w:r>
        <w:rPr>
          <w:rFonts w:hint="eastAsia" w:ascii="黑体" w:hAnsi="黑体" w:eastAsia="黑体"/>
          <w:sz w:val="30"/>
        </w:rPr>
        <w:t>单位</w:t>
      </w:r>
      <w:r>
        <w:rPr>
          <w:rFonts w:ascii="黑体" w:hAnsi="黑体" w:eastAsia="黑体"/>
          <w:sz w:val="30"/>
        </w:rPr>
        <w:t>）</w:t>
      </w:r>
      <w:r>
        <w:rPr>
          <w:rFonts w:hint="eastAsia" w:ascii="黑体" w:hAnsi="黑体" w:eastAsia="黑体"/>
          <w:sz w:val="30"/>
        </w:rPr>
        <w:t>整体支出绩效中存</w:t>
      </w:r>
      <w:r>
        <w:rPr>
          <w:rFonts w:ascii="黑体" w:hAnsi="黑体" w:eastAsia="黑体"/>
          <w:sz w:val="30"/>
        </w:rPr>
        <w:t>在问题</w:t>
      </w:r>
      <w:r>
        <w:rPr>
          <w:rFonts w:hint="eastAsia" w:ascii="黑体" w:hAnsi="黑体" w:eastAsia="黑体"/>
          <w:sz w:val="30"/>
        </w:rPr>
        <w:t>及</w:t>
      </w:r>
      <w:r>
        <w:rPr>
          <w:rFonts w:ascii="黑体" w:hAnsi="黑体" w:eastAsia="黑体"/>
          <w:sz w:val="30"/>
        </w:rPr>
        <w:t>改进措施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部门整体支出预算执行率有待提高，应继续加强项目监测监管</w:t>
      </w:r>
    </w:p>
    <w:p>
      <w:pPr>
        <w:numPr>
          <w:ilvl w:val="0"/>
          <w:numId w:val="0"/>
        </w:numPr>
        <w:spacing w:line="360" w:lineRule="auto"/>
        <w:ind w:left="600" w:leftChars="0"/>
        <w:rPr>
          <w:rFonts w:ascii="黑体" w:hAnsi="黑体" w:eastAsia="黑体"/>
          <w:sz w:val="30"/>
        </w:rPr>
      </w:pPr>
      <w:r>
        <w:rPr>
          <w:rFonts w:hint="eastAsia" w:ascii="黑体" w:hAnsi="黑体" w:eastAsia="黑体"/>
          <w:sz w:val="30"/>
          <w:lang w:val="en-US" w:eastAsia="zh-CN"/>
        </w:rPr>
        <w:t>六、</w:t>
      </w:r>
      <w:r>
        <w:rPr>
          <w:rFonts w:ascii="黑体" w:hAnsi="黑体" w:eastAsia="黑体"/>
          <w:sz w:val="30"/>
        </w:rPr>
        <w:t>绩效自评</w:t>
      </w:r>
      <w:r>
        <w:rPr>
          <w:rFonts w:hint="eastAsia" w:ascii="黑体" w:hAnsi="黑体" w:eastAsia="黑体"/>
          <w:sz w:val="30"/>
        </w:rPr>
        <w:t>结果</w:t>
      </w:r>
      <w:r>
        <w:rPr>
          <w:rFonts w:ascii="黑体" w:hAnsi="黑体" w:eastAsia="黑体"/>
          <w:sz w:val="30"/>
        </w:rPr>
        <w:t>拟应用和公开</w:t>
      </w:r>
      <w:r>
        <w:rPr>
          <w:rFonts w:hint="eastAsia" w:ascii="黑体" w:hAnsi="黑体" w:eastAsia="黑体"/>
          <w:sz w:val="30"/>
        </w:rPr>
        <w:t>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拟应用公开</w:t>
      </w:r>
    </w:p>
    <w:p>
      <w:pPr>
        <w:numPr>
          <w:ilvl w:val="0"/>
          <w:numId w:val="0"/>
        </w:numPr>
        <w:spacing w:line="360" w:lineRule="auto"/>
        <w:rPr>
          <w:rFonts w:hint="default" w:ascii="黑体" w:hAnsi="黑体" w:eastAsia="黑体"/>
          <w:sz w:val="30"/>
          <w:lang w:val="en-US" w:eastAsia="zh-CN"/>
        </w:rPr>
        <w:sectPr>
          <w:headerReference r:id="rId3" w:type="default"/>
          <w:footerReference r:id="rId5" w:type="default"/>
          <w:headerReference r:id="rId4" w:type="even"/>
          <w:footerReference r:id="rId6" w:type="even"/>
          <w:pgSz w:w="11907" w:h="16840"/>
          <w:pgMar w:top="1247" w:right="1400" w:bottom="1089" w:left="1559" w:header="851" w:footer="992" w:gutter="0"/>
          <w:paperSrc w:first="15" w:other="15"/>
          <w:pgBorders>
            <w:top w:val="none" w:sz="0" w:space="0"/>
            <w:left w:val="none" w:sz="0" w:space="0"/>
            <w:bottom w:val="none" w:sz="0" w:space="0"/>
            <w:right w:val="none" w:sz="0" w:space="0"/>
          </w:pgBorders>
          <w:cols w:space="720" w:num="1"/>
          <w:docGrid w:type="lines" w:linePitch="312" w:charSpace="0"/>
        </w:sectPr>
      </w:pPr>
    </w:p>
    <w:p>
      <w:pPr>
        <w:numPr>
          <w:ilvl w:val="0"/>
          <w:numId w:val="1"/>
        </w:numPr>
        <w:spacing w:line="360" w:lineRule="auto"/>
        <w:ind w:left="600" w:leftChars="0" w:firstLine="0" w:firstLineChars="0"/>
        <w:rPr>
          <w:rFonts w:hint="eastAsia" w:ascii="黑体" w:hAnsi="黑体" w:eastAsia="黑体"/>
          <w:sz w:val="30"/>
          <w:lang w:val="en-US" w:eastAsia="zh-CN"/>
        </w:rPr>
      </w:pPr>
      <w:r>
        <w:rPr>
          <w:rFonts w:hint="eastAsia" w:ascii="黑体" w:hAnsi="黑体" w:eastAsia="黑体"/>
          <w:sz w:val="30"/>
          <w:lang w:val="en-US" w:eastAsia="zh-CN"/>
        </w:rPr>
        <w:t>预算信息</w:t>
      </w:r>
    </w:p>
    <w:p>
      <w:pPr>
        <w:numPr>
          <w:ilvl w:val="0"/>
          <w:numId w:val="0"/>
        </w:numPr>
        <w:spacing w:line="360" w:lineRule="auto"/>
        <w:ind w:left="600" w:leftChars="0"/>
        <w:rPr>
          <w:rFonts w:hint="eastAsia" w:ascii="黑体" w:hAnsi="黑体" w:eastAsia="黑体"/>
          <w:sz w:val="30"/>
          <w:lang w:val="en-US" w:eastAsia="zh-CN"/>
        </w:rPr>
      </w:pPr>
    </w:p>
    <w:tbl>
      <w:tblPr>
        <w:tblStyle w:val="5"/>
        <w:tblW w:w="14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9"/>
        <w:gridCol w:w="2268"/>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079"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本年度预算资金（万元）</w:t>
            </w:r>
            <w:r>
              <w:rPr>
                <w:rFonts w:hint="eastAsia" w:ascii="宋体" w:hAnsi="宋体" w:eastAsia="宋体" w:cs="宋体"/>
                <w:b/>
                <w:bCs/>
                <w:kern w:val="0"/>
                <w:sz w:val="24"/>
                <w:szCs w:val="24"/>
              </w:rPr>
              <w:t/>
            </w:r>
          </w:p>
        </w:tc>
        <w:tc>
          <w:tcPr>
            <w:tcW w:w="2268"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年初预算数（万元）</w:t>
            </w:r>
          </w:p>
        </w:tc>
        <w:tc>
          <w:tcPr>
            <w:tcW w:w="2268"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上年度结转及当年预算追加追减数(万元）</w:t>
            </w:r>
          </w:p>
        </w:tc>
        <w:tc>
          <w:tcPr>
            <w:tcW w:w="2268"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调整预算数（万元）</w:t>
            </w:r>
          </w:p>
        </w:tc>
        <w:tc>
          <w:tcPr>
            <w:tcW w:w="2268"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实际支出数（万元）</w:t>
            </w:r>
          </w:p>
        </w:tc>
        <w:tc>
          <w:tcPr>
            <w:tcW w:w="2268"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预算总金额</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5715.27</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4285.76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10001.03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8984.89</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基本支出</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3976.75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1145.63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5122.38</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4707.57</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项目支出</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1738.52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3140.13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4878.65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4277.32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87.67%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公务用车购置</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120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-11.58</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108.42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108.42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国安办工作经费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61.56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59.5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59.37</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99.78%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接待任务保障</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520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1520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1125.62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课件制作费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22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3.4</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会议费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86.2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86.2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77.14</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89.49%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体检费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30.24</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30.24</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30.24</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信息处信息稿费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25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专项调研调查费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20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11.93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专项培训费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8</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6.4</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4.86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75.94%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专项印刷费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90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专项邮寄费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26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25.18</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党委督察工作经费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7</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4.77</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春节团拜会</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办公设备购置</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85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90.6</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58.98</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法律顾问经费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16.5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档案管理专项经费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44.92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-5.98</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38.94</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5.68</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党员活动经费</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16.1</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16.1</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57.14%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c>
          <w:tcPr>
            <w:tcW w:w="3079" w:type="dxa"/>
            <w:vAlign w:val="center"/>
          </w:tcPr>
          <w:p>
            <w:pPr>
              <w:widowControl/>
              <w:jc w:val="left"/>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秘书班培训（上年结转）</w:t>
            </w:r>
          </w:p>
        </w:tc>
        <w:tc>
          <w:tcPr>
            <w:tcW w:w="2268" w:type="dxa"/>
            <w:vAlign w:val="center"/>
          </w:tcPr>
          <w:p>
            <w:pPr>
              <w:widowControl/>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65</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52</w:t>
            </w:r>
          </w:p>
        </w:tc>
        <w:tc>
          <w:tcPr>
            <w:tcW w:w="226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100.00%</w:t>
            </w:r>
          </w:p>
        </w:tc>
      </w:tr>
    </w:tbl>
    <w:p>
      <w:pPr>
        <w:numPr>
          <w:ilvl w:val="0"/>
          <w:numId w:val="0"/>
        </w:numPr>
        <w:spacing w:line="360" w:lineRule="auto"/>
        <w:ind w:left="600" w:leftChars="0"/>
        <w:rPr>
          <w:rFonts w:hint="eastAsia" w:ascii="黑体" w:hAnsi="黑体" w:eastAsia="黑体"/>
          <w:sz w:val="30"/>
          <w:lang w:val="en-US" w:eastAsia="zh-CN"/>
        </w:rPr>
      </w:pPr>
    </w:p>
    <w:p>
      <w:pPr>
        <w:numPr>
          <w:ilvl w:val="0"/>
          <w:numId w:val="1"/>
        </w:numPr>
        <w:spacing w:line="360" w:lineRule="auto"/>
        <w:ind w:left="600" w:leftChars="0" w:firstLine="0" w:firstLineChars="0"/>
        <w:rPr>
          <w:rFonts w:hint="eastAsia" w:ascii="黑体" w:hAnsi="黑体" w:eastAsia="黑体"/>
          <w:sz w:val="30"/>
          <w:lang w:val="en-US" w:eastAsia="zh-CN"/>
        </w:rPr>
      </w:pPr>
      <w:r>
        <w:rPr>
          <w:rFonts w:hint="eastAsia" w:ascii="黑体" w:hAnsi="黑体" w:eastAsia="黑体"/>
          <w:sz w:val="30"/>
          <w:lang w:val="en-US" w:eastAsia="zh-CN"/>
        </w:rPr>
        <w:t>年度重点任务</w:t>
      </w:r>
    </w:p>
    <w:p>
      <w:pPr>
        <w:numPr>
          <w:ilvl w:val="0"/>
          <w:numId w:val="0"/>
        </w:numPr>
        <w:spacing w:line="360" w:lineRule="auto"/>
        <w:ind w:left="600" w:leftChars="0"/>
        <w:rPr>
          <w:rFonts w:hint="eastAsia" w:ascii="黑体" w:hAnsi="黑体" w:eastAsia="黑体"/>
          <w:sz w:val="30"/>
          <w:lang w:val="en-US" w:eastAsia="zh-CN"/>
        </w:rPr>
      </w:pPr>
    </w:p>
    <w:tbl>
      <w:tblPr>
        <w:tblStyle w:val="5"/>
        <w:tblW w:w="13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9"/>
        <w:gridCol w:w="3818"/>
        <w:gridCol w:w="3538"/>
        <w:gridCol w:w="2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419" w:type="dxa"/>
            <w:shd w:val="clear" w:color="000000" w:fill="BFBFBF"/>
            <w:vAlign w:val="center"/>
          </w:tcPr>
          <w:p>
            <w:pPr>
              <w:widowControl/>
              <w:jc w:val="center"/>
              <w:rPr>
                <w:rFonts w:hint="eastAsia" w:ascii="宋体" w:hAnsi="宋体" w:eastAsia="宋体" w:cs="宋体"/>
                <w:b/>
                <w:bCs/>
                <w:kern w:val="0"/>
                <w:sz w:val="24"/>
                <w:szCs w:val="24"/>
                <w:lang w:val="en-US" w:eastAsia="zh-CN"/>
              </w:rPr>
            </w:pPr>
          </w:p>
          <w:p>
            <w:pPr>
              <w:widowControl/>
              <w:jc w:val="center"/>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对应部门主要职责</w:t>
            </w:r>
          </w:p>
          <w:p>
            <w:pPr>
              <w:widowControl/>
              <w:jc w:val="center"/>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rPr>
              <w:t/>
            </w:r>
          </w:p>
        </w:tc>
        <w:tc>
          <w:tcPr>
            <w:tcW w:w="3818"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任务名称</w:t>
            </w:r>
          </w:p>
        </w:tc>
        <w:tc>
          <w:tcPr>
            <w:tcW w:w="3538"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主要内容</w:t>
            </w:r>
          </w:p>
        </w:tc>
        <w:tc>
          <w:tcPr>
            <w:tcW w:w="2742" w:type="dxa"/>
            <w:shd w:val="clear" w:color="000000" w:fill="BFBFBF"/>
            <w:vAlign w:val="center"/>
          </w:tcPr>
          <w:p>
            <w:pPr>
              <w:widowControl/>
              <w:jc w:val="center"/>
              <w:rPr>
                <w:rFonts w:hint="eastAsia" w:ascii="宋体" w:hAnsi="宋体" w:eastAsia="宋体" w:cs="宋体"/>
                <w:b/>
                <w:bCs/>
                <w:kern w:val="0"/>
                <w:sz w:val="24"/>
                <w:szCs w:val="24"/>
                <w:lang w:val="en-US"/>
              </w:rPr>
            </w:pPr>
            <w:r>
              <w:rPr>
                <w:rFonts w:hint="eastAsia" w:ascii="宋体" w:hAnsi="宋体" w:eastAsia="宋体" w:cs="宋体"/>
                <w:b/>
                <w:bCs/>
                <w:kern w:val="0"/>
                <w:sz w:val="24"/>
                <w:szCs w:val="24"/>
                <w:lang w:val="en-US" w:eastAsia="zh-CN"/>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rPr>
          <w:trHeight w:val="608"/>
        </w:trPr>
        <w:trPr>
          <w:trHeight w:val="608"/>
        </w:trPr>
        <w:trPr>
          <w:trHeight w:val="608"/>
        </w:trPr>
        <w:trPr>
          <w:trHeight w:val="608"/>
        </w:trPr>
        <w:tc>
          <w:tcPr>
            <w:tcW w:w="3419" w:type="dxa"/>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sz w:val="24"/>
                <w:szCs w:val="24"/>
                <w:vertAlign w:val="baseline"/>
                <w:lang w:val="en-US" w:eastAsia="zh-CN"/>
              </w:rPr>
              <w:t>关注政治建设，加强党的政治理论学习</w:t>
            </w: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推动党建新作为，提升队伍整体素质</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专项培训费,党员活动经费,秘书班培训（上年结转）</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联合江南社会学院开展业务培训，市县两级国安办全年举办12场培训班累计参训干部达670人次，推动国家安全纳入各级党校教学培训课程体系。强化学习型组织建设，组织350余人次参加线上学习、“菜单式讲座”、干部大讲堂、正副科级培训班，围绕经济、科技、产业、民生等领域举办4期专题学习会。举办全市党政机关行政能力提升专题培训班，进一步拓展选才育才的渠道，已有多名学员经考察借调至党办系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rPr>
          <w:trHeight w:val="608"/>
        </w:trPr>
        <w:trPr>
          <w:trHeight w:val="608"/>
        </w:trPr>
        <w:trPr>
          <w:trHeight w:val="608"/>
        </w:trPr>
        <w:trPr>
          <w:trHeight w:val="608"/>
        </w:trPr>
        <w:tc>
          <w:tcPr>
            <w:tcW w:w="3419" w:type="dxa"/>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sz w:val="24"/>
                <w:szCs w:val="24"/>
                <w:vertAlign w:val="baseline"/>
                <w:lang w:val="en-US" w:eastAsia="zh-CN"/>
              </w:rPr>
              <w:t>狠抓督查督办，紧紧围绕年度重点任务、领导关注的重点领域靶向发力，有效发挥督查抓落实、促发展作用</w:t>
            </w: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督察督办</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党委督察工作经费</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今年以来，交办领导批示280件，专项任务375件，取得阶段性进展494件。加强对上级督查的对接服务，配合保障中央环保督察组在苏州开展工作，完成中央办公厅和省委办公厅在苏州开展加强基层治理体系和治理能力现代化建设、构建新发展格局等专项调研督查活动12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rPr>
          <w:trHeight w:val="608"/>
        </w:trPr>
        <w:trPr>
          <w:trHeight w:val="608"/>
        </w:trPr>
        <w:trPr>
          <w:trHeight w:val="608"/>
        </w:trPr>
        <w:trPr>
          <w:trHeight w:val="608"/>
        </w:trPr>
        <w:tc>
          <w:tcPr>
            <w:tcW w:w="3419" w:type="dxa"/>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sz w:val="24"/>
                <w:szCs w:val="24"/>
                <w:vertAlign w:val="baseline"/>
                <w:lang w:val="en-US" w:eastAsia="zh-CN"/>
              </w:rPr>
              <w:t>深入开展基层调研、积极出谋献策、精准出台政策，为市委领导科学执政提供有效保障</w:t>
            </w: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基层调研、综合文稿、信息采编</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专项调研调查费,信息处信息稿费</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全年累计起草各类汇报、讲话、文件、主持词、交流发言、谈话参考、重要信件、活动致辞等合计900余篇，约490万字。其中，市委主要领导在《新华日报》的署名文章以及在市委经济工作会议、市委务虚会、生物医药产业创新集群推进会、上市公司高质量发展大会、优化营商环境推进会等会议上的讲话，《光明日报》《农民日报》头版头条报道农业强市经验做法在社会各界引起良好反响。全年上报省委办信息质量系数2603分，居全省第一。各类信息获各级领导批示累计630条，其中市委主要领导批示511条，推动数字经济发展、大运河文化遗产保护利用等一批建议被采纳并推动相关工作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rPr>
          <w:trHeight w:val="608"/>
        </w:trPr>
        <w:trPr>
          <w:trHeight w:val="608"/>
        </w:trPr>
        <w:trPr>
          <w:trHeight w:val="608"/>
        </w:trPr>
        <w:trPr>
          <w:trHeight w:val="608"/>
        </w:trPr>
        <w:tc>
          <w:tcPr>
            <w:tcW w:w="3419" w:type="dxa"/>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sz w:val="24"/>
                <w:szCs w:val="24"/>
                <w:vertAlign w:val="baseline"/>
                <w:lang w:val="en-US" w:eastAsia="zh-CN"/>
              </w:rPr>
              <w:t>优化服务管理，为各项工作高质量开展提供优质保障</w:t>
            </w: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接待服务、法规保障、国安工作、档案管理、后勤服务</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办公设备购置,接待任务保障,公务用车购置,国安办工作经费,体检费,档案管理专项经费,专项培训费,法律顾问经费,秘书班培训（上年结转）</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优化办公空间、改建临时宿舍，解决干部加班加点的现实需求。加强所有产权公务车辆的日常维护和调度，保障市委及办公室领导公务用车。全力做好市委一号楼轮流值班守备，认真进行来电登记、重要事项上报等工作，共收到公务联系、投诉咨询、上访求助等电话5000余次。常态化推进既有建筑安全隐患排查整治、电梯维修检测、消防设备检查等工作，保障档案实体和信息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rPr>
          <w:trHeight w:val="608"/>
        </w:trPr>
        <w:trPr>
          <w:trHeight w:val="608"/>
        </w:trPr>
        <w:trPr>
          <w:trHeight w:val="608"/>
        </w:trPr>
        <w:trPr>
          <w:trHeight w:val="608"/>
        </w:trPr>
        <w:tc>
          <w:tcPr>
            <w:tcW w:w="3419" w:type="dxa"/>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sz w:val="24"/>
                <w:szCs w:val="24"/>
                <w:vertAlign w:val="baseline"/>
                <w:lang w:val="en-US" w:eastAsia="zh-CN"/>
              </w:rPr>
              <w:t>做好统筹协调，全面保障市委各项工作有序高效运转</w:t>
            </w:r>
          </w:p>
        </w:tc>
        <w:tc>
          <w:tcPr>
            <w:tcW w:w="381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会议保障、文件批办</w:t>
            </w:r>
          </w:p>
        </w:tc>
        <w:tc>
          <w:tcPr>
            <w:tcW w:w="3538"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专项邮寄费,专项印刷费,会议费</w:t>
            </w:r>
          </w:p>
        </w:tc>
        <w:tc>
          <w:tcPr>
            <w:tcW w:w="2742" w:type="dxa"/>
            <w:vAlign w:val="center"/>
          </w:tcPr>
          <w:p>
            <w:pPr>
              <w:widowControl/>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全年印刷总量达70余万张，累计排版印制文件材料2200余件，复印各类文件材料3300余件，帮助查找文件500余件，扫描各类文件材料80余件，文字录入10余万字。坚持将保密工作紧紧抓在手中、抓在日常，全年完成内部机要信件交换11563件，外寄转收机要信件3232件，共清退、销毁市地师级中央文件1200余份、县团级中央文件18920余份。高标准、严要求举办党的二十大代表候选人人选酝酿推荐工作会、领导干部通报会、市委民主协商会等会议。精心组织全市上下集中收听收看习近平总书记在中国共产党第二十次全国代表大会上的报告，第一时间了解大会盛况、领会报告精神。召开苏州市传达党的二十大精神会议、学习贯彻党的二十大精神中央宣讲团宣讲报告会等一系列重要会议，确保第一时间贯彻落实党的二十大精神和中央、省委部署要求。保障白鹤滩至江苏800千伏特高压直流输电工程启动送电大会、通苏嘉甬高铁江苏段开工动员会议、苏州实验室组建挂牌仪式、东亚企业家太湖论坛、2022中国实体经济论坛、第十四届苏州国际精英创业周等会议活动370余次。</w:t>
            </w:r>
          </w:p>
        </w:tc>
      </w:tr>
    </w:tbl>
    <w:p>
      <w:pPr>
        <w:numPr>
          <w:ilvl w:val="0"/>
          <w:numId w:val="0"/>
        </w:numPr>
        <w:spacing w:line="360" w:lineRule="auto"/>
        <w:ind w:left="600" w:leftChars="0"/>
        <w:rPr>
          <w:rFonts w:hint="eastAsia" w:ascii="黑体" w:hAnsi="黑体" w:eastAsia="黑体"/>
          <w:sz w:val="30"/>
          <w:lang w:val="en-US" w:eastAsia="zh-CN"/>
        </w:rPr>
      </w:pPr>
    </w:p>
    <w:p>
      <w:pPr>
        <w:numPr>
          <w:ilvl w:val="0"/>
          <w:numId w:val="0"/>
        </w:numPr>
        <w:spacing w:line="360" w:lineRule="auto"/>
        <w:ind w:left="600" w:leftChars="0"/>
        <w:rPr>
          <w:rFonts w:hint="eastAsia" w:ascii="黑体" w:hAnsi="黑体" w:eastAsia="黑体"/>
          <w:sz w:val="30"/>
          <w:lang w:val="en-US" w:eastAsia="zh-CN"/>
        </w:rPr>
      </w:pPr>
    </w:p>
    <w:p>
      <w:pPr>
        <w:numPr>
          <w:ilvl w:val="0"/>
          <w:numId w:val="1"/>
        </w:numPr>
        <w:spacing w:line="360" w:lineRule="auto"/>
        <w:ind w:left="600" w:leftChars="0" w:firstLine="0" w:firstLineChars="0"/>
        <w:rPr>
          <w:rFonts w:hint="default" w:ascii="黑体" w:hAnsi="黑体" w:eastAsia="黑体"/>
          <w:sz w:val="30"/>
          <w:lang w:val="en-US" w:eastAsia="zh-CN"/>
        </w:rPr>
      </w:pPr>
      <w:r>
        <w:rPr>
          <w:rFonts w:hint="eastAsia" w:ascii="黑体" w:hAnsi="黑体" w:eastAsia="黑体"/>
          <w:sz w:val="30"/>
          <w:lang w:val="en-US" w:eastAsia="zh-CN"/>
        </w:rPr>
        <w:t>部门整体自评表</w:t>
      </w:r>
    </w:p>
    <w:tbl>
      <w:tblPr>
        <w:tblStyle w:val="5"/>
        <w:tblpPr w:leftFromText="180" w:rightFromText="180" w:vertAnchor="text" w:horzAnchor="page" w:tblpX="1656" w:tblpY="127"/>
        <w:tblOverlap w:val="never"/>
        <w:tblW w:w="146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7"/>
        <w:gridCol w:w="2051"/>
        <w:gridCol w:w="2061"/>
        <w:gridCol w:w="1987"/>
        <w:gridCol w:w="1799"/>
        <w:gridCol w:w="1866"/>
        <w:gridCol w:w="1787"/>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2067"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
            </w:r>
          </w:p>
        </w:tc>
        <w:tc>
          <w:tcPr>
            <w:tcW w:w="2051"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sz w:val="24"/>
                <w:szCs w:val="24"/>
                <w:vertAlign w:val="baseline"/>
                <w:lang w:val="en-US" w:eastAsia="zh-CN"/>
              </w:rPr>
              <w:t>类别</w:t>
            </w:r>
          </w:p>
        </w:tc>
        <w:tc>
          <w:tcPr>
            <w:tcW w:w="2061"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sz w:val="24"/>
                <w:szCs w:val="24"/>
                <w:vertAlign w:val="baseline"/>
                <w:lang w:val="en-US" w:eastAsia="zh-CN"/>
              </w:rPr>
              <w:t>指标名称</w:t>
            </w:r>
          </w:p>
        </w:tc>
        <w:tc>
          <w:tcPr>
            <w:tcW w:w="1987"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sz w:val="24"/>
                <w:szCs w:val="24"/>
                <w:vertAlign w:val="baseline"/>
                <w:lang w:val="en-US" w:eastAsia="zh-CN"/>
              </w:rPr>
              <w:t>指标目标值</w:t>
            </w:r>
          </w:p>
        </w:tc>
        <w:tc>
          <w:tcPr>
            <w:tcW w:w="1799"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sz w:val="24"/>
                <w:szCs w:val="24"/>
                <w:vertAlign w:val="baseline"/>
                <w:lang w:val="en-US" w:eastAsia="zh-CN"/>
              </w:rPr>
              <w:t>指标完成值</w:t>
            </w:r>
          </w:p>
        </w:tc>
        <w:tc>
          <w:tcPr>
            <w:tcW w:w="1866" w:type="dxa"/>
            <w:shd w:val="clear" w:color="000000" w:fill="BFBFBF"/>
            <w:vAlign w:val="center"/>
          </w:tcPr>
          <w:p>
            <w:pPr>
              <w:widowControl/>
              <w:jc w:val="center"/>
              <w:rPr>
                <w:rFonts w:hint="eastAsia" w:ascii="宋体" w:hAnsi="宋体" w:eastAsia="宋体" w:cs="宋体"/>
                <w:b/>
                <w:bCs/>
                <w:kern w:val="0"/>
                <w:sz w:val="24"/>
                <w:szCs w:val="24"/>
              </w:rPr>
            </w:pPr>
            <w:r>
              <w:rPr>
                <w:rFonts w:hint="eastAsia" w:ascii="宋体" w:hAnsi="宋体" w:eastAsia="宋体" w:cs="宋体"/>
                <w:b/>
                <w:bCs/>
                <w:sz w:val="24"/>
                <w:szCs w:val="24"/>
                <w:vertAlign w:val="baseline"/>
                <w:lang w:val="en-US" w:eastAsia="zh-CN"/>
              </w:rPr>
              <w:t>完成值来源</w:t>
            </w:r>
          </w:p>
        </w:tc>
        <w:tc>
          <w:tcPr>
            <w:tcW w:w="1787" w:type="dxa"/>
            <w:shd w:val="clear" w:color="000000" w:fill="BFBFBF"/>
            <w:vAlign w:val="center"/>
          </w:tcPr>
          <w:p>
            <w:pPr>
              <w:widowControl/>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偏差情况</w:t>
            </w:r>
          </w:p>
        </w:tc>
        <w:tc>
          <w:tcPr>
            <w:tcW w:w="1071" w:type="dxa"/>
            <w:shd w:val="clear" w:color="000000" w:fill="BFBFBF"/>
          </w:tcPr>
          <w:p>
            <w:pPr>
              <w:widowControl/>
              <w:jc w:val="center"/>
              <w:rPr>
                <w:rFonts w:hint="default" w:ascii="黑体" w:hAnsi="黑体" w:eastAsia="黑体"/>
                <w:sz w:val="30"/>
                <w:vertAlign w:val="baseline"/>
                <w:lang w:val="en-US" w:eastAsia="zh-CN"/>
              </w:rPr>
            </w:pPr>
            <w:r>
              <w:rPr>
                <w:rFonts w:hint="eastAsia" w:ascii="宋体" w:hAnsi="宋体" w:eastAsia="宋体" w:cs="宋体"/>
                <w:b/>
                <w:bCs/>
                <w:sz w:val="24"/>
                <w:szCs w:val="24"/>
                <w:vertAlign w:val="baseline"/>
                <w:lang w:val="en-US" w:eastAsia="zh-CN"/>
              </w:rPr>
              <w:t>原因分析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restart"/>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分解目标</w:t>
            </w:r>
          </w:p>
        </w:tc>
        <w:tc>
          <w:tcPr>
            <w:tcW w:w="2051" w:type="dxa"/>
            <w:vAlign w:val="center"/>
          </w:tcPr>
          <w:tcPr>
            <w:vMerge w:val="restart"/>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决策</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工作计划制定健全性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办公室工作计划</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中长期规划制定健全性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办公室工作计划</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绩效指标明确性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明确</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明确</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绩效管理制度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绩效目标合理性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合理</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合理</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绩效管理制度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预算编制规范性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规范</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规范</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预算编制科学性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科学</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科学</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restart"/>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过程</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预算管理制度健全性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绩效管理覆盖率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绩效管理制度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资金使用合规性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合规</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合规</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财务管理制度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基础信息完善性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完善</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完善</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非税收入管理合规性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合规</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合规</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财务管理制度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预决算信息公开度</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公开</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公开</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预决算公开</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资产管理规范性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规范</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规范</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资产管理制度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资产管理制度健全性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资产管理制度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固定资产利用率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资产管理制度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项目管理制度执行规范性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规范</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规范</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财务管理制度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项目管理制度健全性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财务管理制度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人员管理制度执行有效性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有效</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有效</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人员管理制度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人员管理制度健全性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健全</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人员管理制度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在职人员控制率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人员管理制度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业务学习与培训及时完成率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培训支出</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组织建设工作及时完成率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建设台账</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纪检监察工作有效性</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有效</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有效</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纪检工作手册</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结转结余率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决算</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预算调整率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175%</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决算</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支付进度符合率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决算</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预算执行率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89.84%</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决算</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-10.16%</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非税收入预算完成率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决算</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政府采购执行率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决算</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公用经费控制率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&lt;=100%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决算</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“三公经费”变动率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4%</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决算</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满意度</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服务对象满意度</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满意</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满意</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办公室工作总结</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restart"/>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履职</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组织活动达标率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办公室工作总结</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任务完成达标率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办公室工作总结</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会议完成时间</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完成</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完成</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办公室工作总结</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督察工作满意度</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满意</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满意</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办公室工作总结</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rPr>
          <w:trHeight w:val="540"/>
        </w:trPr>
        <w:trPr>
          <w:trHeight w:val="540"/>
        </w:trPr>
        <w:trPr>
          <w:trHeight w:val="540"/>
        </w:trPr>
        <w:trPr>
          <w:trHeight w:val="540"/>
        </w:trPr>
        <w:trPr>
          <w:trHeight w:val="540"/>
        </w:trPr>
        <w:trPr>
          <w:trHeight w:val="540"/>
        </w:trPr>
        <w:trPr>
          <w:trHeight w:val="540"/>
        </w:trPr>
        <w:trPr>
          <w:trHeight w:val="540"/>
        </w:trPr>
        <w:tc>
          <w:tcPr>
            <w:tcW w:w="2067"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51" w:type="dxa"/>
            <w:vAlign w:val="center"/>
          </w:tcPr>
          <w:tcPr>
            <w:vMerge w:val="continue"/>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
            </w:r>
          </w:p>
        </w:tc>
        <w:tc>
          <w:tcPr>
            <w:tcW w:w="2061"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项目完成达标率</w:t>
            </w:r>
          </w:p>
        </w:tc>
        <w:tc>
          <w:tcPr>
            <w:tcW w:w="19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799"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100%</w:t>
            </w:r>
          </w:p>
        </w:tc>
        <w:tc>
          <w:tcPr>
            <w:tcW w:w="1866"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办公室工作总结</w:t>
            </w:r>
          </w:p>
        </w:tc>
        <w:tc>
          <w:tcPr>
            <w:tcW w:w="1787" w:type="dxa"/>
            <w:vAlign w:val="center"/>
          </w:tcPr>
          <w:p>
            <w:pPr>
              <w:numPr>
                <w:ilvl w:val="0"/>
                <w:numId w:val="0"/>
              </w:numPr>
              <w:spacing w:line="360" w:lineRule="auto"/>
              <w:ind w:left="0" w:leftChars="0" w:firstLine="0" w:firstLineChars="0"/>
              <w:jc w:val="center"/>
              <w:rPr>
                <w:rFonts w:hint="eastAsia" w:ascii="宋体" w:hAnsi="宋体" w:eastAsia="宋体" w:cs="宋体"/>
                <w:kern w:val="0"/>
                <w:sz w:val="24"/>
                <w:szCs w:val="24"/>
              </w:rPr>
            </w:pPr>
            <w:r>
              <w:rPr>
                <w:rFonts w:hint="eastAsia" w:ascii="宋体" w:hAnsi="宋体" w:eastAsia="宋体" w:cs="宋体"/>
                <w:sz w:val="24"/>
                <w:szCs w:val="24"/>
                <w:vertAlign w:val="baseline"/>
                <w:lang w:val="en-US" w:eastAsia="zh-CN"/>
              </w:rPr>
              <w:t>0.00%</w:t>
            </w:r>
          </w:p>
        </w:tc>
        <w:tc>
          <w:tcPr>
            <w:tcW w:w="1071" w:type="dxa"/>
            <w:vAlign w:val="top"/>
          </w:tcPr>
          <w:p>
            <w:pPr>
              <w:numPr>
                <w:ilvl w:val="0"/>
                <w:numId w:val="0"/>
              </w:numPr>
              <w:spacing w:line="360" w:lineRule="auto"/>
              <w:ind w:left="0" w:leftChars="0" w:firstLine="0" w:firstLineChars="0"/>
              <w:rPr>
                <w:rFonts w:hint="eastAsia" w:ascii="宋体" w:hAnsi="宋体" w:cs="宋体"/>
                <w:kern w:val="0"/>
                <w:sz w:val="22"/>
              </w:rPr>
            </w:pPr>
            <w:r>
              <w:rPr>
                <w:rFonts w:hint="eastAsia" w:ascii="宋体" w:hAnsi="宋体" w:eastAsia="宋体" w:cs="宋体"/>
                <w:sz w:val="24"/>
                <w:szCs w:val="24"/>
                <w:vertAlign w:val="baseline"/>
                <w:lang w:val="en-US" w:eastAsia="zh-CN"/>
              </w:rPr>
              <w:t/>
            </w:r>
          </w:p>
        </w:tc>
      </w:tr>
    </w:tbl>
    <w:p>
      <w:pPr>
        <w:numPr>
          <w:ilvl w:val="0"/>
          <w:numId w:val="0"/>
        </w:numPr>
        <w:spacing w:line="360" w:lineRule="auto"/>
        <w:ind w:left="600" w:leftChars="0"/>
        <w:rPr>
          <w:rFonts w:hint="default" w:ascii="黑体" w:hAnsi="黑体" w:eastAsia="黑体"/>
          <w:sz w:val="30"/>
          <w:lang w:val="en-US" w:eastAsia="zh-CN"/>
        </w:rPr>
      </w:pPr>
      <w:bookmarkStart w:id="0" w:name="_GoBack"/>
      <w:bookmarkEnd w:id="0"/>
    </w:p>
    <w:sectPr>
      <w:headerReference r:id="rId7" w:type="default"/>
      <w:footerReference r:id="rId8" w:type="default"/>
      <w:pgSz w:w="16840" w:h="11907" w:orient="landscape"/>
      <w:pgMar w:top="1559" w:right="1247" w:bottom="1400" w:left="1089" w:header="851" w:footer="992" w:gutter="0"/>
      <w:paperSrc w:first="15" w:other="15"/>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7BB9F1"/>
    <w:multiLevelType w:val="singleLevel"/>
    <w:tmpl w:val="5D7BB9F1"/>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I2ZWIxNzBhOWM3YmNkMjVjMWZjMWQ2NzA4MDFlZmYifQ=="/>
  </w:docVars>
  <w:rsids>
    <w:rsidRoot w:val="00063C33"/>
    <w:rsid w:val="00000AE5"/>
    <w:rsid w:val="0000149B"/>
    <w:rsid w:val="00003466"/>
    <w:rsid w:val="00005172"/>
    <w:rsid w:val="000100EA"/>
    <w:rsid w:val="000174EF"/>
    <w:rsid w:val="00017B0A"/>
    <w:rsid w:val="00023671"/>
    <w:rsid w:val="00026029"/>
    <w:rsid w:val="000264BF"/>
    <w:rsid w:val="00037A63"/>
    <w:rsid w:val="00040CA6"/>
    <w:rsid w:val="00043B48"/>
    <w:rsid w:val="00052BE5"/>
    <w:rsid w:val="00060137"/>
    <w:rsid w:val="00063750"/>
    <w:rsid w:val="00063C33"/>
    <w:rsid w:val="00063D5B"/>
    <w:rsid w:val="00065156"/>
    <w:rsid w:val="00065B29"/>
    <w:rsid w:val="00067138"/>
    <w:rsid w:val="0006750F"/>
    <w:rsid w:val="000744C4"/>
    <w:rsid w:val="00075453"/>
    <w:rsid w:val="00075D05"/>
    <w:rsid w:val="000822BA"/>
    <w:rsid w:val="000824B9"/>
    <w:rsid w:val="00083E7F"/>
    <w:rsid w:val="000903A9"/>
    <w:rsid w:val="00090A12"/>
    <w:rsid w:val="00091DCD"/>
    <w:rsid w:val="000920AE"/>
    <w:rsid w:val="00096524"/>
    <w:rsid w:val="000A413D"/>
    <w:rsid w:val="000A5944"/>
    <w:rsid w:val="000B00C1"/>
    <w:rsid w:val="000B1FE0"/>
    <w:rsid w:val="000B2275"/>
    <w:rsid w:val="000B2CE5"/>
    <w:rsid w:val="000B5A1C"/>
    <w:rsid w:val="000B7645"/>
    <w:rsid w:val="000C44B7"/>
    <w:rsid w:val="000E5B04"/>
    <w:rsid w:val="000E69D0"/>
    <w:rsid w:val="000E7FBE"/>
    <w:rsid w:val="000F10A1"/>
    <w:rsid w:val="000F2CE9"/>
    <w:rsid w:val="000F5BD7"/>
    <w:rsid w:val="000F6964"/>
    <w:rsid w:val="00100A3B"/>
    <w:rsid w:val="001014B4"/>
    <w:rsid w:val="00104DFE"/>
    <w:rsid w:val="00106E72"/>
    <w:rsid w:val="00113289"/>
    <w:rsid w:val="00113D04"/>
    <w:rsid w:val="00113E8E"/>
    <w:rsid w:val="0011541B"/>
    <w:rsid w:val="0012134D"/>
    <w:rsid w:val="001220BE"/>
    <w:rsid w:val="00125CF2"/>
    <w:rsid w:val="00126E12"/>
    <w:rsid w:val="00130587"/>
    <w:rsid w:val="00130A6B"/>
    <w:rsid w:val="00131B00"/>
    <w:rsid w:val="00132D88"/>
    <w:rsid w:val="00133A9B"/>
    <w:rsid w:val="0013429F"/>
    <w:rsid w:val="001410F0"/>
    <w:rsid w:val="001420CF"/>
    <w:rsid w:val="00143A75"/>
    <w:rsid w:val="00143BA3"/>
    <w:rsid w:val="0014417A"/>
    <w:rsid w:val="001451E1"/>
    <w:rsid w:val="00147FEA"/>
    <w:rsid w:val="0015165E"/>
    <w:rsid w:val="00155CA1"/>
    <w:rsid w:val="001612E1"/>
    <w:rsid w:val="00164523"/>
    <w:rsid w:val="00165B5D"/>
    <w:rsid w:val="001662B4"/>
    <w:rsid w:val="0017063E"/>
    <w:rsid w:val="00177F82"/>
    <w:rsid w:val="001808D8"/>
    <w:rsid w:val="0018270E"/>
    <w:rsid w:val="00182B89"/>
    <w:rsid w:val="00182FC9"/>
    <w:rsid w:val="00190510"/>
    <w:rsid w:val="001A0AFE"/>
    <w:rsid w:val="001A1132"/>
    <w:rsid w:val="001B04B5"/>
    <w:rsid w:val="001B5269"/>
    <w:rsid w:val="001B7A52"/>
    <w:rsid w:val="001C0B83"/>
    <w:rsid w:val="001C31AD"/>
    <w:rsid w:val="001C4669"/>
    <w:rsid w:val="001C64FE"/>
    <w:rsid w:val="001C7FFB"/>
    <w:rsid w:val="001D03A1"/>
    <w:rsid w:val="001D2206"/>
    <w:rsid w:val="001D31D8"/>
    <w:rsid w:val="001D41B6"/>
    <w:rsid w:val="001D785B"/>
    <w:rsid w:val="001D7F4F"/>
    <w:rsid w:val="001E09A5"/>
    <w:rsid w:val="001E11AE"/>
    <w:rsid w:val="001E387E"/>
    <w:rsid w:val="001E4826"/>
    <w:rsid w:val="001E55E3"/>
    <w:rsid w:val="001F0EC7"/>
    <w:rsid w:val="001F1C88"/>
    <w:rsid w:val="001F2939"/>
    <w:rsid w:val="001F3B30"/>
    <w:rsid w:val="001F3BCB"/>
    <w:rsid w:val="00200D3F"/>
    <w:rsid w:val="0020308A"/>
    <w:rsid w:val="00204221"/>
    <w:rsid w:val="00206133"/>
    <w:rsid w:val="00213BC8"/>
    <w:rsid w:val="00216350"/>
    <w:rsid w:val="002166D3"/>
    <w:rsid w:val="00216F1E"/>
    <w:rsid w:val="00217E52"/>
    <w:rsid w:val="00222156"/>
    <w:rsid w:val="00223CA3"/>
    <w:rsid w:val="00227A2B"/>
    <w:rsid w:val="0023035D"/>
    <w:rsid w:val="002340B0"/>
    <w:rsid w:val="00234E4B"/>
    <w:rsid w:val="0023634E"/>
    <w:rsid w:val="002408C3"/>
    <w:rsid w:val="0024113F"/>
    <w:rsid w:val="00244426"/>
    <w:rsid w:val="0024746E"/>
    <w:rsid w:val="0025051E"/>
    <w:rsid w:val="00252592"/>
    <w:rsid w:val="00253D90"/>
    <w:rsid w:val="0025423D"/>
    <w:rsid w:val="00254F9A"/>
    <w:rsid w:val="00257BC2"/>
    <w:rsid w:val="00261488"/>
    <w:rsid w:val="00264AA2"/>
    <w:rsid w:val="00265B16"/>
    <w:rsid w:val="00265DA5"/>
    <w:rsid w:val="002673D0"/>
    <w:rsid w:val="002716BD"/>
    <w:rsid w:val="00273D49"/>
    <w:rsid w:val="00283319"/>
    <w:rsid w:val="00285317"/>
    <w:rsid w:val="0028539D"/>
    <w:rsid w:val="00286629"/>
    <w:rsid w:val="00286702"/>
    <w:rsid w:val="00286D47"/>
    <w:rsid w:val="002900B4"/>
    <w:rsid w:val="00291982"/>
    <w:rsid w:val="00294622"/>
    <w:rsid w:val="002A1D40"/>
    <w:rsid w:val="002A520E"/>
    <w:rsid w:val="002A71E9"/>
    <w:rsid w:val="002A740D"/>
    <w:rsid w:val="002B3130"/>
    <w:rsid w:val="002B46D0"/>
    <w:rsid w:val="002B4938"/>
    <w:rsid w:val="002B4C42"/>
    <w:rsid w:val="002B5C95"/>
    <w:rsid w:val="002B7826"/>
    <w:rsid w:val="002B7DA5"/>
    <w:rsid w:val="002C14BC"/>
    <w:rsid w:val="002C40C2"/>
    <w:rsid w:val="002C50BE"/>
    <w:rsid w:val="002C58CE"/>
    <w:rsid w:val="002C6932"/>
    <w:rsid w:val="002D37C3"/>
    <w:rsid w:val="002D39F6"/>
    <w:rsid w:val="002E02D4"/>
    <w:rsid w:val="002E3E46"/>
    <w:rsid w:val="002E6262"/>
    <w:rsid w:val="002F2F89"/>
    <w:rsid w:val="002F3573"/>
    <w:rsid w:val="002F79DA"/>
    <w:rsid w:val="003023BE"/>
    <w:rsid w:val="003047D9"/>
    <w:rsid w:val="00304E50"/>
    <w:rsid w:val="0031251A"/>
    <w:rsid w:val="00313B31"/>
    <w:rsid w:val="00313C95"/>
    <w:rsid w:val="00314B04"/>
    <w:rsid w:val="003205DD"/>
    <w:rsid w:val="003212A4"/>
    <w:rsid w:val="00321645"/>
    <w:rsid w:val="003224A9"/>
    <w:rsid w:val="00323407"/>
    <w:rsid w:val="00324653"/>
    <w:rsid w:val="00325446"/>
    <w:rsid w:val="003255FE"/>
    <w:rsid w:val="00327EE2"/>
    <w:rsid w:val="00330CB3"/>
    <w:rsid w:val="00332C74"/>
    <w:rsid w:val="00335FCC"/>
    <w:rsid w:val="00336C7D"/>
    <w:rsid w:val="00342E62"/>
    <w:rsid w:val="00343C7E"/>
    <w:rsid w:val="0034643F"/>
    <w:rsid w:val="00346D0D"/>
    <w:rsid w:val="00350DCA"/>
    <w:rsid w:val="00350EF3"/>
    <w:rsid w:val="00351E9C"/>
    <w:rsid w:val="00353E46"/>
    <w:rsid w:val="00354DA3"/>
    <w:rsid w:val="0035535B"/>
    <w:rsid w:val="003557CD"/>
    <w:rsid w:val="00355802"/>
    <w:rsid w:val="00362F2E"/>
    <w:rsid w:val="00365C54"/>
    <w:rsid w:val="003700B6"/>
    <w:rsid w:val="00370935"/>
    <w:rsid w:val="00371DB2"/>
    <w:rsid w:val="003729B0"/>
    <w:rsid w:val="00373041"/>
    <w:rsid w:val="003753A8"/>
    <w:rsid w:val="003831C1"/>
    <w:rsid w:val="00393CB1"/>
    <w:rsid w:val="003A5262"/>
    <w:rsid w:val="003B2F39"/>
    <w:rsid w:val="003B3410"/>
    <w:rsid w:val="003B36E9"/>
    <w:rsid w:val="003B6092"/>
    <w:rsid w:val="003C042E"/>
    <w:rsid w:val="003C06AC"/>
    <w:rsid w:val="003C1186"/>
    <w:rsid w:val="003C391B"/>
    <w:rsid w:val="003C4D46"/>
    <w:rsid w:val="003D01B1"/>
    <w:rsid w:val="003D0B70"/>
    <w:rsid w:val="003D72AD"/>
    <w:rsid w:val="003D7F91"/>
    <w:rsid w:val="003E2A48"/>
    <w:rsid w:val="003E2F63"/>
    <w:rsid w:val="003E65CC"/>
    <w:rsid w:val="003E6D22"/>
    <w:rsid w:val="003F2293"/>
    <w:rsid w:val="00400243"/>
    <w:rsid w:val="00405CA6"/>
    <w:rsid w:val="00410C77"/>
    <w:rsid w:val="00411D37"/>
    <w:rsid w:val="00424485"/>
    <w:rsid w:val="004257E1"/>
    <w:rsid w:val="00425AA3"/>
    <w:rsid w:val="004305C8"/>
    <w:rsid w:val="0043312C"/>
    <w:rsid w:val="00436533"/>
    <w:rsid w:val="00436EC1"/>
    <w:rsid w:val="004403E7"/>
    <w:rsid w:val="004423E2"/>
    <w:rsid w:val="00445706"/>
    <w:rsid w:val="0045004A"/>
    <w:rsid w:val="004545F2"/>
    <w:rsid w:val="00454BDA"/>
    <w:rsid w:val="00457C9A"/>
    <w:rsid w:val="004611B1"/>
    <w:rsid w:val="0046258B"/>
    <w:rsid w:val="00466701"/>
    <w:rsid w:val="00471F88"/>
    <w:rsid w:val="00473304"/>
    <w:rsid w:val="00475B06"/>
    <w:rsid w:val="00476840"/>
    <w:rsid w:val="0048152F"/>
    <w:rsid w:val="0048585A"/>
    <w:rsid w:val="0048750F"/>
    <w:rsid w:val="0049066C"/>
    <w:rsid w:val="004912EF"/>
    <w:rsid w:val="004974D1"/>
    <w:rsid w:val="004A1580"/>
    <w:rsid w:val="004A19DD"/>
    <w:rsid w:val="004B0052"/>
    <w:rsid w:val="004B44B5"/>
    <w:rsid w:val="004C13D9"/>
    <w:rsid w:val="004C156B"/>
    <w:rsid w:val="004C1CE2"/>
    <w:rsid w:val="004C51FC"/>
    <w:rsid w:val="004C5BAD"/>
    <w:rsid w:val="004D5319"/>
    <w:rsid w:val="004D797B"/>
    <w:rsid w:val="004E0982"/>
    <w:rsid w:val="004E1DF7"/>
    <w:rsid w:val="004E2D60"/>
    <w:rsid w:val="004E2E62"/>
    <w:rsid w:val="004E3248"/>
    <w:rsid w:val="004E5392"/>
    <w:rsid w:val="004E73A7"/>
    <w:rsid w:val="004F030E"/>
    <w:rsid w:val="004F2DA8"/>
    <w:rsid w:val="004F4FE5"/>
    <w:rsid w:val="004F6112"/>
    <w:rsid w:val="004F6658"/>
    <w:rsid w:val="004F6BFF"/>
    <w:rsid w:val="004F71AE"/>
    <w:rsid w:val="00501E97"/>
    <w:rsid w:val="005038C9"/>
    <w:rsid w:val="00506E8C"/>
    <w:rsid w:val="00506FCF"/>
    <w:rsid w:val="0051294C"/>
    <w:rsid w:val="00512A8D"/>
    <w:rsid w:val="00521013"/>
    <w:rsid w:val="00526943"/>
    <w:rsid w:val="005314A7"/>
    <w:rsid w:val="00532870"/>
    <w:rsid w:val="005428EE"/>
    <w:rsid w:val="00543724"/>
    <w:rsid w:val="0054645B"/>
    <w:rsid w:val="00552B33"/>
    <w:rsid w:val="00553660"/>
    <w:rsid w:val="00553EB2"/>
    <w:rsid w:val="00556E4F"/>
    <w:rsid w:val="00560776"/>
    <w:rsid w:val="00560AFC"/>
    <w:rsid w:val="00560EAF"/>
    <w:rsid w:val="005619A3"/>
    <w:rsid w:val="00562503"/>
    <w:rsid w:val="0056664B"/>
    <w:rsid w:val="00567693"/>
    <w:rsid w:val="00570911"/>
    <w:rsid w:val="005723D7"/>
    <w:rsid w:val="005755EB"/>
    <w:rsid w:val="005757F7"/>
    <w:rsid w:val="0058037E"/>
    <w:rsid w:val="00581411"/>
    <w:rsid w:val="005817F6"/>
    <w:rsid w:val="00593238"/>
    <w:rsid w:val="00597885"/>
    <w:rsid w:val="005A0674"/>
    <w:rsid w:val="005A3838"/>
    <w:rsid w:val="005A3AA9"/>
    <w:rsid w:val="005A3AE6"/>
    <w:rsid w:val="005A3EAE"/>
    <w:rsid w:val="005A4A49"/>
    <w:rsid w:val="005A71F3"/>
    <w:rsid w:val="005A7726"/>
    <w:rsid w:val="005A77D3"/>
    <w:rsid w:val="005B0AE0"/>
    <w:rsid w:val="005B2146"/>
    <w:rsid w:val="005B2738"/>
    <w:rsid w:val="005B2C2E"/>
    <w:rsid w:val="005B3560"/>
    <w:rsid w:val="005B48B6"/>
    <w:rsid w:val="005B4B41"/>
    <w:rsid w:val="005B529F"/>
    <w:rsid w:val="005B612C"/>
    <w:rsid w:val="005B6B32"/>
    <w:rsid w:val="005B77DD"/>
    <w:rsid w:val="005C09F8"/>
    <w:rsid w:val="005C1A18"/>
    <w:rsid w:val="005C1BD8"/>
    <w:rsid w:val="005C2E63"/>
    <w:rsid w:val="005C5E8E"/>
    <w:rsid w:val="005C65E4"/>
    <w:rsid w:val="005D11F6"/>
    <w:rsid w:val="005D1D0B"/>
    <w:rsid w:val="005D72E3"/>
    <w:rsid w:val="005E0E7F"/>
    <w:rsid w:val="005E5A79"/>
    <w:rsid w:val="005F1482"/>
    <w:rsid w:val="005F1E3B"/>
    <w:rsid w:val="0060449D"/>
    <w:rsid w:val="00610F23"/>
    <w:rsid w:val="00613019"/>
    <w:rsid w:val="00621622"/>
    <w:rsid w:val="006226C5"/>
    <w:rsid w:val="00622FB6"/>
    <w:rsid w:val="0062351F"/>
    <w:rsid w:val="00625CE4"/>
    <w:rsid w:val="00631623"/>
    <w:rsid w:val="006316FF"/>
    <w:rsid w:val="00633F34"/>
    <w:rsid w:val="006346F2"/>
    <w:rsid w:val="00642FA5"/>
    <w:rsid w:val="00643E54"/>
    <w:rsid w:val="006520DA"/>
    <w:rsid w:val="00652414"/>
    <w:rsid w:val="0066087C"/>
    <w:rsid w:val="00665D96"/>
    <w:rsid w:val="00672C67"/>
    <w:rsid w:val="006733B9"/>
    <w:rsid w:val="006777F4"/>
    <w:rsid w:val="00680C37"/>
    <w:rsid w:val="0068235A"/>
    <w:rsid w:val="00691F14"/>
    <w:rsid w:val="00695B4B"/>
    <w:rsid w:val="006A242C"/>
    <w:rsid w:val="006A3E01"/>
    <w:rsid w:val="006A4842"/>
    <w:rsid w:val="006A5F11"/>
    <w:rsid w:val="006B46FE"/>
    <w:rsid w:val="006B5B10"/>
    <w:rsid w:val="006C0BED"/>
    <w:rsid w:val="006C1512"/>
    <w:rsid w:val="006C5E14"/>
    <w:rsid w:val="006E199D"/>
    <w:rsid w:val="006E2154"/>
    <w:rsid w:val="006E526F"/>
    <w:rsid w:val="006F2F60"/>
    <w:rsid w:val="006F4261"/>
    <w:rsid w:val="006F5BB5"/>
    <w:rsid w:val="006F63F7"/>
    <w:rsid w:val="006F7720"/>
    <w:rsid w:val="00700D51"/>
    <w:rsid w:val="00701E4E"/>
    <w:rsid w:val="00703AAD"/>
    <w:rsid w:val="00704126"/>
    <w:rsid w:val="00704DC6"/>
    <w:rsid w:val="00706525"/>
    <w:rsid w:val="00707621"/>
    <w:rsid w:val="007171E1"/>
    <w:rsid w:val="00717422"/>
    <w:rsid w:val="00722137"/>
    <w:rsid w:val="00723710"/>
    <w:rsid w:val="00733427"/>
    <w:rsid w:val="00735573"/>
    <w:rsid w:val="00737F68"/>
    <w:rsid w:val="007424E1"/>
    <w:rsid w:val="00742D87"/>
    <w:rsid w:val="00751DC9"/>
    <w:rsid w:val="0075565C"/>
    <w:rsid w:val="007605DC"/>
    <w:rsid w:val="00761F62"/>
    <w:rsid w:val="00762C18"/>
    <w:rsid w:val="00766FB7"/>
    <w:rsid w:val="00772348"/>
    <w:rsid w:val="00772510"/>
    <w:rsid w:val="00773A1D"/>
    <w:rsid w:val="00773F42"/>
    <w:rsid w:val="00774264"/>
    <w:rsid w:val="00775445"/>
    <w:rsid w:val="00780EE2"/>
    <w:rsid w:val="007840FE"/>
    <w:rsid w:val="00784F8B"/>
    <w:rsid w:val="007871EE"/>
    <w:rsid w:val="00793E08"/>
    <w:rsid w:val="00794A76"/>
    <w:rsid w:val="00795D56"/>
    <w:rsid w:val="007962F0"/>
    <w:rsid w:val="00797D92"/>
    <w:rsid w:val="007A0919"/>
    <w:rsid w:val="007A097F"/>
    <w:rsid w:val="007A4200"/>
    <w:rsid w:val="007B3DD4"/>
    <w:rsid w:val="007B5103"/>
    <w:rsid w:val="007B61B8"/>
    <w:rsid w:val="007B6A00"/>
    <w:rsid w:val="007C0D3D"/>
    <w:rsid w:val="007C31AE"/>
    <w:rsid w:val="007C36CD"/>
    <w:rsid w:val="007C3C87"/>
    <w:rsid w:val="007C3D16"/>
    <w:rsid w:val="007C47E4"/>
    <w:rsid w:val="007C4FF4"/>
    <w:rsid w:val="007D2436"/>
    <w:rsid w:val="007D2B3D"/>
    <w:rsid w:val="007D444F"/>
    <w:rsid w:val="007D4E58"/>
    <w:rsid w:val="007D56C8"/>
    <w:rsid w:val="007D7F00"/>
    <w:rsid w:val="007E1CCC"/>
    <w:rsid w:val="007E459A"/>
    <w:rsid w:val="007E4929"/>
    <w:rsid w:val="007E720E"/>
    <w:rsid w:val="007E72F0"/>
    <w:rsid w:val="007F009F"/>
    <w:rsid w:val="007F0BF3"/>
    <w:rsid w:val="007F0D47"/>
    <w:rsid w:val="007F2B03"/>
    <w:rsid w:val="007F33BC"/>
    <w:rsid w:val="007F6C9D"/>
    <w:rsid w:val="00800BE6"/>
    <w:rsid w:val="0080256D"/>
    <w:rsid w:val="00802E22"/>
    <w:rsid w:val="00812702"/>
    <w:rsid w:val="0081659F"/>
    <w:rsid w:val="008165F1"/>
    <w:rsid w:val="008235B6"/>
    <w:rsid w:val="008329A5"/>
    <w:rsid w:val="00832C53"/>
    <w:rsid w:val="008353A0"/>
    <w:rsid w:val="00846B19"/>
    <w:rsid w:val="008509A5"/>
    <w:rsid w:val="008521F8"/>
    <w:rsid w:val="00852E79"/>
    <w:rsid w:val="008550E4"/>
    <w:rsid w:val="00855CA7"/>
    <w:rsid w:val="00855F3C"/>
    <w:rsid w:val="00857998"/>
    <w:rsid w:val="00862373"/>
    <w:rsid w:val="008702C7"/>
    <w:rsid w:val="008814B7"/>
    <w:rsid w:val="00882EDF"/>
    <w:rsid w:val="008855D8"/>
    <w:rsid w:val="00885B43"/>
    <w:rsid w:val="00885EDD"/>
    <w:rsid w:val="00891909"/>
    <w:rsid w:val="0089196E"/>
    <w:rsid w:val="00894546"/>
    <w:rsid w:val="008956AE"/>
    <w:rsid w:val="008962B9"/>
    <w:rsid w:val="008B27AB"/>
    <w:rsid w:val="008B474A"/>
    <w:rsid w:val="008B4752"/>
    <w:rsid w:val="008C0F7F"/>
    <w:rsid w:val="008C19A0"/>
    <w:rsid w:val="008C5F52"/>
    <w:rsid w:val="008D1294"/>
    <w:rsid w:val="008D4748"/>
    <w:rsid w:val="008D493B"/>
    <w:rsid w:val="008E15CC"/>
    <w:rsid w:val="008E5F67"/>
    <w:rsid w:val="008E7EF2"/>
    <w:rsid w:val="008F0D75"/>
    <w:rsid w:val="00912649"/>
    <w:rsid w:val="009141CE"/>
    <w:rsid w:val="00914978"/>
    <w:rsid w:val="0092032F"/>
    <w:rsid w:val="00921CBB"/>
    <w:rsid w:val="009220F6"/>
    <w:rsid w:val="00923540"/>
    <w:rsid w:val="009238C5"/>
    <w:rsid w:val="00926CE3"/>
    <w:rsid w:val="00927493"/>
    <w:rsid w:val="00930153"/>
    <w:rsid w:val="00936842"/>
    <w:rsid w:val="00944770"/>
    <w:rsid w:val="00950C79"/>
    <w:rsid w:val="00952E84"/>
    <w:rsid w:val="00952F21"/>
    <w:rsid w:val="00954DE5"/>
    <w:rsid w:val="00956D46"/>
    <w:rsid w:val="00957FE6"/>
    <w:rsid w:val="00961F56"/>
    <w:rsid w:val="00973D9E"/>
    <w:rsid w:val="00973DF8"/>
    <w:rsid w:val="00975B93"/>
    <w:rsid w:val="009803F9"/>
    <w:rsid w:val="00981623"/>
    <w:rsid w:val="0098375F"/>
    <w:rsid w:val="0098511D"/>
    <w:rsid w:val="00985485"/>
    <w:rsid w:val="00986075"/>
    <w:rsid w:val="00991298"/>
    <w:rsid w:val="00991A54"/>
    <w:rsid w:val="009932BD"/>
    <w:rsid w:val="009934FA"/>
    <w:rsid w:val="00994166"/>
    <w:rsid w:val="009A14E2"/>
    <w:rsid w:val="009B00C3"/>
    <w:rsid w:val="009B0CBC"/>
    <w:rsid w:val="009C0139"/>
    <w:rsid w:val="009C0E57"/>
    <w:rsid w:val="009C2F7D"/>
    <w:rsid w:val="009C55FF"/>
    <w:rsid w:val="009D6A3C"/>
    <w:rsid w:val="009D6EB2"/>
    <w:rsid w:val="009E3332"/>
    <w:rsid w:val="009E41C3"/>
    <w:rsid w:val="009E761C"/>
    <w:rsid w:val="009F0156"/>
    <w:rsid w:val="009F0F45"/>
    <w:rsid w:val="009F1E08"/>
    <w:rsid w:val="009F33A3"/>
    <w:rsid w:val="009F5379"/>
    <w:rsid w:val="009F698B"/>
    <w:rsid w:val="00A0033D"/>
    <w:rsid w:val="00A03EC8"/>
    <w:rsid w:val="00A0604C"/>
    <w:rsid w:val="00A11B0D"/>
    <w:rsid w:val="00A120BD"/>
    <w:rsid w:val="00A176AA"/>
    <w:rsid w:val="00A205D5"/>
    <w:rsid w:val="00A239B4"/>
    <w:rsid w:val="00A23D5F"/>
    <w:rsid w:val="00A25AFF"/>
    <w:rsid w:val="00A32DC9"/>
    <w:rsid w:val="00A33349"/>
    <w:rsid w:val="00A33FE6"/>
    <w:rsid w:val="00A44D43"/>
    <w:rsid w:val="00A452D2"/>
    <w:rsid w:val="00A470EC"/>
    <w:rsid w:val="00A50C4A"/>
    <w:rsid w:val="00A50F78"/>
    <w:rsid w:val="00A51224"/>
    <w:rsid w:val="00A5755C"/>
    <w:rsid w:val="00A63E56"/>
    <w:rsid w:val="00A66FD8"/>
    <w:rsid w:val="00A670EA"/>
    <w:rsid w:val="00A7100E"/>
    <w:rsid w:val="00A71A98"/>
    <w:rsid w:val="00A7291A"/>
    <w:rsid w:val="00A7417E"/>
    <w:rsid w:val="00A819B1"/>
    <w:rsid w:val="00A9009D"/>
    <w:rsid w:val="00A9242A"/>
    <w:rsid w:val="00A92BC1"/>
    <w:rsid w:val="00AA28F0"/>
    <w:rsid w:val="00AA2C54"/>
    <w:rsid w:val="00AA3EF4"/>
    <w:rsid w:val="00AA65DC"/>
    <w:rsid w:val="00AA7CBC"/>
    <w:rsid w:val="00AB36D0"/>
    <w:rsid w:val="00AB4CA0"/>
    <w:rsid w:val="00AB59CA"/>
    <w:rsid w:val="00AB60CB"/>
    <w:rsid w:val="00AC0C78"/>
    <w:rsid w:val="00AC175C"/>
    <w:rsid w:val="00AC4BC5"/>
    <w:rsid w:val="00AC6896"/>
    <w:rsid w:val="00AD4ACE"/>
    <w:rsid w:val="00AD4BAD"/>
    <w:rsid w:val="00AD5676"/>
    <w:rsid w:val="00AD5886"/>
    <w:rsid w:val="00AD6E3F"/>
    <w:rsid w:val="00AE08D5"/>
    <w:rsid w:val="00AE3466"/>
    <w:rsid w:val="00AF1471"/>
    <w:rsid w:val="00AF36BF"/>
    <w:rsid w:val="00AF53EC"/>
    <w:rsid w:val="00AF647B"/>
    <w:rsid w:val="00B010E5"/>
    <w:rsid w:val="00B048AA"/>
    <w:rsid w:val="00B13870"/>
    <w:rsid w:val="00B1500D"/>
    <w:rsid w:val="00B1629F"/>
    <w:rsid w:val="00B1672F"/>
    <w:rsid w:val="00B30486"/>
    <w:rsid w:val="00B3494F"/>
    <w:rsid w:val="00B427DC"/>
    <w:rsid w:val="00B44119"/>
    <w:rsid w:val="00B4671F"/>
    <w:rsid w:val="00B50F62"/>
    <w:rsid w:val="00B55AA4"/>
    <w:rsid w:val="00B60779"/>
    <w:rsid w:val="00B61496"/>
    <w:rsid w:val="00B63E05"/>
    <w:rsid w:val="00B66717"/>
    <w:rsid w:val="00B67AA7"/>
    <w:rsid w:val="00B72669"/>
    <w:rsid w:val="00B76DF4"/>
    <w:rsid w:val="00B76EEF"/>
    <w:rsid w:val="00B776C1"/>
    <w:rsid w:val="00B867D1"/>
    <w:rsid w:val="00B92977"/>
    <w:rsid w:val="00B92987"/>
    <w:rsid w:val="00B9437F"/>
    <w:rsid w:val="00B96073"/>
    <w:rsid w:val="00B962B5"/>
    <w:rsid w:val="00B968F0"/>
    <w:rsid w:val="00B96DB3"/>
    <w:rsid w:val="00BA2D4B"/>
    <w:rsid w:val="00BA3FBD"/>
    <w:rsid w:val="00BA7F8D"/>
    <w:rsid w:val="00BB48CE"/>
    <w:rsid w:val="00BB4CED"/>
    <w:rsid w:val="00BB57BA"/>
    <w:rsid w:val="00BB67B3"/>
    <w:rsid w:val="00BC3CDC"/>
    <w:rsid w:val="00BC4382"/>
    <w:rsid w:val="00BC5D5E"/>
    <w:rsid w:val="00BC6D9B"/>
    <w:rsid w:val="00BC7D69"/>
    <w:rsid w:val="00BC7FC3"/>
    <w:rsid w:val="00BD5B4F"/>
    <w:rsid w:val="00BD7B20"/>
    <w:rsid w:val="00BE4D46"/>
    <w:rsid w:val="00BE4D54"/>
    <w:rsid w:val="00BE72CC"/>
    <w:rsid w:val="00BF0580"/>
    <w:rsid w:val="00BF185A"/>
    <w:rsid w:val="00BF2DD0"/>
    <w:rsid w:val="00C01970"/>
    <w:rsid w:val="00C032A0"/>
    <w:rsid w:val="00C05C98"/>
    <w:rsid w:val="00C06939"/>
    <w:rsid w:val="00C0782F"/>
    <w:rsid w:val="00C20DBD"/>
    <w:rsid w:val="00C246E2"/>
    <w:rsid w:val="00C24BCF"/>
    <w:rsid w:val="00C27505"/>
    <w:rsid w:val="00C30F82"/>
    <w:rsid w:val="00C35EEA"/>
    <w:rsid w:val="00C40F18"/>
    <w:rsid w:val="00C41F0D"/>
    <w:rsid w:val="00C42F38"/>
    <w:rsid w:val="00C5033A"/>
    <w:rsid w:val="00C50B8F"/>
    <w:rsid w:val="00C525DF"/>
    <w:rsid w:val="00C52DB2"/>
    <w:rsid w:val="00C546DD"/>
    <w:rsid w:val="00C54918"/>
    <w:rsid w:val="00C553C3"/>
    <w:rsid w:val="00C64A12"/>
    <w:rsid w:val="00C650DE"/>
    <w:rsid w:val="00C66303"/>
    <w:rsid w:val="00C66BB9"/>
    <w:rsid w:val="00C7017C"/>
    <w:rsid w:val="00C73986"/>
    <w:rsid w:val="00C7746B"/>
    <w:rsid w:val="00C77C77"/>
    <w:rsid w:val="00C8105F"/>
    <w:rsid w:val="00C81379"/>
    <w:rsid w:val="00C816B2"/>
    <w:rsid w:val="00C81970"/>
    <w:rsid w:val="00C87101"/>
    <w:rsid w:val="00C94D24"/>
    <w:rsid w:val="00C967CD"/>
    <w:rsid w:val="00CA0B2C"/>
    <w:rsid w:val="00CA1024"/>
    <w:rsid w:val="00CA290E"/>
    <w:rsid w:val="00CA3A89"/>
    <w:rsid w:val="00CA4EA9"/>
    <w:rsid w:val="00CB2ED2"/>
    <w:rsid w:val="00CB5DCB"/>
    <w:rsid w:val="00CC0015"/>
    <w:rsid w:val="00CC263F"/>
    <w:rsid w:val="00CD2C52"/>
    <w:rsid w:val="00CD602C"/>
    <w:rsid w:val="00CD62C1"/>
    <w:rsid w:val="00CD7481"/>
    <w:rsid w:val="00CE2A66"/>
    <w:rsid w:val="00CE375B"/>
    <w:rsid w:val="00CE7232"/>
    <w:rsid w:val="00CE79D7"/>
    <w:rsid w:val="00CF1C01"/>
    <w:rsid w:val="00CF390A"/>
    <w:rsid w:val="00D023CF"/>
    <w:rsid w:val="00D043F3"/>
    <w:rsid w:val="00D11F90"/>
    <w:rsid w:val="00D126D3"/>
    <w:rsid w:val="00D12DF6"/>
    <w:rsid w:val="00D21546"/>
    <w:rsid w:val="00D22A0E"/>
    <w:rsid w:val="00D241C5"/>
    <w:rsid w:val="00D24F9A"/>
    <w:rsid w:val="00D25230"/>
    <w:rsid w:val="00D345C2"/>
    <w:rsid w:val="00D35886"/>
    <w:rsid w:val="00D37A72"/>
    <w:rsid w:val="00D41BFE"/>
    <w:rsid w:val="00D42B90"/>
    <w:rsid w:val="00D520F5"/>
    <w:rsid w:val="00D5213E"/>
    <w:rsid w:val="00D52723"/>
    <w:rsid w:val="00D530E5"/>
    <w:rsid w:val="00D54714"/>
    <w:rsid w:val="00D604F2"/>
    <w:rsid w:val="00D658CF"/>
    <w:rsid w:val="00D74542"/>
    <w:rsid w:val="00D74D35"/>
    <w:rsid w:val="00D77B41"/>
    <w:rsid w:val="00D80278"/>
    <w:rsid w:val="00D81180"/>
    <w:rsid w:val="00D9349A"/>
    <w:rsid w:val="00DA0D5E"/>
    <w:rsid w:val="00DA16AA"/>
    <w:rsid w:val="00DA30BF"/>
    <w:rsid w:val="00DA3FE8"/>
    <w:rsid w:val="00DA50C9"/>
    <w:rsid w:val="00DB1CEE"/>
    <w:rsid w:val="00DB3E9E"/>
    <w:rsid w:val="00DB591E"/>
    <w:rsid w:val="00DC30C9"/>
    <w:rsid w:val="00DD0D6E"/>
    <w:rsid w:val="00DD18CE"/>
    <w:rsid w:val="00DD1A16"/>
    <w:rsid w:val="00DD42EC"/>
    <w:rsid w:val="00DE0681"/>
    <w:rsid w:val="00DE5FDB"/>
    <w:rsid w:val="00DF0128"/>
    <w:rsid w:val="00DF2564"/>
    <w:rsid w:val="00DF2DC2"/>
    <w:rsid w:val="00DF5F9F"/>
    <w:rsid w:val="00E012CA"/>
    <w:rsid w:val="00E04A97"/>
    <w:rsid w:val="00E05A01"/>
    <w:rsid w:val="00E20678"/>
    <w:rsid w:val="00E23D9D"/>
    <w:rsid w:val="00E30145"/>
    <w:rsid w:val="00E32CDA"/>
    <w:rsid w:val="00E42B8D"/>
    <w:rsid w:val="00E42DFA"/>
    <w:rsid w:val="00E45770"/>
    <w:rsid w:val="00E520D2"/>
    <w:rsid w:val="00E52F69"/>
    <w:rsid w:val="00E55C18"/>
    <w:rsid w:val="00E6288B"/>
    <w:rsid w:val="00E638E7"/>
    <w:rsid w:val="00E65313"/>
    <w:rsid w:val="00E702FB"/>
    <w:rsid w:val="00E71137"/>
    <w:rsid w:val="00E72EC0"/>
    <w:rsid w:val="00E750D4"/>
    <w:rsid w:val="00E767B8"/>
    <w:rsid w:val="00E808C9"/>
    <w:rsid w:val="00E8326A"/>
    <w:rsid w:val="00E91974"/>
    <w:rsid w:val="00E9307D"/>
    <w:rsid w:val="00E96C5B"/>
    <w:rsid w:val="00EA10FE"/>
    <w:rsid w:val="00EA17F8"/>
    <w:rsid w:val="00EA5CFD"/>
    <w:rsid w:val="00EB0631"/>
    <w:rsid w:val="00EB09CB"/>
    <w:rsid w:val="00EB3C5A"/>
    <w:rsid w:val="00EB3D74"/>
    <w:rsid w:val="00EC0B6B"/>
    <w:rsid w:val="00EC1538"/>
    <w:rsid w:val="00EC3057"/>
    <w:rsid w:val="00ED0F91"/>
    <w:rsid w:val="00ED2DB3"/>
    <w:rsid w:val="00ED3D82"/>
    <w:rsid w:val="00ED4051"/>
    <w:rsid w:val="00ED4F45"/>
    <w:rsid w:val="00ED746E"/>
    <w:rsid w:val="00EE1598"/>
    <w:rsid w:val="00EE262B"/>
    <w:rsid w:val="00EE31D1"/>
    <w:rsid w:val="00EE664B"/>
    <w:rsid w:val="00EE68D1"/>
    <w:rsid w:val="00EE714E"/>
    <w:rsid w:val="00EF32F9"/>
    <w:rsid w:val="00EF57A8"/>
    <w:rsid w:val="00EF5B65"/>
    <w:rsid w:val="00EF6352"/>
    <w:rsid w:val="00EF79CB"/>
    <w:rsid w:val="00EF7E0B"/>
    <w:rsid w:val="00F007E2"/>
    <w:rsid w:val="00F00D24"/>
    <w:rsid w:val="00F02180"/>
    <w:rsid w:val="00F026BD"/>
    <w:rsid w:val="00F06630"/>
    <w:rsid w:val="00F156D9"/>
    <w:rsid w:val="00F1602D"/>
    <w:rsid w:val="00F22B29"/>
    <w:rsid w:val="00F235BF"/>
    <w:rsid w:val="00F2564B"/>
    <w:rsid w:val="00F2628D"/>
    <w:rsid w:val="00F27DBF"/>
    <w:rsid w:val="00F300F5"/>
    <w:rsid w:val="00F311F9"/>
    <w:rsid w:val="00F355E6"/>
    <w:rsid w:val="00F35FE4"/>
    <w:rsid w:val="00F401E7"/>
    <w:rsid w:val="00F407B4"/>
    <w:rsid w:val="00F43CA4"/>
    <w:rsid w:val="00F607FD"/>
    <w:rsid w:val="00F63729"/>
    <w:rsid w:val="00F65C5A"/>
    <w:rsid w:val="00F709BD"/>
    <w:rsid w:val="00F70A8D"/>
    <w:rsid w:val="00F70E49"/>
    <w:rsid w:val="00F71AA1"/>
    <w:rsid w:val="00F71F1F"/>
    <w:rsid w:val="00F752F3"/>
    <w:rsid w:val="00F80559"/>
    <w:rsid w:val="00F81F29"/>
    <w:rsid w:val="00F82F1C"/>
    <w:rsid w:val="00F83396"/>
    <w:rsid w:val="00F83FF1"/>
    <w:rsid w:val="00F849FD"/>
    <w:rsid w:val="00F90219"/>
    <w:rsid w:val="00F91559"/>
    <w:rsid w:val="00F94A92"/>
    <w:rsid w:val="00F96038"/>
    <w:rsid w:val="00F97984"/>
    <w:rsid w:val="00FA06B5"/>
    <w:rsid w:val="00FA2A9E"/>
    <w:rsid w:val="00FA2BBA"/>
    <w:rsid w:val="00FA3B5D"/>
    <w:rsid w:val="00FB0967"/>
    <w:rsid w:val="00FB2B52"/>
    <w:rsid w:val="00FB3455"/>
    <w:rsid w:val="00FB5138"/>
    <w:rsid w:val="00FC00A0"/>
    <w:rsid w:val="00FC031C"/>
    <w:rsid w:val="00FD112F"/>
    <w:rsid w:val="00FD1419"/>
    <w:rsid w:val="00FD6A76"/>
    <w:rsid w:val="00FE0388"/>
    <w:rsid w:val="00FE1D1B"/>
    <w:rsid w:val="00FE20DB"/>
    <w:rsid w:val="00FF07F9"/>
    <w:rsid w:val="00FF4C67"/>
    <w:rsid w:val="022A731E"/>
    <w:rsid w:val="02A64119"/>
    <w:rsid w:val="043D6C25"/>
    <w:rsid w:val="048667D3"/>
    <w:rsid w:val="049E006D"/>
    <w:rsid w:val="054C634F"/>
    <w:rsid w:val="07BD0E51"/>
    <w:rsid w:val="08DB7764"/>
    <w:rsid w:val="0C9A6ED5"/>
    <w:rsid w:val="100603AC"/>
    <w:rsid w:val="10F1631B"/>
    <w:rsid w:val="12A93FD5"/>
    <w:rsid w:val="130C2FEE"/>
    <w:rsid w:val="13CE1647"/>
    <w:rsid w:val="17B84A32"/>
    <w:rsid w:val="19B01875"/>
    <w:rsid w:val="1A1C1CFA"/>
    <w:rsid w:val="1AD4001C"/>
    <w:rsid w:val="1C3E1334"/>
    <w:rsid w:val="1CFD4AD4"/>
    <w:rsid w:val="1D070020"/>
    <w:rsid w:val="1EB274DF"/>
    <w:rsid w:val="20106F8E"/>
    <w:rsid w:val="22B36787"/>
    <w:rsid w:val="231125AC"/>
    <w:rsid w:val="24077BFF"/>
    <w:rsid w:val="26A5092E"/>
    <w:rsid w:val="28260401"/>
    <w:rsid w:val="2B110340"/>
    <w:rsid w:val="2CF51D47"/>
    <w:rsid w:val="2F640DE8"/>
    <w:rsid w:val="31190CC6"/>
    <w:rsid w:val="33FD7752"/>
    <w:rsid w:val="37922635"/>
    <w:rsid w:val="379540A7"/>
    <w:rsid w:val="3989156E"/>
    <w:rsid w:val="3A15477F"/>
    <w:rsid w:val="3A242466"/>
    <w:rsid w:val="3C47334E"/>
    <w:rsid w:val="3CB26D1E"/>
    <w:rsid w:val="3EF07F7A"/>
    <w:rsid w:val="43ED3C40"/>
    <w:rsid w:val="495323ED"/>
    <w:rsid w:val="4AF3601A"/>
    <w:rsid w:val="4BA315C9"/>
    <w:rsid w:val="4CC6446A"/>
    <w:rsid w:val="544D740E"/>
    <w:rsid w:val="55AE0FCF"/>
    <w:rsid w:val="58FE18D5"/>
    <w:rsid w:val="594914BB"/>
    <w:rsid w:val="5CA82CD1"/>
    <w:rsid w:val="5FCE09A6"/>
    <w:rsid w:val="60ED5F11"/>
    <w:rsid w:val="64122457"/>
    <w:rsid w:val="646426D5"/>
    <w:rsid w:val="64BC4F31"/>
    <w:rsid w:val="64C3416F"/>
    <w:rsid w:val="6624577F"/>
    <w:rsid w:val="67161F83"/>
    <w:rsid w:val="68817BAC"/>
    <w:rsid w:val="68DB6F84"/>
    <w:rsid w:val="6A1706CF"/>
    <w:rsid w:val="6A563FBC"/>
    <w:rsid w:val="6A7E3167"/>
    <w:rsid w:val="6D873407"/>
    <w:rsid w:val="6DA24319"/>
    <w:rsid w:val="6EA81B75"/>
    <w:rsid w:val="6FE35A27"/>
    <w:rsid w:val="72167982"/>
    <w:rsid w:val="739B783A"/>
    <w:rsid w:val="75536D10"/>
    <w:rsid w:val="75B30C82"/>
    <w:rsid w:val="770E7892"/>
    <w:rsid w:val="77980A6E"/>
    <w:rsid w:val="77F71564"/>
    <w:rsid w:val="792A54A4"/>
    <w:rsid w:val="79F15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styleId="9">
    <w:name w:val="Hyperlink"/>
    <w:qFormat/>
    <w:uiPriority w:val="0"/>
    <w:rPr>
      <w:color w:val="0000FF"/>
      <w:u w:val="single"/>
    </w:rPr>
  </w:style>
  <w:style w:type="character" w:customStyle="1" w:styleId="10">
    <w:name w:val="已访问的超链接1"/>
    <w:qFormat/>
    <w:uiPriority w:val="0"/>
    <w:rPr>
      <w:color w:val="800080"/>
      <w:u w:val="single"/>
    </w:rPr>
  </w:style>
  <w:style w:type="character" w:customStyle="1" w:styleId="11">
    <w:name w:val="页眉 Char"/>
    <w:link w:val="4"/>
    <w:qFormat/>
    <w:uiPriority w:val="0"/>
    <w:rPr>
      <w:kern w:val="2"/>
      <w:sz w:val="18"/>
      <w:szCs w:val="18"/>
    </w:rPr>
  </w:style>
  <w:style w:type="character" w:customStyle="1" w:styleId="12">
    <w:name w:val="页脚 Char"/>
    <w:link w:val="3"/>
    <w:qFormat/>
    <w:uiPriority w:val="0"/>
    <w:rPr>
      <w:kern w:val="2"/>
      <w:sz w:val="18"/>
      <w:szCs w:val="18"/>
    </w:rPr>
  </w:style>
  <w:style w:type="paragraph" w:customStyle="1" w:styleId="13">
    <w:name w:val="目录 21"/>
    <w:basedOn w:val="1"/>
    <w:next w:val="1"/>
    <w:qFormat/>
    <w:uiPriority w:val="39"/>
    <w:pPr>
      <w:tabs>
        <w:tab w:val="right" w:leader="dot" w:pos="8494"/>
      </w:tabs>
      <w:spacing w:line="560" w:lineRule="exact"/>
      <w:ind w:left="210"/>
      <w:jc w:val="left"/>
    </w:pPr>
    <w:rPr>
      <w:rFonts w:ascii="仿宋_GB2312" w:hAnsi="Calibri" w:eastAsia="仿宋_GB2312" w:cs="Calibri"/>
      <w:smallCaps/>
      <w:sz w:val="28"/>
      <w:szCs w:val="28"/>
    </w:rPr>
  </w:style>
  <w:style w:type="paragraph" w:customStyle="1" w:styleId="14">
    <w:name w:val="目录 11"/>
    <w:basedOn w:val="1"/>
    <w:next w:val="1"/>
    <w:qFormat/>
    <w:uiPriority w:val="39"/>
    <w:pPr>
      <w:tabs>
        <w:tab w:val="left" w:pos="840"/>
        <w:tab w:val="right" w:leader="dot" w:pos="8296"/>
      </w:tabs>
      <w:spacing w:line="560" w:lineRule="exact"/>
      <w:jc w:val="left"/>
    </w:pPr>
    <w:rPr>
      <w:rFonts w:ascii="仿宋_GB2312" w:hAnsi="新宋体" w:eastAsia="仿宋_GB2312" w:cs="Calibri"/>
      <w:b/>
      <w:bCs/>
      <w:caps/>
      <w:sz w:val="28"/>
      <w:szCs w:val="28"/>
    </w:rPr>
  </w:style>
  <w:style w:type="paragraph" w:customStyle="1" w:styleId="15">
    <w:name w:val="Char Char Char Char Char Char Char"/>
    <w:basedOn w:val="1"/>
    <w:qFormat/>
    <w:uiPriority w:val="0"/>
    <w:rPr>
      <w:szCs w:val="21"/>
    </w:rPr>
  </w:style>
  <w:style w:type="paragraph" w:customStyle="1" w:styleId="16">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
<Relationship Id="rId1" Target="styles.xml" Type="http://schemas.openxmlformats.org/officeDocument/2006/relationships/styles"/>
<Relationship Id="rId10" Target="numbering.xml" Type="http://schemas.openxmlformats.org/officeDocument/2006/relationships/numbering"/>
<Relationship Id="rId11" Target="fontTable.xml" Type="http://schemas.openxmlformats.org/officeDocument/2006/relationships/fontTable"/>
<Relationship Id="rId2" Target="settings.xml" Type="http://schemas.openxmlformats.org/officeDocument/2006/relationships/settings"/>
<Relationship Id="rId3" Target="header1.xml" Type="http://schemas.openxmlformats.org/officeDocument/2006/relationships/header"/>
<Relationship Id="rId4" Target="header2.xml" Type="http://schemas.openxmlformats.org/officeDocument/2006/relationships/header"/>
<Relationship Id="rId5" Target="footer1.xml" Type="http://schemas.openxmlformats.org/officeDocument/2006/relationships/footer"/>
<Relationship Id="rId6" Target="footer2.xml" Type="http://schemas.openxmlformats.org/officeDocument/2006/relationships/footer"/>
<Relationship Id="rId7" Target="header3.xml" Type="http://schemas.openxmlformats.org/officeDocument/2006/relationships/header"/>
<Relationship Id="rId8" Target="footer3.xml" Type="http://schemas.openxmlformats.org/officeDocument/2006/relationships/footer"/>
<Relationship Id="rId9"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czj</Company>
  <Pages>1</Pages>
  <Words>25</Words>
  <Characters>144</Characters>
  <Lines>1</Lines>
  <Paragraphs>1</Paragraphs>
  <TotalTime>4</TotalTime>
  <ScaleCrop>false</ScaleCrop>
  <LinksUpToDate>false</LinksUpToDate>
  <CharactersWithSpaces>168</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2020-12-31T06:58:00Z</dcterms:created>
  <dc:creator>傅海英</dc:creator>
  <cp:lastModifiedBy>木木三</cp:lastModifiedBy>
  <cp:lastPrinted>2019-06-21T02:10:00Z</cp:lastPrinted>
  <dcterms:modified xsi:type="dcterms:W3CDTF">2023-09-01T02:22:42Z</dcterms:modified>
  <cp:revision>6</cp:revision>
  <dc:title>关于进行本市部门整体支出</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739EEDB2ECE141DEAF0C3D87D58590AD_13</vt:lpwstr>
  </property>
</Properties>
</file>