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BF" w:rsidRDefault="00BA2EBF">
      <w:pPr>
        <w:rPr>
          <w:rFonts w:eastAsia="仿宋_GB2312"/>
          <w:sz w:val="30"/>
        </w:rPr>
      </w:pPr>
    </w:p>
    <w:p w:rsidR="00BA2EBF" w:rsidRDefault="00C801DB">
      <w:pPr>
        <w:spacing w:line="360" w:lineRule="auto"/>
        <w:jc w:val="center"/>
        <w:rPr>
          <w:rFonts w:ascii="黑体" w:eastAsia="黑体" w:hAnsi="黑体"/>
          <w:sz w:val="32"/>
          <w:szCs w:val="32"/>
        </w:rPr>
      </w:pPr>
      <w:r>
        <w:rPr>
          <w:rFonts w:ascii="黑体" w:eastAsia="黑体" w:hAnsi="黑体" w:hint="eastAsia"/>
          <w:sz w:val="32"/>
          <w:szCs w:val="32"/>
        </w:rPr>
        <w:t>苏州市市级预算部门（单位）整体支出预算绩效自评报告</w:t>
      </w:r>
    </w:p>
    <w:p w:rsidR="00BA2EBF" w:rsidRDefault="00D7170A">
      <w:pPr>
        <w:spacing w:line="360" w:lineRule="auto"/>
        <w:jc w:val="center"/>
        <w:rPr>
          <w:rFonts w:ascii="黑体" w:eastAsia="黑体"/>
          <w:sz w:val="32"/>
          <w:szCs w:val="32"/>
        </w:rPr>
      </w:pPr>
      <w:r>
        <w:rPr>
          <w:rFonts w:ascii="黑体" w:eastAsia="黑体" w:hint="eastAsia"/>
          <w:sz w:val="32"/>
          <w:szCs w:val="32"/>
        </w:rPr>
        <w:t>（2022年度）</w:t>
      </w:r>
    </w:p>
    <w:p w:rsidR="00BA2EBF" w:rsidRDefault="00BA2EBF">
      <w:pPr>
        <w:spacing w:line="360" w:lineRule="auto"/>
        <w:jc w:val="center"/>
        <w:rPr>
          <w:rFonts w:eastAsia="仿宋_GB2312"/>
          <w:sz w:val="30"/>
        </w:rPr>
      </w:pPr>
    </w:p>
    <w:p w:rsidR="00BA2EBF" w:rsidRDefault="00D7170A">
      <w:pPr>
        <w:spacing w:line="360" w:lineRule="auto"/>
        <w:ind w:firstLineChars="200" w:firstLine="600"/>
        <w:rPr>
          <w:rFonts w:ascii="黑体" w:eastAsia="黑体" w:hAnsi="黑体"/>
          <w:sz w:val="30"/>
        </w:rPr>
      </w:pPr>
      <w:r>
        <w:rPr>
          <w:rFonts w:ascii="黑体" w:eastAsia="黑体" w:hAnsi="黑体" w:hint="eastAsia"/>
          <w:sz w:val="30"/>
        </w:rPr>
        <w:t>一、预算部门名称：</w:t>
      </w:r>
      <w:r>
        <w:rPr>
          <w:rFonts w:ascii="宋体" w:hAnsi="宋体" w:cs="宋体" w:hint="eastAsia"/>
          <w:sz w:val="24"/>
        </w:rPr>
        <w:t>苏州市财政稽查大队</w:t>
      </w:r>
    </w:p>
    <w:p w:rsidR="00BA2EBF" w:rsidRDefault="00D7170A">
      <w:pPr>
        <w:spacing w:line="360" w:lineRule="auto"/>
        <w:ind w:firstLineChars="200" w:firstLine="600"/>
        <w:rPr>
          <w:rFonts w:ascii="黑体" w:eastAsia="黑体" w:hAnsi="黑体"/>
          <w:sz w:val="30"/>
        </w:rPr>
      </w:pPr>
      <w:r>
        <w:rPr>
          <w:rFonts w:ascii="黑体" w:eastAsia="黑体" w:hAnsi="黑体" w:hint="eastAsia"/>
          <w:sz w:val="30"/>
        </w:rPr>
        <w:t>二、</w:t>
      </w:r>
      <w:r>
        <w:rPr>
          <w:rFonts w:ascii="黑体" w:eastAsia="黑体" w:hAnsi="黑体"/>
          <w:sz w:val="30"/>
        </w:rPr>
        <w:t>年度履职目标完成情况</w:t>
      </w:r>
      <w:r>
        <w:rPr>
          <w:rFonts w:ascii="黑体" w:eastAsia="黑体" w:hAnsi="黑体" w:hint="eastAsia"/>
          <w:sz w:val="30"/>
        </w:rPr>
        <w:t>：</w:t>
      </w:r>
    </w:p>
    <w:p w:rsidR="00BA2EBF" w:rsidRDefault="00D7170A">
      <w:pPr>
        <w:spacing w:line="360" w:lineRule="auto"/>
        <w:ind w:firstLineChars="200" w:firstLine="480"/>
        <w:rPr>
          <w:rFonts w:ascii="宋体" w:hAnsi="宋体" w:cs="宋体"/>
          <w:sz w:val="24"/>
        </w:rPr>
      </w:pPr>
      <w:r>
        <w:rPr>
          <w:rFonts w:ascii="宋体" w:hAnsi="宋体" w:cs="宋体" w:hint="eastAsia"/>
          <w:sz w:val="24"/>
        </w:rPr>
        <w:t>2022年，苏州市财政稽查大队（以下简称“大队”）在局党组的正确领导下，在局相关处室的密切配合和全体同志的共同努力下，深刻领会习近平新时代中国特色社会主义思想，深入学习贯彻党的十九大、二十大精神，紧紧围绕市委市政府重点工作和财政改革发展重点任务，主动适应新形势，积极应对新考验，勇于担当作为、注重提质增效，集中力量做好财政监督工作，为我市奋力夺取疫情防控和经济社会发展“双胜利”提供坚实保障。 一、以点带面，突出重点，积极开展各项检查、核查、调查工作一是根据“双随机”及财政监督信息公开要求，对市属17家行政事业单位进行部门预算管理及会计信息质量综合检查，规范了单位在财务管理、会计核算、银行账户管理等方面的问题；二是配合派驻纪检组对苏州市政府性债务进行专项督查，进一步压实地方各级政府风险防控责任，完善防范化解隐性债务风险长效机制；三是为合理制定苏州市市级储备粮补贴资金管理办法，会同局经建处对市粮食集团下属两个粮库和各市（县）、区级7个板块共9个公司以及下属30个库点的粮食储备成本情况开展专项调查，进一步提升粮仓标准化管理运营水平，降低运营成本，落实保供稳市措施，切实维护粮食安全；四是参加新冠疫情防控专项经费清算工作期中监督，通过对相关单位就新冠疫情防控专项经费管理情况的现场沟通和梳理，对相关项目台账及财务资料的真实、准确、完整性提出合理意见和建议，促进新冠疫情防控专项经费管理的规范、标准和高效；五是充分发挥我局在财会监督联席会议中的牵头作用，与市人社局联合开展2021年度城乡居民养老保险基金基金专项检查，与市国资委、市地方金融监管局协同联动积极推进“市属金融国企出资基金监督调查”和“市属金融国企异地征信业务核查”监督项目；六是为厘清市级土地储备项目从土地收储到土地供应的面积、收储成本及土地供应收入等业务数据，会同局资债处对2001年以来市级土地储备项目管理情况开展专项调查；七是配合财政部江苏监管局、省厅开展财经秩序专项整治工</w:t>
      </w:r>
      <w:r>
        <w:rPr>
          <w:rFonts w:ascii="宋体" w:hAnsi="宋体" w:cs="宋体" w:hint="eastAsia"/>
          <w:sz w:val="24"/>
        </w:rPr>
        <w:lastRenderedPageBreak/>
        <w:t>作，强化责任担当，高效协同联动，凝聚共治合力，确保专项整治工作取得实效；八是派出多名同志参与市委巡察、纪委办案、经济责任审计等工作，积极发挥业务特长，提升业务能力，形成监督合力。二、眼睛向内，强化管理，努力建设财政系统自我纠正、自我预防机制一是开展内部审计，强化内部监督。会同局相关部门开展陆琳、虞伟同志任苏州市财会发展中心主任、苏州市财政票据管理中心主任期间的经济责任审计；梳理汇总2018年以来对我市、我局各类监督、审计、检查等发现财政类问题及整改情况开展回头看，并持续跟踪整改。二是内外并举，协调配合各类监督、审计工作。以主动作为的工作状态，积极配合财政部江苏监管局、审计部门等做好“同级审”及各类专项监督工作，及时、完整、如实地提供所需资料，加强沟通与协调，正视发现问题，认真落实整改，完善行之有效的常态化管理机制，确保财政资金使用科学、合理、高效。业务处室与财政监督专职机构合理分工、明确职责，共同完成上级布置的监督检查工作。三、夯实基础，加强建设，不断提高财政监督队伍整体素质和管理服务水平一是深入推进党风廉政建设，持续加强干部管理。大队干部时刻担起主责主业，狠抓党的十九大及二十大精神学深悟透及《中国共产党纪律处分条例》《江苏省财政监督条例》等规章制度的贯彻落实，推动全面从严治党再启新征程，做到学习教育常态化，引导党员干部逐条学习、学深学透，真正融会贯通，营造自觉遵规守纪的良好氛围。二是宣传财经纪律政策，提升财政监督效能。通过编印《年度财政监督业务汇编》及财政监督专报、财政部江苏监管局有关地方财政信息采集报送机制推动财政监督宣传，提升服务水平；支持基层财政队伍建设，通过监督检查案例分享和分析培训会、“以查代训”、开展市、县（区）、镇三级联动监督项目等形式，在案例中学习检查方法，在检查中熟悉财经政策，进一步提升了基层财政干部财政监督水平。</w:t>
      </w:r>
    </w:p>
    <w:p w:rsidR="00BA2EBF" w:rsidRDefault="00D7170A">
      <w:pPr>
        <w:spacing w:line="360" w:lineRule="auto"/>
        <w:ind w:left="600"/>
        <w:rPr>
          <w:rFonts w:ascii="黑体" w:eastAsia="黑体" w:hAnsi="黑体"/>
          <w:sz w:val="30"/>
        </w:rPr>
      </w:pPr>
      <w:r>
        <w:rPr>
          <w:rFonts w:ascii="黑体" w:eastAsia="黑体" w:hAnsi="黑体" w:hint="eastAsia"/>
          <w:sz w:val="30"/>
        </w:rPr>
        <w:t>三、部门（单位）概况</w:t>
      </w:r>
    </w:p>
    <w:p w:rsidR="00BA2EBF" w:rsidRDefault="00D7170A">
      <w:pPr>
        <w:spacing w:line="360" w:lineRule="auto"/>
        <w:ind w:firstLineChars="200" w:firstLine="480"/>
        <w:rPr>
          <w:rFonts w:ascii="宋体" w:hAnsi="宋体" w:cs="宋体"/>
          <w:sz w:val="24"/>
        </w:rPr>
      </w:pPr>
      <w:r>
        <w:rPr>
          <w:rFonts w:ascii="宋体" w:hAnsi="宋体" w:cs="宋体" w:hint="eastAsia"/>
          <w:sz w:val="24"/>
        </w:rPr>
        <w:t>依法行使财政执法职能，维护财经秩序；对财务、会计执行情况进行监督检查；对全市重点农业税税源地区及重点纳税户进行税收检查；对违反政府采购、集团购买力控制、预算外资金管理等规定的行为进行专项检查  追缴各项入库收入；监督检查农业四税征收情况；检查、追缴应征税款；依法对违反财政法律、法规政策的行为实施行政处罚和其他强制措施；受理相关投诉、举报。</w:t>
      </w:r>
    </w:p>
    <w:p w:rsidR="00BA2EBF" w:rsidRDefault="00D7170A">
      <w:pPr>
        <w:spacing w:line="360" w:lineRule="auto"/>
        <w:ind w:left="600"/>
        <w:rPr>
          <w:rFonts w:ascii="黑体" w:eastAsia="黑体" w:hAnsi="黑体"/>
          <w:sz w:val="30"/>
        </w:rPr>
      </w:pPr>
      <w:r>
        <w:rPr>
          <w:rFonts w:ascii="黑体" w:eastAsia="黑体" w:hAnsi="黑体" w:hint="eastAsia"/>
          <w:sz w:val="30"/>
        </w:rPr>
        <w:t>四、部门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整体支出绩效实现情况</w:t>
      </w:r>
    </w:p>
    <w:p w:rsidR="00BA2EBF" w:rsidRDefault="00D7170A">
      <w:pPr>
        <w:spacing w:line="360" w:lineRule="auto"/>
        <w:ind w:firstLineChars="200" w:firstLine="480"/>
        <w:rPr>
          <w:rFonts w:ascii="宋体" w:hAnsi="宋体" w:cs="宋体"/>
          <w:sz w:val="24"/>
        </w:rPr>
      </w:pPr>
      <w:r>
        <w:rPr>
          <w:rFonts w:ascii="宋体" w:hAnsi="宋体" w:cs="宋体" w:hint="eastAsia"/>
          <w:sz w:val="24"/>
        </w:rPr>
        <w:t>整体支出绩效情况良好，其中执法监督检查支出完成率达到100%。</w:t>
      </w:r>
    </w:p>
    <w:p w:rsidR="00BA2EBF" w:rsidRDefault="00D7170A">
      <w:pPr>
        <w:spacing w:line="360" w:lineRule="auto"/>
        <w:ind w:left="600"/>
        <w:rPr>
          <w:rFonts w:ascii="黑体" w:eastAsia="黑体" w:hAnsi="黑体"/>
          <w:sz w:val="30"/>
        </w:rPr>
      </w:pPr>
      <w:r>
        <w:rPr>
          <w:rFonts w:ascii="黑体" w:eastAsia="黑体" w:hAnsi="黑体" w:hint="eastAsia"/>
          <w:sz w:val="30"/>
        </w:rPr>
        <w:t>五、部门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整体支出绩效中存</w:t>
      </w:r>
      <w:r>
        <w:rPr>
          <w:rFonts w:ascii="黑体" w:eastAsia="黑体" w:hAnsi="黑体"/>
          <w:sz w:val="30"/>
        </w:rPr>
        <w:t>在问题</w:t>
      </w:r>
      <w:r>
        <w:rPr>
          <w:rFonts w:ascii="黑体" w:eastAsia="黑体" w:hAnsi="黑体" w:hint="eastAsia"/>
          <w:sz w:val="30"/>
        </w:rPr>
        <w:t>及</w:t>
      </w:r>
      <w:r>
        <w:rPr>
          <w:rFonts w:ascii="黑体" w:eastAsia="黑体" w:hAnsi="黑体"/>
          <w:sz w:val="30"/>
        </w:rPr>
        <w:t>改进措施</w:t>
      </w:r>
    </w:p>
    <w:p w:rsidR="00BA2EBF" w:rsidRDefault="00D7170A">
      <w:pPr>
        <w:spacing w:line="360" w:lineRule="auto"/>
        <w:ind w:firstLineChars="200" w:firstLine="480"/>
        <w:rPr>
          <w:rFonts w:ascii="宋体" w:hAnsi="宋体" w:cs="宋体"/>
          <w:sz w:val="24"/>
        </w:rPr>
      </w:pPr>
      <w:r>
        <w:rPr>
          <w:rFonts w:ascii="宋体" w:hAnsi="宋体" w:cs="宋体" w:hint="eastAsia"/>
          <w:sz w:val="24"/>
        </w:rPr>
        <w:lastRenderedPageBreak/>
        <w:t>因疫情影响，党团活动经费支出完成度不高，今后应考虑实际情况细化预算编制。</w:t>
      </w:r>
    </w:p>
    <w:p w:rsidR="00BA2EBF" w:rsidRDefault="00D7170A">
      <w:pPr>
        <w:spacing w:line="360" w:lineRule="auto"/>
        <w:ind w:left="600"/>
        <w:rPr>
          <w:rFonts w:ascii="黑体" w:eastAsia="黑体" w:hAnsi="黑体"/>
          <w:sz w:val="30"/>
        </w:rPr>
      </w:pPr>
      <w:r>
        <w:rPr>
          <w:rFonts w:ascii="黑体" w:eastAsia="黑体" w:hAnsi="黑体" w:hint="eastAsia"/>
          <w:sz w:val="30"/>
        </w:rPr>
        <w:t>六、</w:t>
      </w:r>
      <w:r>
        <w:rPr>
          <w:rFonts w:ascii="黑体" w:eastAsia="黑体" w:hAnsi="黑体"/>
          <w:sz w:val="30"/>
        </w:rPr>
        <w:t>绩效自评</w:t>
      </w:r>
      <w:r>
        <w:rPr>
          <w:rFonts w:ascii="黑体" w:eastAsia="黑体" w:hAnsi="黑体" w:hint="eastAsia"/>
          <w:sz w:val="30"/>
        </w:rPr>
        <w:t>结果</w:t>
      </w:r>
      <w:r>
        <w:rPr>
          <w:rFonts w:ascii="黑体" w:eastAsia="黑体" w:hAnsi="黑体"/>
          <w:sz w:val="30"/>
        </w:rPr>
        <w:t>拟应用和公开</w:t>
      </w:r>
      <w:r>
        <w:rPr>
          <w:rFonts w:ascii="黑体" w:eastAsia="黑体" w:hAnsi="黑体" w:hint="eastAsia"/>
          <w:sz w:val="30"/>
        </w:rPr>
        <w:t>情况</w:t>
      </w:r>
    </w:p>
    <w:p w:rsidR="00BA2EBF" w:rsidRDefault="00D7170A">
      <w:pPr>
        <w:spacing w:line="360" w:lineRule="auto"/>
        <w:ind w:firstLineChars="200" w:firstLine="480"/>
        <w:rPr>
          <w:rFonts w:ascii="宋体" w:hAnsi="宋体" w:cs="宋体"/>
          <w:sz w:val="24"/>
        </w:rPr>
      </w:pPr>
      <w:r>
        <w:rPr>
          <w:rFonts w:ascii="宋体" w:hAnsi="宋体" w:cs="宋体" w:hint="eastAsia"/>
          <w:sz w:val="24"/>
        </w:rPr>
        <w:t>2022年和2023年整体预算支出绩效目标已公开</w:t>
      </w:r>
    </w:p>
    <w:p w:rsidR="00BA2EBF" w:rsidRDefault="00BA2EBF">
      <w:pPr>
        <w:spacing w:line="360" w:lineRule="auto"/>
        <w:rPr>
          <w:rFonts w:ascii="黑体" w:eastAsia="黑体" w:hAnsi="黑体"/>
          <w:sz w:val="30"/>
        </w:rPr>
        <w:sectPr w:rsidR="00BA2EBF">
          <w:headerReference w:type="even" r:id="rId7"/>
          <w:headerReference w:type="default" r:id="rId8"/>
          <w:footerReference w:type="even" r:id="rId9"/>
          <w:footerReference w:type="default" r:id="rId10"/>
          <w:pgSz w:w="11907" w:h="16840"/>
          <w:pgMar w:top="1247" w:right="1400" w:bottom="1089" w:left="1559" w:header="851" w:footer="992" w:gutter="0"/>
          <w:paperSrc w:first="15" w:other="15"/>
          <w:cols w:space="720"/>
          <w:docGrid w:type="lines" w:linePitch="312"/>
        </w:sectPr>
      </w:pPr>
    </w:p>
    <w:p w:rsidR="00BA2EBF" w:rsidRDefault="00D7170A">
      <w:pPr>
        <w:numPr>
          <w:ilvl w:val="0"/>
          <w:numId w:val="1"/>
        </w:numPr>
        <w:spacing w:line="360" w:lineRule="auto"/>
        <w:ind w:left="600"/>
        <w:rPr>
          <w:rFonts w:ascii="黑体" w:eastAsia="黑体" w:hAnsi="黑体"/>
          <w:sz w:val="30"/>
        </w:rPr>
      </w:pPr>
      <w:r>
        <w:rPr>
          <w:rFonts w:ascii="黑体" w:eastAsia="黑体" w:hAnsi="黑体" w:hint="eastAsia"/>
          <w:sz w:val="30"/>
        </w:rPr>
        <w:lastRenderedPageBreak/>
        <w:t>预算信息</w:t>
      </w:r>
    </w:p>
    <w:p w:rsidR="00BA2EBF" w:rsidRDefault="00BA2EBF">
      <w:pPr>
        <w:spacing w:line="360" w:lineRule="auto"/>
        <w:ind w:left="600"/>
        <w:rPr>
          <w:rFonts w:ascii="黑体" w:eastAsia="黑体" w:hAnsi="黑体"/>
          <w:sz w:val="30"/>
        </w:rPr>
      </w:pP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9"/>
        <w:gridCol w:w="2268"/>
        <w:gridCol w:w="2268"/>
        <w:gridCol w:w="2268"/>
        <w:gridCol w:w="2268"/>
        <w:gridCol w:w="2268"/>
      </w:tblGrid>
      <w:tr w:rsidR="00BA2EBF">
        <w:trPr>
          <w:trHeight w:val="339"/>
        </w:trPr>
        <w:tc>
          <w:tcPr>
            <w:tcW w:w="3079"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本年度预算资金（万元）</w:t>
            </w:r>
          </w:p>
        </w:tc>
        <w:tc>
          <w:tcPr>
            <w:tcW w:w="226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年初预算数（万元）</w:t>
            </w:r>
          </w:p>
        </w:tc>
        <w:tc>
          <w:tcPr>
            <w:tcW w:w="226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上年度结转及当年预算追加追减数(万元）</w:t>
            </w:r>
          </w:p>
        </w:tc>
        <w:tc>
          <w:tcPr>
            <w:tcW w:w="226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调整预算数（万元）</w:t>
            </w:r>
          </w:p>
        </w:tc>
        <w:tc>
          <w:tcPr>
            <w:tcW w:w="226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实际支出数（万元）</w:t>
            </w:r>
          </w:p>
        </w:tc>
        <w:tc>
          <w:tcPr>
            <w:tcW w:w="226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执行率（%)</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预算总金额</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714.89</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235.37</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950.26</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810.62</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85.31%</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基本支出</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685.96</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185.37</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871.33</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734.77</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84.33%</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项目支出</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28.93</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50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78.93</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75.85</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96.10%</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专项租赁费</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2.49</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2.49</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2.14</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85.94%</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体检经费</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4.34</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4.34</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3.4</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78.34%</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党团活动经费</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2.1</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2.1</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0.31</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14.76%</w:t>
            </w:r>
          </w:p>
        </w:tc>
      </w:tr>
      <w:tr w:rsidR="00BA2EBF">
        <w:trPr>
          <w:trHeight w:val="540"/>
        </w:trPr>
        <w:tc>
          <w:tcPr>
            <w:tcW w:w="3079" w:type="dxa"/>
            <w:vAlign w:val="center"/>
          </w:tcPr>
          <w:p w:rsidR="00BA2EBF" w:rsidRDefault="00D7170A">
            <w:pPr>
              <w:widowControl/>
              <w:jc w:val="left"/>
              <w:rPr>
                <w:rFonts w:ascii="宋体" w:hAnsi="宋体" w:cs="宋体"/>
                <w:kern w:val="0"/>
                <w:sz w:val="24"/>
              </w:rPr>
            </w:pPr>
            <w:r>
              <w:rPr>
                <w:rFonts w:ascii="宋体" w:hAnsi="宋体" w:cs="宋体" w:hint="eastAsia"/>
                <w:sz w:val="24"/>
              </w:rPr>
              <w:t>执法监督检查</w:t>
            </w:r>
          </w:p>
        </w:tc>
        <w:tc>
          <w:tcPr>
            <w:tcW w:w="2268" w:type="dxa"/>
            <w:vAlign w:val="center"/>
          </w:tcPr>
          <w:p w:rsidR="00BA2EBF" w:rsidRDefault="00D7170A">
            <w:pPr>
              <w:widowControl/>
              <w:jc w:val="center"/>
              <w:rPr>
                <w:rFonts w:ascii="宋体" w:hAnsi="宋体" w:cs="宋体"/>
                <w:kern w:val="0"/>
                <w:sz w:val="24"/>
              </w:rPr>
            </w:pPr>
            <w:r>
              <w:rPr>
                <w:rFonts w:ascii="宋体" w:hAnsi="宋体" w:cs="宋体" w:hint="eastAsia"/>
                <w:sz w:val="24"/>
              </w:rPr>
              <w:t>20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20</w:t>
            </w:r>
          </w:p>
        </w:tc>
        <w:tc>
          <w:tcPr>
            <w:tcW w:w="2268" w:type="dxa"/>
            <w:vAlign w:val="center"/>
          </w:tcPr>
          <w:p w:rsidR="00BA2EBF" w:rsidRDefault="00D7170A">
            <w:pPr>
              <w:widowControl/>
              <w:jc w:val="center"/>
              <w:rPr>
                <w:rFonts w:ascii="宋体" w:hAnsi="宋体" w:cs="宋体"/>
                <w:sz w:val="24"/>
              </w:rPr>
            </w:pPr>
            <w:r>
              <w:rPr>
                <w:rFonts w:ascii="宋体" w:hAnsi="宋体" w:cs="宋体" w:hint="eastAsia"/>
                <w:sz w:val="24"/>
              </w:rPr>
              <w:t>100.00%</w:t>
            </w:r>
          </w:p>
        </w:tc>
      </w:tr>
    </w:tbl>
    <w:p w:rsidR="00BA2EBF" w:rsidRDefault="00BA2EBF">
      <w:pPr>
        <w:spacing w:line="360" w:lineRule="auto"/>
        <w:ind w:left="600"/>
        <w:rPr>
          <w:rFonts w:ascii="黑体" w:eastAsia="黑体" w:hAnsi="黑体"/>
          <w:sz w:val="30"/>
        </w:rPr>
      </w:pPr>
    </w:p>
    <w:p w:rsidR="00BA2EBF" w:rsidRDefault="00D7170A">
      <w:pPr>
        <w:numPr>
          <w:ilvl w:val="0"/>
          <w:numId w:val="1"/>
        </w:numPr>
        <w:spacing w:line="360" w:lineRule="auto"/>
        <w:ind w:left="600"/>
        <w:rPr>
          <w:rFonts w:ascii="黑体" w:eastAsia="黑体" w:hAnsi="黑体"/>
          <w:sz w:val="30"/>
        </w:rPr>
      </w:pPr>
      <w:r>
        <w:rPr>
          <w:rFonts w:ascii="黑体" w:eastAsia="黑体" w:hAnsi="黑体" w:hint="eastAsia"/>
          <w:sz w:val="30"/>
        </w:rPr>
        <w:t>年度重点任务</w:t>
      </w:r>
    </w:p>
    <w:p w:rsidR="00BA2EBF" w:rsidRDefault="00BA2EBF">
      <w:pPr>
        <w:spacing w:line="360" w:lineRule="auto"/>
        <w:ind w:left="600"/>
        <w:rPr>
          <w:rFonts w:ascii="黑体" w:eastAsia="黑体" w:hAnsi="黑体"/>
          <w:sz w:val="30"/>
        </w:rPr>
      </w:pP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9"/>
        <w:gridCol w:w="3818"/>
        <w:gridCol w:w="3538"/>
        <w:gridCol w:w="2742"/>
      </w:tblGrid>
      <w:tr w:rsidR="00BA2EBF">
        <w:trPr>
          <w:trHeight w:val="339"/>
        </w:trPr>
        <w:tc>
          <w:tcPr>
            <w:tcW w:w="3419" w:type="dxa"/>
            <w:shd w:val="clear" w:color="000000" w:fill="BFBFBF"/>
            <w:vAlign w:val="center"/>
          </w:tcPr>
          <w:p w:rsidR="00BA2EBF" w:rsidRDefault="00BA2EBF">
            <w:pPr>
              <w:widowControl/>
              <w:jc w:val="center"/>
              <w:rPr>
                <w:rFonts w:ascii="宋体" w:hAnsi="宋体" w:cs="宋体"/>
                <w:b/>
                <w:bCs/>
                <w:kern w:val="0"/>
                <w:sz w:val="24"/>
              </w:rPr>
            </w:pPr>
          </w:p>
          <w:p w:rsidR="00BA2EBF" w:rsidRDefault="00D7170A">
            <w:pPr>
              <w:widowControl/>
              <w:jc w:val="center"/>
              <w:rPr>
                <w:rFonts w:ascii="宋体" w:hAnsi="宋体" w:cs="宋体"/>
                <w:b/>
                <w:bCs/>
                <w:kern w:val="0"/>
                <w:sz w:val="24"/>
              </w:rPr>
            </w:pPr>
            <w:r>
              <w:rPr>
                <w:rFonts w:ascii="宋体" w:hAnsi="宋体" w:cs="宋体" w:hint="eastAsia"/>
                <w:b/>
                <w:bCs/>
                <w:kern w:val="0"/>
                <w:sz w:val="24"/>
              </w:rPr>
              <w:t>对应部门主要职责</w:t>
            </w:r>
          </w:p>
          <w:p w:rsidR="00BA2EBF" w:rsidRDefault="00BA2EBF">
            <w:pPr>
              <w:widowControl/>
              <w:jc w:val="center"/>
              <w:rPr>
                <w:rFonts w:ascii="宋体" w:hAnsi="宋体" w:cs="宋体"/>
                <w:b/>
                <w:bCs/>
                <w:kern w:val="0"/>
                <w:sz w:val="24"/>
              </w:rPr>
            </w:pPr>
          </w:p>
        </w:tc>
        <w:tc>
          <w:tcPr>
            <w:tcW w:w="381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任务名称</w:t>
            </w:r>
          </w:p>
        </w:tc>
        <w:tc>
          <w:tcPr>
            <w:tcW w:w="3538"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主要内容</w:t>
            </w:r>
          </w:p>
        </w:tc>
        <w:tc>
          <w:tcPr>
            <w:tcW w:w="2742"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kern w:val="0"/>
                <w:sz w:val="24"/>
              </w:rPr>
              <w:t>完成情况</w:t>
            </w:r>
          </w:p>
        </w:tc>
      </w:tr>
      <w:tr w:rsidR="00BA2EBF">
        <w:trPr>
          <w:trHeight w:val="608"/>
        </w:trPr>
        <w:tc>
          <w:tcPr>
            <w:tcW w:w="3419" w:type="dxa"/>
            <w:vMerge w:val="restart"/>
            <w:vAlign w:val="center"/>
          </w:tcPr>
          <w:p w:rsidR="00BA2EBF" w:rsidRDefault="00D7170A">
            <w:pPr>
              <w:widowControl/>
              <w:jc w:val="center"/>
              <w:rPr>
                <w:rFonts w:ascii="宋体" w:hAnsi="宋体" w:cs="宋体"/>
                <w:kern w:val="0"/>
                <w:sz w:val="24"/>
              </w:rPr>
            </w:pPr>
            <w:r>
              <w:rPr>
                <w:rFonts w:ascii="宋体" w:hAnsi="宋体" w:cs="宋体" w:hint="eastAsia"/>
                <w:sz w:val="24"/>
              </w:rPr>
              <w:lastRenderedPageBreak/>
              <w:t>对财务、会计执行情况进行监督检查。&lt;br&gt;对违反预算管理的行为进行专项检查，追缴各项入库收入。&lt;br&gt;对违反政府采购、集团购买力控制等规定的行为进行专项检查，追缴各项入库收入。&lt;br&gt;检查、追缴应征税款和非税收入。&lt;br&gt;依法对其他违反财经纪律、法规政策的行为实施稽查和行政处罚。</w:t>
            </w:r>
          </w:p>
        </w:tc>
        <w:tc>
          <w:tcPr>
            <w:tcW w:w="3818" w:type="dxa"/>
            <w:vAlign w:val="center"/>
          </w:tcPr>
          <w:p w:rsidR="00BA2EBF" w:rsidRDefault="00D7170A">
            <w:pPr>
              <w:widowControl/>
              <w:jc w:val="center"/>
              <w:rPr>
                <w:rFonts w:ascii="宋体" w:hAnsi="宋体" w:cs="宋体"/>
                <w:sz w:val="24"/>
              </w:rPr>
            </w:pPr>
            <w:r>
              <w:rPr>
                <w:rFonts w:ascii="宋体" w:hAnsi="宋体" w:cs="宋体" w:hint="eastAsia"/>
                <w:sz w:val="24"/>
              </w:rPr>
              <w:t>制定财政监督计划</w:t>
            </w:r>
          </w:p>
        </w:tc>
        <w:tc>
          <w:tcPr>
            <w:tcW w:w="3538" w:type="dxa"/>
            <w:vAlign w:val="center"/>
          </w:tcPr>
          <w:p w:rsidR="00BA2EBF" w:rsidRDefault="00BA2EBF">
            <w:pPr>
              <w:widowControl/>
              <w:jc w:val="center"/>
              <w:rPr>
                <w:rFonts w:ascii="宋体" w:hAnsi="宋体" w:cs="宋体"/>
                <w:sz w:val="24"/>
              </w:rPr>
            </w:pPr>
          </w:p>
        </w:tc>
        <w:tc>
          <w:tcPr>
            <w:tcW w:w="2742" w:type="dxa"/>
            <w:vAlign w:val="center"/>
          </w:tcPr>
          <w:p w:rsidR="00BA2EBF" w:rsidRDefault="00D7170A">
            <w:pPr>
              <w:widowControl/>
              <w:jc w:val="center"/>
              <w:rPr>
                <w:rFonts w:ascii="宋体" w:hAnsi="宋体" w:cs="宋体"/>
                <w:sz w:val="24"/>
              </w:rPr>
            </w:pPr>
            <w:r>
              <w:rPr>
                <w:rFonts w:ascii="宋体" w:hAnsi="宋体" w:cs="宋体" w:hint="eastAsia"/>
                <w:sz w:val="24"/>
              </w:rPr>
              <w:t>完成全年监督计划项目</w:t>
            </w:r>
          </w:p>
        </w:tc>
      </w:tr>
      <w:tr w:rsidR="00BA2EBF">
        <w:trPr>
          <w:trHeight w:val="608"/>
        </w:trPr>
        <w:tc>
          <w:tcPr>
            <w:tcW w:w="3419" w:type="dxa"/>
            <w:vMerge/>
            <w:vAlign w:val="center"/>
          </w:tcPr>
          <w:p w:rsidR="00BA2EBF" w:rsidRDefault="00BA2EBF">
            <w:pPr>
              <w:widowControl/>
              <w:jc w:val="center"/>
              <w:rPr>
                <w:rFonts w:ascii="宋体" w:hAnsi="宋体" w:cs="宋体"/>
                <w:kern w:val="0"/>
                <w:sz w:val="24"/>
              </w:rPr>
            </w:pPr>
          </w:p>
        </w:tc>
        <w:tc>
          <w:tcPr>
            <w:tcW w:w="3818" w:type="dxa"/>
            <w:vAlign w:val="center"/>
          </w:tcPr>
          <w:p w:rsidR="00BA2EBF" w:rsidRDefault="00D7170A">
            <w:pPr>
              <w:widowControl/>
              <w:jc w:val="center"/>
              <w:rPr>
                <w:rFonts w:ascii="宋体" w:hAnsi="宋体" w:cs="宋体"/>
                <w:sz w:val="24"/>
              </w:rPr>
            </w:pPr>
            <w:r>
              <w:rPr>
                <w:rFonts w:ascii="宋体" w:hAnsi="宋体" w:cs="宋体" w:hint="eastAsia"/>
                <w:sz w:val="24"/>
              </w:rPr>
              <w:t>开展财税法规监督</w:t>
            </w:r>
          </w:p>
        </w:tc>
        <w:tc>
          <w:tcPr>
            <w:tcW w:w="3538" w:type="dxa"/>
            <w:vAlign w:val="center"/>
          </w:tcPr>
          <w:p w:rsidR="00BA2EBF" w:rsidRDefault="00BA2EBF">
            <w:pPr>
              <w:widowControl/>
              <w:jc w:val="center"/>
              <w:rPr>
                <w:rFonts w:ascii="宋体" w:hAnsi="宋体" w:cs="宋体"/>
                <w:sz w:val="24"/>
              </w:rPr>
            </w:pPr>
          </w:p>
        </w:tc>
        <w:tc>
          <w:tcPr>
            <w:tcW w:w="2742" w:type="dxa"/>
            <w:vAlign w:val="center"/>
          </w:tcPr>
          <w:p w:rsidR="00BA2EBF" w:rsidRDefault="00D7170A">
            <w:pPr>
              <w:widowControl/>
              <w:jc w:val="center"/>
              <w:rPr>
                <w:rFonts w:ascii="宋体" w:hAnsi="宋体" w:cs="宋体"/>
                <w:sz w:val="24"/>
              </w:rPr>
            </w:pPr>
            <w:r>
              <w:rPr>
                <w:rFonts w:ascii="宋体" w:hAnsi="宋体" w:cs="宋体" w:hint="eastAsia"/>
                <w:sz w:val="24"/>
              </w:rPr>
              <w:t>对市属17家行政事业单位进行部门预算管理及会计信息质量综合检查，规范了单位在财务管理、会计核算、银行账户管理等方面的问题</w:t>
            </w:r>
          </w:p>
        </w:tc>
      </w:tr>
      <w:tr w:rsidR="00BA2EBF">
        <w:trPr>
          <w:trHeight w:val="608"/>
        </w:trPr>
        <w:tc>
          <w:tcPr>
            <w:tcW w:w="3419" w:type="dxa"/>
            <w:vMerge/>
            <w:vAlign w:val="center"/>
          </w:tcPr>
          <w:p w:rsidR="00BA2EBF" w:rsidRDefault="00BA2EBF">
            <w:pPr>
              <w:widowControl/>
              <w:jc w:val="center"/>
              <w:rPr>
                <w:rFonts w:ascii="宋体" w:hAnsi="宋体" w:cs="宋体"/>
                <w:kern w:val="0"/>
                <w:sz w:val="24"/>
              </w:rPr>
            </w:pPr>
          </w:p>
        </w:tc>
        <w:tc>
          <w:tcPr>
            <w:tcW w:w="3818" w:type="dxa"/>
            <w:vAlign w:val="center"/>
          </w:tcPr>
          <w:p w:rsidR="00BA2EBF" w:rsidRDefault="00D7170A">
            <w:pPr>
              <w:widowControl/>
              <w:jc w:val="center"/>
              <w:rPr>
                <w:rFonts w:ascii="宋体" w:hAnsi="宋体" w:cs="宋体"/>
                <w:sz w:val="24"/>
              </w:rPr>
            </w:pPr>
            <w:r>
              <w:rPr>
                <w:rFonts w:ascii="宋体" w:hAnsi="宋体" w:cs="宋体" w:hint="eastAsia"/>
                <w:sz w:val="24"/>
              </w:rPr>
              <w:t>开展内部控制监督</w:t>
            </w:r>
          </w:p>
        </w:tc>
        <w:tc>
          <w:tcPr>
            <w:tcW w:w="3538" w:type="dxa"/>
            <w:vAlign w:val="center"/>
          </w:tcPr>
          <w:p w:rsidR="00BA2EBF" w:rsidRDefault="00BA2EBF">
            <w:pPr>
              <w:widowControl/>
              <w:jc w:val="center"/>
              <w:rPr>
                <w:rFonts w:ascii="宋体" w:hAnsi="宋体" w:cs="宋体"/>
                <w:sz w:val="24"/>
              </w:rPr>
            </w:pPr>
          </w:p>
        </w:tc>
        <w:tc>
          <w:tcPr>
            <w:tcW w:w="2742" w:type="dxa"/>
            <w:vAlign w:val="center"/>
          </w:tcPr>
          <w:p w:rsidR="00BA2EBF" w:rsidRDefault="00D7170A">
            <w:pPr>
              <w:widowControl/>
              <w:jc w:val="center"/>
              <w:rPr>
                <w:rFonts w:ascii="宋体" w:hAnsi="宋体" w:cs="宋体"/>
                <w:sz w:val="24"/>
              </w:rPr>
            </w:pPr>
            <w:r>
              <w:rPr>
                <w:rFonts w:ascii="宋体" w:hAnsi="宋体" w:cs="宋体" w:hint="eastAsia"/>
                <w:sz w:val="24"/>
              </w:rPr>
              <w:t>开展内部审计，强化内部监督，完成两个下属事业单位负责人经济责任审计。</w:t>
            </w:r>
          </w:p>
        </w:tc>
      </w:tr>
    </w:tbl>
    <w:p w:rsidR="00BA2EBF" w:rsidRDefault="00BA2EBF">
      <w:pPr>
        <w:spacing w:line="360" w:lineRule="auto"/>
        <w:ind w:left="600"/>
        <w:rPr>
          <w:rFonts w:ascii="黑体" w:eastAsia="黑体" w:hAnsi="黑体"/>
          <w:sz w:val="30"/>
        </w:rPr>
      </w:pPr>
    </w:p>
    <w:p w:rsidR="00BA2EBF" w:rsidRDefault="00BA2EBF">
      <w:pPr>
        <w:spacing w:line="360" w:lineRule="auto"/>
        <w:ind w:left="600"/>
        <w:rPr>
          <w:rFonts w:ascii="黑体" w:eastAsia="黑体" w:hAnsi="黑体"/>
          <w:sz w:val="30"/>
        </w:rPr>
      </w:pPr>
    </w:p>
    <w:p w:rsidR="00BA2EBF" w:rsidRDefault="00D7170A">
      <w:pPr>
        <w:numPr>
          <w:ilvl w:val="0"/>
          <w:numId w:val="1"/>
        </w:numPr>
        <w:spacing w:line="360" w:lineRule="auto"/>
        <w:ind w:left="600"/>
        <w:rPr>
          <w:rFonts w:ascii="黑体" w:eastAsia="黑体" w:hAnsi="黑体"/>
          <w:sz w:val="30"/>
        </w:rPr>
      </w:pPr>
      <w:r>
        <w:rPr>
          <w:rFonts w:ascii="黑体" w:eastAsia="黑体" w:hAnsi="黑体" w:hint="eastAsia"/>
          <w:sz w:val="30"/>
        </w:rPr>
        <w:t>部门整体自评表</w:t>
      </w:r>
    </w:p>
    <w:tbl>
      <w:tblPr>
        <w:tblpPr w:leftFromText="180" w:rightFromText="180" w:vertAnchor="text" w:horzAnchor="page" w:tblpX="1656" w:tblpY="127"/>
        <w:tblOverlap w:val="never"/>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7"/>
        <w:gridCol w:w="2051"/>
        <w:gridCol w:w="2061"/>
        <w:gridCol w:w="1987"/>
        <w:gridCol w:w="1799"/>
        <w:gridCol w:w="1866"/>
        <w:gridCol w:w="1787"/>
        <w:gridCol w:w="1071"/>
      </w:tblGrid>
      <w:tr w:rsidR="00BA2EBF">
        <w:trPr>
          <w:trHeight w:val="339"/>
        </w:trPr>
        <w:tc>
          <w:tcPr>
            <w:tcW w:w="2067" w:type="dxa"/>
            <w:shd w:val="clear" w:color="000000" w:fill="BFBFBF"/>
            <w:vAlign w:val="center"/>
          </w:tcPr>
          <w:p w:rsidR="00BA2EBF" w:rsidRDefault="00BA2EBF">
            <w:pPr>
              <w:widowControl/>
              <w:jc w:val="center"/>
              <w:rPr>
                <w:rFonts w:ascii="宋体" w:hAnsi="宋体" w:cs="宋体"/>
                <w:b/>
                <w:bCs/>
                <w:kern w:val="0"/>
                <w:sz w:val="24"/>
              </w:rPr>
            </w:pPr>
          </w:p>
        </w:tc>
        <w:tc>
          <w:tcPr>
            <w:tcW w:w="2051"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sz w:val="24"/>
              </w:rPr>
              <w:t>类别</w:t>
            </w:r>
          </w:p>
        </w:tc>
        <w:tc>
          <w:tcPr>
            <w:tcW w:w="2061"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sz w:val="24"/>
              </w:rPr>
              <w:t>指标名称</w:t>
            </w:r>
          </w:p>
        </w:tc>
        <w:tc>
          <w:tcPr>
            <w:tcW w:w="1987"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sz w:val="24"/>
              </w:rPr>
              <w:t>指标目标值</w:t>
            </w:r>
          </w:p>
        </w:tc>
        <w:tc>
          <w:tcPr>
            <w:tcW w:w="1799"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sz w:val="24"/>
              </w:rPr>
              <w:t>指标完成值</w:t>
            </w:r>
          </w:p>
        </w:tc>
        <w:tc>
          <w:tcPr>
            <w:tcW w:w="1866" w:type="dxa"/>
            <w:shd w:val="clear" w:color="000000" w:fill="BFBFBF"/>
            <w:vAlign w:val="center"/>
          </w:tcPr>
          <w:p w:rsidR="00BA2EBF" w:rsidRDefault="00D7170A">
            <w:pPr>
              <w:widowControl/>
              <w:jc w:val="center"/>
              <w:rPr>
                <w:rFonts w:ascii="宋体" w:hAnsi="宋体" w:cs="宋体"/>
                <w:b/>
                <w:bCs/>
                <w:kern w:val="0"/>
                <w:sz w:val="24"/>
              </w:rPr>
            </w:pPr>
            <w:r>
              <w:rPr>
                <w:rFonts w:ascii="宋体" w:hAnsi="宋体" w:cs="宋体" w:hint="eastAsia"/>
                <w:b/>
                <w:bCs/>
                <w:sz w:val="24"/>
              </w:rPr>
              <w:t>完成值来源</w:t>
            </w:r>
          </w:p>
        </w:tc>
        <w:tc>
          <w:tcPr>
            <w:tcW w:w="1787" w:type="dxa"/>
            <w:shd w:val="clear" w:color="000000" w:fill="BFBFBF"/>
            <w:vAlign w:val="center"/>
          </w:tcPr>
          <w:p w:rsidR="00BA2EBF" w:rsidRDefault="00D7170A">
            <w:pPr>
              <w:widowControl/>
              <w:jc w:val="center"/>
              <w:rPr>
                <w:rFonts w:ascii="宋体" w:hAnsi="宋体" w:cs="宋体"/>
                <w:b/>
                <w:bCs/>
                <w:sz w:val="24"/>
              </w:rPr>
            </w:pPr>
            <w:r>
              <w:rPr>
                <w:rFonts w:ascii="宋体" w:hAnsi="宋体" w:cs="宋体" w:hint="eastAsia"/>
                <w:b/>
                <w:bCs/>
                <w:sz w:val="24"/>
              </w:rPr>
              <w:t>偏差情况</w:t>
            </w:r>
          </w:p>
        </w:tc>
        <w:tc>
          <w:tcPr>
            <w:tcW w:w="1071" w:type="dxa"/>
            <w:shd w:val="clear" w:color="000000" w:fill="BFBFBF"/>
          </w:tcPr>
          <w:p w:rsidR="00BA2EBF" w:rsidRDefault="00D7170A">
            <w:pPr>
              <w:widowControl/>
              <w:jc w:val="center"/>
              <w:rPr>
                <w:rFonts w:ascii="黑体" w:eastAsia="黑体" w:hAnsi="黑体"/>
                <w:sz w:val="30"/>
              </w:rPr>
            </w:pPr>
            <w:r>
              <w:rPr>
                <w:rFonts w:ascii="宋体" w:hAnsi="宋体" w:cs="宋体" w:hint="eastAsia"/>
                <w:b/>
                <w:bCs/>
                <w:sz w:val="24"/>
              </w:rPr>
              <w:t>原因分析</w:t>
            </w:r>
          </w:p>
        </w:tc>
      </w:tr>
      <w:tr w:rsidR="00BA2EBF">
        <w:trPr>
          <w:trHeight w:val="540"/>
        </w:trPr>
        <w:tc>
          <w:tcPr>
            <w:tcW w:w="2067" w:type="dxa"/>
            <w:vMerge w:val="restart"/>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分解目标</w:t>
            </w:r>
          </w:p>
        </w:tc>
        <w:tc>
          <w:tcPr>
            <w:tcW w:w="2051" w:type="dxa"/>
            <w:vMerge w:val="restart"/>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决策</w:t>
            </w: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中长期规划制定健全性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长期工作计划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工作计划制定健全性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监督检查计划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绩效目标合理性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合理</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合理</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绩效指标明确性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明确</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明确</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预算编制规范性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预算编制科学性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科学</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科学</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restart"/>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过程</w:t>
            </w: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非税收入管理合规性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非税管理制度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基础信息完善性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完善</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完善</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预决算信息公开度</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公开</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公开</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绩效管理覆盖率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绩效管理制度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资金使用合规性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资产管理规范性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资产管理制度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资产管理制度健全性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资产管理制度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固定资产利用率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资产管理制度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项目管理制度执</w:t>
            </w:r>
            <w:r>
              <w:rPr>
                <w:rFonts w:ascii="宋体" w:hAnsi="宋体" w:cs="宋体" w:hint="eastAsia"/>
                <w:sz w:val="24"/>
              </w:rPr>
              <w:lastRenderedPageBreak/>
              <w:t>行规范性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lastRenderedPageBreak/>
              <w:t>规范</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项目管理制度健全性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人员管理制度健全性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在职人员控制率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人员管理制度执行有效性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业务学习与培训及时完成率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组织建设工作及时完成率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纪检监察工作有效性</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内控制度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预算调整率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24.77%</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支付进度符合率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政府采购执行率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公用经费控制率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&lt;=100%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预算执行率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85.31%</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-14.69%</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结转结余率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“三公经费”变动率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非税收入预算完成率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预算管理制度</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效益</w:t>
            </w: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监督结果跟踪落实和综合运用情况</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较好</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较好</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跟踪整改报告</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restart"/>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履职</w:t>
            </w: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全年监督检查计划完成率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监督检查计划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财政监督计划制定率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监督检查计划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全年监督检查计划完成率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监督检查计划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r w:rsidR="00BA2EBF">
        <w:trPr>
          <w:trHeight w:val="540"/>
        </w:trPr>
        <w:tc>
          <w:tcPr>
            <w:tcW w:w="2067" w:type="dxa"/>
            <w:vMerge/>
            <w:vAlign w:val="center"/>
          </w:tcPr>
          <w:p w:rsidR="00BA2EBF" w:rsidRDefault="00BA2EBF">
            <w:pPr>
              <w:spacing w:line="360" w:lineRule="auto"/>
              <w:jc w:val="center"/>
              <w:rPr>
                <w:rFonts w:ascii="宋体" w:hAnsi="宋体" w:cs="宋体"/>
                <w:kern w:val="0"/>
                <w:sz w:val="24"/>
              </w:rPr>
            </w:pPr>
          </w:p>
        </w:tc>
        <w:tc>
          <w:tcPr>
            <w:tcW w:w="2051" w:type="dxa"/>
            <w:vMerge/>
            <w:vAlign w:val="center"/>
          </w:tcPr>
          <w:p w:rsidR="00BA2EBF" w:rsidRDefault="00BA2EBF">
            <w:pPr>
              <w:spacing w:line="360" w:lineRule="auto"/>
              <w:jc w:val="center"/>
              <w:rPr>
                <w:rFonts w:ascii="宋体" w:hAnsi="宋体" w:cs="宋体"/>
                <w:kern w:val="0"/>
                <w:sz w:val="24"/>
              </w:rPr>
            </w:pPr>
          </w:p>
        </w:tc>
        <w:tc>
          <w:tcPr>
            <w:tcW w:w="2061"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内部控制监督计划完成率</w:t>
            </w:r>
          </w:p>
        </w:tc>
        <w:tc>
          <w:tcPr>
            <w:tcW w:w="19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监督检查计划</w:t>
            </w:r>
          </w:p>
        </w:tc>
        <w:tc>
          <w:tcPr>
            <w:tcW w:w="1787" w:type="dxa"/>
            <w:vAlign w:val="center"/>
          </w:tcPr>
          <w:p w:rsidR="00BA2EBF" w:rsidRDefault="00D7170A">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BA2EBF" w:rsidRDefault="00BA2EBF">
            <w:pPr>
              <w:spacing w:line="360" w:lineRule="auto"/>
              <w:rPr>
                <w:rFonts w:ascii="宋体" w:hAnsi="宋体" w:cs="宋体"/>
                <w:kern w:val="0"/>
                <w:sz w:val="22"/>
              </w:rPr>
            </w:pPr>
          </w:p>
        </w:tc>
      </w:tr>
    </w:tbl>
    <w:p w:rsidR="00BA2EBF" w:rsidRDefault="00BA2EBF">
      <w:pPr>
        <w:spacing w:line="360" w:lineRule="auto"/>
        <w:ind w:left="600"/>
        <w:rPr>
          <w:rFonts w:ascii="黑体" w:eastAsia="黑体" w:hAnsi="黑体"/>
          <w:sz w:val="30"/>
        </w:rPr>
      </w:pPr>
      <w:bookmarkStart w:id="0" w:name="_GoBack"/>
      <w:bookmarkEnd w:id="0"/>
    </w:p>
    <w:sectPr w:rsidR="00BA2EBF" w:rsidSect="00BA2EBF">
      <w:headerReference w:type="default" r:id="rId11"/>
      <w:footerReference w:type="default" r:id="rId12"/>
      <w:pgSz w:w="16840" w:h="11907" w:orient="landscape"/>
      <w:pgMar w:top="1559" w:right="1247" w:bottom="1400" w:left="1089"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CAD" w:rsidRDefault="00305CAD" w:rsidP="00BA2EBF">
      <w:r>
        <w:separator/>
      </w:r>
    </w:p>
  </w:endnote>
  <w:endnote w:type="continuationSeparator" w:id="1">
    <w:p w:rsidR="00305CAD" w:rsidRDefault="00305CAD" w:rsidP="00BA2E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76533A">
    <w:pPr>
      <w:pStyle w:val="a4"/>
      <w:framePr w:wrap="around" w:vAnchor="text" w:hAnchor="margin" w:xAlign="center" w:y="1"/>
      <w:rPr>
        <w:rStyle w:val="a7"/>
      </w:rPr>
    </w:pPr>
    <w:r>
      <w:fldChar w:fldCharType="begin"/>
    </w:r>
    <w:r w:rsidR="00D7170A">
      <w:rPr>
        <w:rStyle w:val="a7"/>
      </w:rPr>
      <w:instrText xml:space="preserve">PAGE  </w:instrText>
    </w:r>
    <w:r>
      <w:fldChar w:fldCharType="end"/>
    </w:r>
  </w:p>
  <w:p w:rsidR="00BA2EBF" w:rsidRDefault="00BA2EB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76533A">
    <w:pPr>
      <w:pStyle w:val="a4"/>
      <w:framePr w:wrap="around" w:vAnchor="text" w:hAnchor="margin" w:xAlign="center" w:y="1"/>
      <w:rPr>
        <w:rStyle w:val="a7"/>
      </w:rPr>
    </w:pPr>
    <w:r>
      <w:fldChar w:fldCharType="begin"/>
    </w:r>
    <w:r w:rsidR="00D7170A">
      <w:rPr>
        <w:rStyle w:val="a7"/>
      </w:rPr>
      <w:instrText xml:space="preserve">PAGE  </w:instrText>
    </w:r>
    <w:r>
      <w:fldChar w:fldCharType="separate"/>
    </w:r>
    <w:r w:rsidR="00C801DB">
      <w:rPr>
        <w:rStyle w:val="a7"/>
        <w:noProof/>
      </w:rPr>
      <w:t>1</w:t>
    </w:r>
    <w:r>
      <w:fldChar w:fldCharType="end"/>
    </w:r>
  </w:p>
  <w:p w:rsidR="00BA2EBF" w:rsidRDefault="00BA2EB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76533A">
    <w:pPr>
      <w:pStyle w:val="a4"/>
      <w:framePr w:wrap="around" w:vAnchor="text" w:hAnchor="margin" w:xAlign="center" w:y="1"/>
      <w:rPr>
        <w:rStyle w:val="a7"/>
      </w:rPr>
    </w:pPr>
    <w:r>
      <w:fldChar w:fldCharType="begin"/>
    </w:r>
    <w:r w:rsidR="00D7170A">
      <w:rPr>
        <w:rStyle w:val="a7"/>
      </w:rPr>
      <w:instrText xml:space="preserve">PAGE  </w:instrText>
    </w:r>
    <w:r>
      <w:fldChar w:fldCharType="separate"/>
    </w:r>
    <w:r w:rsidR="00C801DB">
      <w:rPr>
        <w:rStyle w:val="a7"/>
        <w:noProof/>
      </w:rPr>
      <w:t>9</w:t>
    </w:r>
    <w:r>
      <w:fldChar w:fldCharType="end"/>
    </w:r>
  </w:p>
  <w:p w:rsidR="00BA2EBF" w:rsidRDefault="00BA2EB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CAD" w:rsidRDefault="00305CAD" w:rsidP="00BA2EBF">
      <w:r>
        <w:separator/>
      </w:r>
    </w:p>
  </w:footnote>
  <w:footnote w:type="continuationSeparator" w:id="1">
    <w:p w:rsidR="00305CAD" w:rsidRDefault="00305CAD" w:rsidP="00BA2E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BA2EBF">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BA2EBF">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BF" w:rsidRDefault="00BA2EBF">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BB9F1"/>
    <w:multiLevelType w:val="singleLevel"/>
    <w:tmpl w:val="5D7BB9F1"/>
    <w:lvl w:ilvl="0">
      <w:start w:val="7"/>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8401C"/>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05CAD"/>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533A"/>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2EBF"/>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01DB"/>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170A"/>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2E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BA2EBF"/>
    <w:rPr>
      <w:sz w:val="18"/>
      <w:szCs w:val="18"/>
    </w:rPr>
  </w:style>
  <w:style w:type="paragraph" w:styleId="a4">
    <w:name w:val="footer"/>
    <w:basedOn w:val="a"/>
    <w:link w:val="Char"/>
    <w:qFormat/>
    <w:rsid w:val="00BA2EBF"/>
    <w:pPr>
      <w:tabs>
        <w:tab w:val="center" w:pos="4153"/>
        <w:tab w:val="right" w:pos="8306"/>
      </w:tabs>
      <w:snapToGrid w:val="0"/>
      <w:jc w:val="left"/>
    </w:pPr>
    <w:rPr>
      <w:sz w:val="18"/>
      <w:szCs w:val="18"/>
    </w:rPr>
  </w:style>
  <w:style w:type="paragraph" w:styleId="a5">
    <w:name w:val="header"/>
    <w:basedOn w:val="a"/>
    <w:link w:val="Char0"/>
    <w:qFormat/>
    <w:rsid w:val="00BA2EBF"/>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BA2EB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BA2EBF"/>
  </w:style>
  <w:style w:type="character" w:styleId="a8">
    <w:name w:val="Hyperlink"/>
    <w:qFormat/>
    <w:rsid w:val="00BA2EBF"/>
    <w:rPr>
      <w:color w:val="0000FF"/>
      <w:u w:val="single"/>
    </w:rPr>
  </w:style>
  <w:style w:type="character" w:customStyle="1" w:styleId="1">
    <w:name w:val="已访问的超链接1"/>
    <w:qFormat/>
    <w:rsid w:val="00BA2EBF"/>
    <w:rPr>
      <w:color w:val="800080"/>
      <w:u w:val="single"/>
    </w:rPr>
  </w:style>
  <w:style w:type="character" w:customStyle="1" w:styleId="Char0">
    <w:name w:val="页眉 Char"/>
    <w:link w:val="a5"/>
    <w:qFormat/>
    <w:rsid w:val="00BA2EBF"/>
    <w:rPr>
      <w:kern w:val="2"/>
      <w:sz w:val="18"/>
      <w:szCs w:val="18"/>
    </w:rPr>
  </w:style>
  <w:style w:type="character" w:customStyle="1" w:styleId="Char">
    <w:name w:val="页脚 Char"/>
    <w:link w:val="a4"/>
    <w:qFormat/>
    <w:rsid w:val="00BA2EBF"/>
    <w:rPr>
      <w:kern w:val="2"/>
      <w:sz w:val="18"/>
      <w:szCs w:val="18"/>
    </w:rPr>
  </w:style>
  <w:style w:type="paragraph" w:customStyle="1" w:styleId="21">
    <w:name w:val="目录 21"/>
    <w:basedOn w:val="a"/>
    <w:next w:val="a"/>
    <w:uiPriority w:val="39"/>
    <w:qFormat/>
    <w:rsid w:val="00BA2EBF"/>
    <w:pPr>
      <w:tabs>
        <w:tab w:val="right" w:leader="dot" w:pos="8494"/>
      </w:tabs>
      <w:spacing w:line="560" w:lineRule="exact"/>
      <w:ind w:left="210"/>
      <w:jc w:val="left"/>
    </w:pPr>
    <w:rPr>
      <w:rFonts w:ascii="仿宋_GB2312" w:eastAsia="仿宋_GB2312" w:hAnsi="Calibri" w:cs="Calibri"/>
      <w:smallCaps/>
      <w:sz w:val="28"/>
      <w:szCs w:val="28"/>
    </w:rPr>
  </w:style>
  <w:style w:type="paragraph" w:customStyle="1" w:styleId="11">
    <w:name w:val="目录 11"/>
    <w:basedOn w:val="a"/>
    <w:next w:val="a"/>
    <w:uiPriority w:val="39"/>
    <w:qFormat/>
    <w:rsid w:val="00BA2EBF"/>
    <w:pPr>
      <w:tabs>
        <w:tab w:val="left" w:pos="840"/>
        <w:tab w:val="right" w:leader="dot" w:pos="8296"/>
      </w:tabs>
      <w:spacing w:line="560" w:lineRule="exact"/>
      <w:jc w:val="left"/>
    </w:pPr>
    <w:rPr>
      <w:rFonts w:ascii="仿宋_GB2312" w:eastAsia="仿宋_GB2312" w:hAnsi="新宋体" w:cs="Calibri"/>
      <w:b/>
      <w:bCs/>
      <w:caps/>
      <w:sz w:val="28"/>
      <w:szCs w:val="28"/>
    </w:rPr>
  </w:style>
  <w:style w:type="paragraph" w:customStyle="1" w:styleId="CharCharCharCharCharCharChar">
    <w:name w:val="Char Char Char Char Char Char Char"/>
    <w:basedOn w:val="a"/>
    <w:qFormat/>
    <w:rsid w:val="00BA2EBF"/>
    <w:rPr>
      <w:szCs w:val="21"/>
    </w:rPr>
  </w:style>
  <w:style w:type="paragraph" w:customStyle="1" w:styleId="10">
    <w:name w:val="列出段落1"/>
    <w:basedOn w:val="a"/>
    <w:uiPriority w:val="34"/>
    <w:qFormat/>
    <w:rsid w:val="00BA2EBF"/>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577</Words>
  <Characters>3294</Characters>
  <Application>Microsoft Office Word</Application>
  <DocSecurity>0</DocSecurity>
  <Lines>27</Lines>
  <Paragraphs>7</Paragraphs>
  <ScaleCrop>false</ScaleCrop>
  <Company>czj</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关于进行本市部门整体支出</dc:title>
  <dc:creator>傅海英</dc:creator>
  <cp:lastModifiedBy>PC</cp:lastModifiedBy>
  <cp:revision>3</cp:revision>
  <cp:lastPrinted>2019-06-21T02:10:00Z</cp:lastPrinted>
  <dcterms:created xsi:type="dcterms:W3CDTF">2023-09-07T06:40:00Z</dcterms:created>
  <dcterms:modified xsi:type="dcterms:W3CDTF">2023-09-07T08:22:00Z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