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30"/>
        </w:rPr>
      </w:pPr>
    </w:p>
    <w:p>
      <w:pPr>
        <w:spacing w:line="360" w:lineRule="auto"/>
        <w:jc w:val="center"/>
        <w:rPr>
          <w:rFonts w:ascii="黑体" w:hAnsi="黑体" w:eastAsia="黑体"/>
          <w:sz w:val="32"/>
          <w:szCs w:val="32"/>
        </w:rPr>
      </w:pPr>
      <w:r>
        <w:rPr>
          <w:rFonts w:hint="eastAsia" w:ascii="黑体" w:hAnsi="黑体" w:eastAsia="黑体"/>
          <w:sz w:val="32"/>
          <w:szCs w:val="32"/>
        </w:rPr>
        <w:t>苏州市市级预算部门（单位）整体支出预算绩效自评报告</w:t>
      </w:r>
    </w:p>
    <w:p>
      <w:pPr>
        <w:spacing w:line="360" w:lineRule="auto"/>
        <w:jc w:val="center"/>
        <w:rPr>
          <w:rFonts w:ascii="黑体" w:eastAsia="黑体"/>
          <w:sz w:val="32"/>
          <w:szCs w:val="32"/>
        </w:rPr>
      </w:pPr>
      <w:r>
        <w:rPr>
          <w:rFonts w:hint="eastAsia" w:ascii="黑体" w:eastAsia="黑体"/>
          <w:sz w:val="32"/>
          <w:szCs w:val="32"/>
        </w:rPr>
        <w:t>（2022年度）</w:t>
      </w:r>
    </w:p>
    <w:p>
      <w:pPr>
        <w:spacing w:line="360" w:lineRule="auto"/>
        <w:jc w:val="center"/>
        <w:rPr>
          <w:rFonts w:eastAsia="仿宋_GB2312"/>
          <w:sz w:val="30"/>
        </w:rPr>
      </w:pPr>
    </w:p>
    <w:p>
      <w:pPr>
        <w:spacing w:line="360" w:lineRule="auto"/>
        <w:ind w:firstLine="600" w:firstLineChars="200"/>
        <w:rPr>
          <w:rFonts w:hint="default" w:ascii="黑体" w:hAnsi="黑体" w:eastAsia="黑体"/>
          <w:sz w:val="30"/>
          <w:lang w:val="en-US" w:eastAsia="zh-CN"/>
        </w:rPr>
      </w:pPr>
      <w:r>
        <w:rPr>
          <w:rFonts w:hint="eastAsia" w:ascii="黑体" w:hAnsi="黑体" w:eastAsia="黑体"/>
          <w:sz w:val="30"/>
          <w:lang w:val="en-US" w:eastAsia="zh-CN"/>
        </w:rPr>
        <w:t>一、预算部门名称：</w:t>
      </w:r>
      <w:r>
        <w:rPr>
          <w:rFonts w:hint="eastAsia" w:ascii="宋体" w:hAnsi="宋体" w:eastAsia="宋体" w:cs="宋体"/>
          <w:sz w:val="24"/>
          <w:szCs w:val="24"/>
          <w:lang w:val="en-US" w:eastAsia="zh-CN"/>
        </w:rPr>
        <w:t>中国共产党苏州市委员会台湾工作办公室</w:t>
      </w:r>
    </w:p>
    <w:p>
      <w:pPr>
        <w:spacing w:line="360" w:lineRule="auto"/>
        <w:ind w:firstLine="600" w:firstLineChars="200"/>
        <w:rPr>
          <w:rFonts w:hint="eastAsia" w:ascii="黑体" w:hAnsi="黑体" w:eastAsia="黑体"/>
          <w:sz w:val="30"/>
          <w:lang w:val="en-US" w:eastAsia="zh-CN"/>
        </w:rPr>
      </w:pPr>
      <w:r>
        <w:rPr>
          <w:rFonts w:hint="eastAsia" w:ascii="黑体" w:hAnsi="黑体" w:eastAsia="黑体"/>
          <w:sz w:val="30"/>
          <w:lang w:val="en-US" w:eastAsia="zh-CN"/>
        </w:rPr>
        <w:t>二、</w:t>
      </w:r>
      <w:r>
        <w:rPr>
          <w:rFonts w:hint="default" w:ascii="黑体" w:hAnsi="黑体" w:eastAsia="黑体"/>
          <w:sz w:val="30"/>
          <w:lang w:val="en-US" w:eastAsia="zh-CN"/>
        </w:rPr>
        <w:t>年度履职目标完成情况</w:t>
      </w:r>
      <w:r>
        <w:rPr>
          <w:rFonts w:hint="eastAsia" w:ascii="黑体" w:hAnsi="黑体" w:eastAsia="黑体"/>
          <w:sz w:val="30"/>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 xml:space="preserve"> 一、坚持以政治建设为统领，全面贯彻新时代党解决台湾问题的总体方略 1．强化政治统领作用。坚持以党的政治建设统领对台工作各方面建设，深入学习贯彻党的二十大精神，专题组织学习《习近平总书记对台工作讲话汇编》，常态开展学习贯彻习近平总书记重要讲话指示精神、对台工作重要论述和中央、省委、市委决策部署，加强涉台政策学习研究，吃透精神实质、把握核心要义，把准中央对台工作大政方针，坚决捍卫“两个确立”，增强“四个意识”，坚定“四个自信”，不断增强做到“两个维护”的政治自觉、思想自觉、行动自觉，不断增强政治判断力、政治领悟力、政治执行力，保持战略定力，坚定不移、有力有序地推进苏台融合发展。2．构建对台工作格局。完善市委对台工作领导小组运行机制，强化巩固“党委统一领导、党政齐抓共管、部门分工协作、社会广泛参与”的对台工作格局。召开苏州市委对台工作领导小组会议、全市对台工作会议、市涉台事务协调小组会议，明确职责分工，有条不紊推进对台各项工作落实。持续加强对台协会、台属联谊会等涉台团体的组织管理，指导市台协完成换届，推动更好发挥组织功能作用，有力有效促进苏台全面融合。 3．提升调查研究实效。围绕台胞所忧、基层所盼、发展所需，采取联合调研、专题调研等形式，开展《稳台资，促融合》《台湾精英人才团队引进与台湾青年就业创业》《关于放大“昆山试验区”政策效应进一步深化苏台经贸融合发展的建议》等课题调研，提出更具针对性、实操性的建议意见，切实把发现问题、解决问题作为打开工作局面的突破口。对经过充分研究的调研成果，及时上升为工作部署、转化为具体举措，更好地指导工作、服务发展。 二、坚持以经贸交流为主线，推动台商台企融入新发展格局 1．苏台经贸合作稳中有进。苏州今年新设立台资企业412家，实际利用台资10.12亿美元。截至2022年12月，苏州累计批准台资企业超13000家，投资总额1290亿美元，注册资本892亿美元，实际到账台资357亿美元，占全市利用境外投资的20%，占全省利用台资的50%。全市地区生产总值中约13%由台资企业贡献，规上台企工业产值占全市规上工业产值的23%，台资企业进出口总额占全市进出口的38%，对台进出口占全省对台进出口的62%。全市台资企业解决就业人口占全市境外投资企业的25%，全省500强台企中苏州占70%。台资企业加速融入大陆资本市场，新增上市台企2家，全市累计在大陆上市挂牌台资企业23家，占江苏省的87%，其中在大陆A股上市14家。 2．台资企业转型升级加速。聚焦强链固链补链延链，鼓励台资企业参与本地产业链、供应链配套，提高产业链融合度，推动台资企业在融入“双循环”新发展格局中发展壮大。目前，苏州已累计引进台资电子信息项目3000多个，投资额超过300亿美元。从电子基础材料、覆铜基板、印刷电路板、电子元器件、显示器到计算机整机生产，构成了一条完整的产业链，成为全国乃至全球电子信息产业最为集中的制造基地之一。友达光电低温多晶硅显示面板增资项目正式启动，新增投入18亿美元，成为我市外资单体投资最大的产业项目；京隆科技集成电路高阶芯片先进测试项目总投资约40亿元，导入CMOS影像传感器、高端系统级AI芯片、射频/无线芯片、车规自动驾驶芯片、5G基站芯片等高阶产品先进测试产品线；群启科技高阶IC基板项目总投资4.9亿美元，主要生产制造最高端及市场最为紧缺的CPU/GPU等IC封装所需基板；昆山精发半导体项目新增投资总额1亿美元，主要从事晶圆测试、IC测试等业务，致力于实现国产高性能专用集成电路半导体封装测试的自主可控。 3．试验区先行先试步伐加快。省政府办公厅印发《昆山市建设金融支持深化两岸产业合作改革创新试验区实施方案》，含6项工作任务及23条具体措施，在两岸金融合作、外汇管理改革、跨境人民币业务、直接融资、绿色金融等领域持续发力，落地10余项全国或全省“首单”业务，实现相关政策试点扩容提质。昆山金改区首次省级</w:t>
      </w:r>
      <w:bookmarkStart w:id="0" w:name="_GoBack"/>
      <w:bookmarkEnd w:id="0"/>
      <w:r>
        <w:rPr>
          <w:rFonts w:hint="eastAsia" w:ascii="宋体" w:hAnsi="宋体" w:cs="宋体"/>
          <w:sz w:val="24"/>
          <w:szCs w:val="24"/>
          <w:lang w:val="en-US" w:eastAsia="zh-CN"/>
        </w:rPr>
        <w:t>联席会议</w:t>
      </w:r>
      <w:r>
        <w:rPr>
          <w:rFonts w:hint="eastAsia" w:ascii="宋体" w:hAnsi="宋体" w:eastAsia="宋体" w:cs="宋体"/>
          <w:sz w:val="24"/>
          <w:szCs w:val="24"/>
          <w:lang w:val="en-US" w:eastAsia="zh-CN"/>
        </w:rPr>
        <w:t>召开，5项资本项目外汇业务创新试点全面落地。梳理优化前九次部省际联席会议赋予昆山的134项先行先试政策举措，结合实际积极推进在全市复制推广，推动苏台融合高质量发展。 三、坚持以交流合作为关键，积极推动苏台融合发展走深走实 1．青年交流活力持续释放。始终把对台青年交流工作摆在突出位置，厚植青年元素，不断提升广大台青活力系数、融入指数。以“同心同行 青春力量”为主题的第二届海峡两岸青年文化月活动首次升档为江苏省级活动，苏州为主会场，联动南京、泰州、徐州、盐城等城市开展30余场线上线下文化交流活动，两届海峡两岸青年文化月活动共计6000余名两岸青年参加。连续5年开展“台湾大学生苏州实习就业特训营”，为600多名台湾青年大学生提供实习岗位、免费食宿、交通生活补贴等。苏州共有9个对台交流基地，先后成立“台湾东吴大学大陆地区校友会”“台湾同胞投资企业协会青年联合会（台青会）”“两岸婚姻家族协会”“台属联谊会”等平台载体，苏州现有两岸婚姻家庭4000多对，在联系两岸、推进交流上发挥积极作用。在苏州的台湾青年把苏州当成第二故乡、热心公益事业，自发成立“苏州台青公益行动（志愿者）联盟”。 2．文化情感认同持续增进。发挥江南文化底蕴深厚、文化资源丰富优势，加强两岸文化融合，构建新时代“两岸共同精神家园”。以文化为纽带，丰富两岸交流形式，通过以灯会、文创、非遗文化等为主题的各类文化交流活动，激发台湾同胞对中华文化可触可感的热爱。组织“非遗”文化进苏州台校、两岸媒体人看江苏等活动。组织“同根同源同梦想”第二届苏州大学与台湾东吴大学文化沙龙，两校校友、同学济济一堂，共话友谊、共享经验、共谋发展。昆山市高标准建设慧聚广场“宝岛又一村”文旅商业街，打造长三角地区最具影响力的台湾特色街区。常熟市启动第五届黄公望主题两岸文创设计大赛暨吴历画作两岸木雕巡展，两岸同胞携手弘扬中华文化。张家港市举办两岸青年非遗风筝制作放飞活动，引导台湾青年传播两岸融合发展理念、躬身两岸融合发展实践。 3．对台宣传交流提质增效。加强“苏台一家亲”微信公众号、官网等网络阵地建设，强化与新华社、中新社等央媒，新华日报、苏州日报等省、市媒体合作，高强度、多维度宣传苏州对台工作，壮大融媒矩阵传播声势。人民日报、新华日报、苏州日报等中央、省、市等媒体宣传报道涉台工作60余篇，“苏台一家亲”微信公众号发布稿件690篇。苏州与台资企业总部视频连线、第二届海峡两岸青年文化月、台商中秋座谈会暨首期“东吴台企沙龙”等活动获中央、省、市等各级媒体的宣传报道。加大入岛宣传力度，配合岛内媒体开展人文苏州专题宣传，获台湾《联合报》《经济日报》整版刊登报道。挖掘“两岸孩子”陈霞、百岁老人述说跨越百年两岸故事等台商台胞台青典型事例，讲述苏台两地融合“小故事”，促进“两岸一家亲”同胞心灵契合。两岸婚姻代表钱永昌与苏州妻子跨越海峡、扎根祖国大陆的故事被人民日报、新华社、香港商报、中国台湾网等数十家媒体关注报道。四、坚持以创新机制为突破，持续巩固对台最优营商环境优势1．营商服务更加优质高效。始终坚持营造更有利于台湾同胞创新创业的市场环境，立足资源禀赋、凸显苏州特色，塑造独具魅力开放包容的人文环境，以最佳比较优势、最优营商环境，努力建设成为台湾同胞投资兴业、安居生活首选地。疫情期间，组织苏州市与台资企业总部视频连线，共叙友情、共话发展。举办“东吴台企沙龙”、“保供应链 加速复工达产”台商座谈会、台青座谈会等活动，用心倾听在台商台企的诉求心声，引导广大台商台胞将坚定发展信心，与苏州同向而行、并肩打拼、融合发展。实施重点台企走访联系机制，走访100余家重点台企，倾听企业心声，推动惠企纾困政策落地，将政策红利切实转化为企业发展动力。提升落实同等待遇质效，推进台胞在苏生活同城便利化，上线运行“苏台通”智慧服务平台，为台企台胞台属提供惠台政策集成、生活服务、办事指南等功能，实现“一网通用”“一网通办”“一网统管”，为台资台企扎根发展、转型发展、永续发展创造优越环境。加强《江苏省对台经济文化交流合作促进条例》宣传阐释和贯彻落实，推动《条例》惠及广大台胞台企。目前，有15万台胞在苏州安居乐业，近1万名台湾青年和6000多名台湾青年学生在苏州学习、工作、生活。2．诉求帮扶更加精准有力。加大困难台胞帮扶力度，建立困难台胞弱势群体数据库。成立有36家单位组成的台湾同胞投资权益保障协调委员会暨苏州市涉台事务协调小组，形成困难台胞帮扶合力。积极开展《民法典》《台湾同胞投资保护法》等普法教育，增强广大台胞知法、守法、依法维护自身权益的意识。发挥市协调小组会议协调联动作用，依法、依规解决涉台诉求信访案件109起，涵盖在苏台胞出行、子女教育、社保缴纳、就医等方面，保障在苏台胞台企合法权益。在疫情严重期间，开通4期返台送机便利通道，帮助200余名台胞赴上海乘机返台。针对疫情造成133名台生无法赴上海参加联考的情况，跨越三省七市千里送考。3．携手战“疫”更加众志成城。做好疫情防控条件下的服务指导工作，通过梳理各级帮助企业纾困解难政策、召开台企座谈会、实地走访调研等形式，推动解决交通物流、闭环管理、员工隔离、来苏便利、生活保障等问题，帮助台企稳增长、稳出口、促转型、促发展。强化全市两级台办、各级台协会24小时值班制度，成立“抗疫期间助力台企台胞纾困解难工作专班”，第一时间反馈台企、台商的诉求，推动惠企政策落实，帮助台企稳增长、稳出口。编报《涉台疫情防控信息简报》64期，为涉台疫情防控决策提供参考。</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三、</w:t>
      </w:r>
      <w:r>
        <w:rPr>
          <w:rFonts w:hint="eastAsia" w:ascii="黑体" w:hAnsi="黑体" w:eastAsia="黑体"/>
          <w:sz w:val="30"/>
        </w:rPr>
        <w:t>部门（单位）概况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机构设置有秘书处、宣传调研处、经济处、联络交流处、台商服务处、机关党总支。机关行政编制15名，设主任1名，副主任3名。科技领导职数7名，其中正科职5名，副科职2名（含机关党总支专职副书记1名）。 苏州台湾同胞接待站为下属事业单位，机构规格相当于正科级。参公编制5名，领导职数为站长1名，副站长1名。根据三定方案，单位主要职能如下：1、贯彻执行党中央、国务院确定的对台工作方针政策，按照省委、省政府和市政府的对台工作部署，制点并组织实施全市对台工作计划、规划、规定和实施办法。2、组织、指导、管理、协调全市各部门各单位和各县级市、区的对台工作。检查了解各县级市、区和市各有关部门贯彻执行党中央、国务院对台方针政策情况。协调处理全市涉台重大事件。3、研究两岸关系发展和台湾岛内关系的变化，以及对苏州经济社会发展的影响，并适时提出工作意见建议。4、协调有关部门研究、草拟全市有关涉台的政策法规，统筹协调涉台法律事务。5、按照上级台办的部署，管理、协调苏州与台湾的通邮、通航、通商事务。6、会同有关部门统筹协调和指导对台经贸工作。7、负责对台宣传、涉台教育工作，负责有关重大涉台事件的新闻发布。8、会同有关部门统筹协调和指导苏州与台湾的文化、教育、学术、体育、科技、卫生等各个领域的交流合作，以及两岸人员往来、考察、研讨等工作。9、指导、协调在苏州定居台胞的管理工作，以及与台湾人员交往中的有关民事工作。10、联络台湾上层人士，指导、管理并协调全市各县级市、区和市各有关部门的对台上层联络工作。11、指导市各民主党派、工商联和群众团体有关重点人士、重大活动等方面的涉台工作。管理、指导全市台资企业协会等有关涉台社团的工作。12、承担全市赴台申报管理、赴台团组行前指导工作。13、协调、指导海外台胞来苏交流的管理工作。14、完成市委、市政府交办的其他任务。</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四、</w:t>
      </w:r>
      <w:r>
        <w:rPr>
          <w:rFonts w:hint="eastAsia" w:ascii="黑体" w:hAnsi="黑体" w:eastAsia="黑体"/>
          <w:sz w:val="30"/>
        </w:rPr>
        <w:t>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整体支出绩效实现情况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收入支出决算总表，单位2022年度基本支出年初预算数1097.09万元，其中，人员经费993.51万元，公用经费103.58万元；全年预算数1429.47万元，其中人员经费1333.45万元，公用经费96.02万元；年末决算数1325.84万元，其中人员经费1239.63万元，公用经费86.21万元。项目支出年初预算数808.85万元，全年预算数967.40万元，年末决算数685.54万元。年末结转和结余11.16万元，主要为利息收入和人员社保费。项目资金无结余。单位整体支出绩效实现情况如下：一、持续深化苏台经贸合作以“智改数转”强存量、以招商增资扩增量，深入开展台企走访联系服务活动，推动在苏台企融入内循环，原计划当年度举办2022年第21届中国（苏州）电子信息博览会，由于疫情原因推迟举办。项目预算350万元，实际支出107.29万元。由于推迟举办，向第三方支付预付107.29万元。二、有效开展苏台交流交往1、在疫情防控常态化形势下，继续创新交流交往方式，保持苏台日常交流活动不间断。2022年度举办春节、中秋联谊会、大学生实习活动、台商台企活动等4次活动。项目预算38万元，实际支出38万元。2、2022年8月19日至9月末举办“2022年海峡两岸（苏州）青年文化月”活动，超过200名两岸青年受邀参加了开幕仪式，本次活动有50多家媒体持续予以关注报道，累计被宣传次数超过80次。项目预算50万元，实际支出50万元。三、务实提高台商服务水平1、围绕持续打造最优涉台营商环境目标，依托市涉台事务协调小组机制职能发挥，解决一批重点、难点问题，常态化、制度化开展 “台协大讲堂”， 发挥好 台商权益保护法律顾问团、涉台仲裁中心等作用。2022年度全年计划举办4场培训讲座，由于疫情影响仅举办2场讲座。项目预算2.4万元，实际支出0.78万元。2、本年计划深入推进“苏台通”智慧服务平台建设。以苏台工商协进会规范化建设为契机，推动民企台企融合发展，但由于单位办公场地搬迁，导致智慧服务平台建设项目暂停。项目原预算110万元，后调整为零。四、持续扩大对台宣传影响力1、持续做好对台调研工作，本年累计走访台企100多家，推动惠企纾困政策落地，将政策红利切实转化为企业发展动力。调研预算7.25万元，实际支出7.21万元。2、加强与《中国台湾网》合作，把苏台交流合作的好声音、好画面、好故事传播至境外、传播到岛内。项目预算15万元，实际支出15万元。3、做好与苏州本地媒体合作，加强与央媒体、省媒体联系，调动自媒体和新媒体积极性，做好宣传工作。本年度持续运营维护微信公众号，目前，微信公众号关注人数超过2000人，影响力持续提升。项目预算25万元，实际支出25万元。五、持续增强机关建设水平围绕建打造“五型”（政治型、学习型、业务型、服务型、融合型）机关要求， 持续完善各类制度规定开展涉台培训，组织党建活动，不断提高机关工作人员能力水平。由于疫情影响，本年度举办一次培训活动，活动预算10万元，实际支出10万元。培训人数超过40人，出勤率100%。</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五、</w:t>
      </w:r>
      <w:r>
        <w:rPr>
          <w:rFonts w:hint="eastAsia" w:ascii="黑体" w:hAnsi="黑体" w:eastAsia="黑体"/>
          <w:sz w:val="30"/>
        </w:rPr>
        <w:t>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整体支出绩效中存</w:t>
      </w:r>
      <w:r>
        <w:rPr>
          <w:rFonts w:ascii="黑体" w:hAnsi="黑体" w:eastAsia="黑体"/>
          <w:sz w:val="30"/>
        </w:rPr>
        <w:t>在问题</w:t>
      </w:r>
      <w:r>
        <w:rPr>
          <w:rFonts w:hint="eastAsia" w:ascii="黑体" w:hAnsi="黑体" w:eastAsia="黑体"/>
          <w:sz w:val="30"/>
        </w:rPr>
        <w:t>及</w:t>
      </w:r>
      <w:r>
        <w:rPr>
          <w:rFonts w:ascii="黑体" w:hAnsi="黑体" w:eastAsia="黑体"/>
          <w:sz w:val="30"/>
        </w:rPr>
        <w:t>改进措施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绩效目标设定与年末完成值相比，存在一定偏差。今后考虑将难以预测的一些绩效目标的目标值从绝对数值调整为百分比计量。比如，本年履职指标中的“组织对台工作调研次数”，绩效目标值为大于等于6家，今后可以考虑将该指标修改为“计划对台工作调研完成率”二、本年决算支出与年初预算数略有偏差。今后考虑加强预算管理，提前做好项目的事前摸底调研工作，使预算执行更加科学。三、由于部门规模较小，目前部门绩效还停留在绩效后评价阶段。今后可以考虑针对部分项目进行实施前评估工作。四、由于今天的疫情影响导致部门项目未顺利实施，今后针对绩效目标的设定应当适当考虑突发状况的影响。</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六、</w:t>
      </w:r>
      <w:r>
        <w:rPr>
          <w:rFonts w:ascii="黑体" w:hAnsi="黑体" w:eastAsia="黑体"/>
          <w:sz w:val="30"/>
        </w:rPr>
        <w:t>绩效自评</w:t>
      </w:r>
      <w:r>
        <w:rPr>
          <w:rFonts w:hint="eastAsia" w:ascii="黑体" w:hAnsi="黑体" w:eastAsia="黑体"/>
          <w:sz w:val="30"/>
        </w:rPr>
        <w:t>结果</w:t>
      </w:r>
      <w:r>
        <w:rPr>
          <w:rFonts w:ascii="黑体" w:hAnsi="黑体" w:eastAsia="黑体"/>
          <w:sz w:val="30"/>
        </w:rPr>
        <w:t>拟应用和公开</w:t>
      </w:r>
      <w:r>
        <w:rPr>
          <w:rFonts w:hint="eastAsia" w:ascii="黑体" w:hAnsi="黑体" w:eastAsia="黑体"/>
          <w:sz w:val="30"/>
        </w:rPr>
        <w:t>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拟加强对微信公众号的第三方运维单位的考核，要求第三方运维单位对每年度微信公众号的推送内容条数、原创内容条数、阅读量、点击量、关注数进行汇总汇报。二、拟考虑增加部分支出项目的满意度调查，比如苏台交流交往的活动，苏台营商环境提升等，针对参与的台籍人员或台资企业，进行满意度调查。可以有针对性的加强苏台交流交往以及台商服务水平。</w:t>
      </w:r>
    </w:p>
    <w:p>
      <w:pPr>
        <w:numPr>
          <w:ilvl w:val="0"/>
          <w:numId w:val="0"/>
        </w:numPr>
        <w:spacing w:line="360" w:lineRule="auto"/>
        <w:rPr>
          <w:rFonts w:hint="default" w:ascii="黑体" w:hAnsi="黑体" w:eastAsia="黑体"/>
          <w:sz w:val="30"/>
          <w:lang w:val="en-US" w:eastAsia="zh-CN"/>
        </w:rPr>
        <w:sectPr>
          <w:headerReference r:id="rId3" w:type="default"/>
          <w:footerReference r:id="rId5" w:type="default"/>
          <w:headerReference r:id="rId4" w:type="even"/>
          <w:footerReference r:id="rId6" w:type="even"/>
          <w:pgSz w:w="11907" w:h="16840"/>
          <w:pgMar w:top="1247" w:right="1400" w:bottom="1089" w:left="1559" w:header="851" w:footer="992" w:gutter="0"/>
          <w:paperSrc w:first="15" w:other="15"/>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360" w:lineRule="auto"/>
        <w:ind w:left="600" w:leftChars="0" w:firstLine="0" w:firstLineChars="0"/>
        <w:rPr>
          <w:rFonts w:hint="eastAsia" w:ascii="黑体" w:hAnsi="黑体" w:eastAsia="黑体"/>
          <w:sz w:val="30"/>
          <w:lang w:val="en-US" w:eastAsia="zh-CN"/>
        </w:rPr>
      </w:pPr>
      <w:r>
        <w:rPr>
          <w:rFonts w:hint="eastAsia" w:ascii="黑体" w:hAnsi="黑体" w:eastAsia="黑体"/>
          <w:sz w:val="30"/>
          <w:lang w:val="en-US" w:eastAsia="zh-CN"/>
        </w:rPr>
        <w:t>预算信息</w:t>
      </w:r>
    </w:p>
    <w:p>
      <w:pPr>
        <w:numPr>
          <w:ilvl w:val="0"/>
          <w:numId w:val="0"/>
        </w:numPr>
        <w:spacing w:line="360" w:lineRule="auto"/>
        <w:ind w:left="600" w:leftChars="0"/>
        <w:rPr>
          <w:rFonts w:hint="eastAsia" w:ascii="黑体" w:hAnsi="黑体" w:eastAsia="黑体"/>
          <w:sz w:val="30"/>
          <w:lang w:val="en-US" w:eastAsia="zh-CN"/>
        </w:rPr>
      </w:pPr>
    </w:p>
    <w:tbl>
      <w:tblPr>
        <w:tblStyle w:val="5"/>
        <w:tblW w:w="14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2268"/>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079"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本年度预算资金（万元）</w:t>
            </w:r>
          </w:p>
        </w:tc>
        <w:tc>
          <w:tcPr>
            <w:tcW w:w="2268"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年初预算数（万元）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上年度结转及当年预算追加追减数(万元）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调整预算数（万元）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实际支出数（万元）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预算总金额</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1906.11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490.76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2396.87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2011.37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83.92%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基本支出</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1097.26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332.21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1429.47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1325.84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项目支出</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808.85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158.55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967.4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685.54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慰问共建经费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6</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5.99</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物业费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20</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14.43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信息网络购建（硬件）</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NaN%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职工体检费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8.32</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8.32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8.32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专设机构工作经费（对台经贸工作）</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因公出国（境）费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-26.45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13.55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12.47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专项调研工作经费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14.8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-7.55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7.25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7.21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专项接待费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专项培训费{对台工作}</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专项培训费{台服讲座}</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0.78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专项聘请费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6.5</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专项宣传广告费（媒体宣传）</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专项宣传广告费（微信公众号）</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25</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党团活动经费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4.7</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办公设备购置及更新</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7.53</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7.53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5.23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搬家和购置办公家具设备</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80</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74.63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网络信息化维护费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3</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节庆展会活动经费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350</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107.29</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海峡两岸（苏州）青年文化、体育交流活动</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50</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专设机构工作经费（台企工作专班）</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5</w:t>
            </w:r>
          </w:p>
        </w:tc>
        <w:tc>
          <w:tcPr>
            <w:tcW w:w="2268" w:type="dxa"/>
            <w:vAlign w:val="center"/>
          </w:tcPr>
          <w:p>
            <w:pPr>
              <w:widowControl/>
              <w:jc w:val="center"/>
              <w:rPr>
                <w:rFonts w:hint="eastAsia" w:ascii="宋体" w:hAnsi="宋体" w:eastAsia="宋体" w:cs="宋体"/>
                <w:sz w:val="24"/>
                <w:szCs w:val="24"/>
                <w:vertAlign w:val="baseline"/>
                <w:lang w:val="en-US" w:eastAsia="zh-CN"/>
              </w:rPr>
            </w:pP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48.60%</w:t>
            </w:r>
          </w:p>
        </w:tc>
      </w:tr>
    </w:tbl>
    <w:p>
      <w:pPr>
        <w:numPr>
          <w:ilvl w:val="0"/>
          <w:numId w:val="0"/>
        </w:numPr>
        <w:spacing w:line="360" w:lineRule="auto"/>
        <w:ind w:left="600" w:leftChars="0"/>
        <w:rPr>
          <w:rFonts w:hint="eastAsia" w:ascii="黑体" w:hAnsi="黑体" w:eastAsia="黑体"/>
          <w:sz w:val="30"/>
          <w:lang w:val="en-US" w:eastAsia="zh-CN"/>
        </w:rPr>
      </w:pPr>
    </w:p>
    <w:p>
      <w:pPr>
        <w:numPr>
          <w:ilvl w:val="0"/>
          <w:numId w:val="1"/>
        </w:numPr>
        <w:spacing w:line="360" w:lineRule="auto"/>
        <w:ind w:left="600" w:leftChars="0" w:firstLine="0" w:firstLineChars="0"/>
        <w:rPr>
          <w:rFonts w:hint="eastAsia" w:ascii="黑体" w:hAnsi="黑体" w:eastAsia="黑体"/>
          <w:sz w:val="30"/>
          <w:lang w:val="en-US" w:eastAsia="zh-CN"/>
        </w:rPr>
      </w:pPr>
      <w:r>
        <w:rPr>
          <w:rFonts w:hint="eastAsia" w:ascii="黑体" w:hAnsi="黑体" w:eastAsia="黑体"/>
          <w:sz w:val="30"/>
          <w:lang w:val="en-US" w:eastAsia="zh-CN"/>
        </w:rPr>
        <w:t>年度重点任务</w:t>
      </w:r>
    </w:p>
    <w:p>
      <w:pPr>
        <w:numPr>
          <w:ilvl w:val="0"/>
          <w:numId w:val="0"/>
        </w:numPr>
        <w:spacing w:line="360" w:lineRule="auto"/>
        <w:ind w:left="600" w:leftChars="0"/>
        <w:rPr>
          <w:rFonts w:hint="eastAsia" w:ascii="黑体" w:hAnsi="黑体" w:eastAsia="黑体"/>
          <w:sz w:val="30"/>
          <w:lang w:val="en-US" w:eastAsia="zh-CN"/>
        </w:rPr>
      </w:pPr>
    </w:p>
    <w:tbl>
      <w:tblPr>
        <w:tblStyle w:val="5"/>
        <w:tblW w:w="13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9"/>
        <w:gridCol w:w="3818"/>
        <w:gridCol w:w="3538"/>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419" w:type="dxa"/>
            <w:shd w:val="clear" w:color="000000" w:fill="BFBFBF"/>
            <w:vAlign w:val="center"/>
          </w:tcPr>
          <w:p>
            <w:pPr>
              <w:widowControl/>
              <w:jc w:val="center"/>
              <w:rPr>
                <w:rFonts w:hint="eastAsia" w:ascii="宋体" w:hAnsi="宋体" w:eastAsia="宋体" w:cs="宋体"/>
                <w:b/>
                <w:bCs/>
                <w:kern w:val="0"/>
                <w:sz w:val="24"/>
                <w:szCs w:val="24"/>
                <w:lang w:val="en-US" w:eastAsia="zh-CN"/>
              </w:rPr>
            </w:pPr>
          </w:p>
          <w:p>
            <w:pPr>
              <w:widowControl/>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对应部门主要职责</w:t>
            </w:r>
          </w:p>
          <w:p>
            <w:pPr>
              <w:widowControl/>
              <w:jc w:val="center"/>
              <w:rPr>
                <w:rFonts w:hint="eastAsia" w:ascii="宋体" w:hAnsi="宋体" w:eastAsia="宋体" w:cs="宋体"/>
                <w:b/>
                <w:bCs/>
                <w:kern w:val="0"/>
                <w:sz w:val="24"/>
                <w:szCs w:val="24"/>
                <w:lang w:val="en-US" w:eastAsia="zh-CN"/>
              </w:rPr>
            </w:pPr>
          </w:p>
        </w:tc>
        <w:tc>
          <w:tcPr>
            <w:tcW w:w="381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任务名称</w:t>
            </w:r>
          </w:p>
        </w:tc>
        <w:tc>
          <w:tcPr>
            <w:tcW w:w="353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主要内容</w:t>
            </w:r>
          </w:p>
        </w:tc>
        <w:tc>
          <w:tcPr>
            <w:tcW w:w="2742"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restart"/>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持续扩大对台宣传影响力</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加强与《中国台湾网》合作，把苏台交流合作的好声音、好画面、好故事传播至境外、传播到岛内。</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专项宣传广告费（媒体宣传）</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已与《中国台湾网》签署合同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continue"/>
            <w:vAlign w:val="center"/>
          </w:tcPr>
          <w:p>
            <w:pPr>
              <w:widowControl/>
              <w:jc w:val="center"/>
              <w:rPr>
                <w:rFonts w:hint="eastAsia" w:ascii="宋体" w:hAnsi="宋体" w:eastAsia="宋体" w:cs="宋体"/>
                <w:kern w:val="0"/>
                <w:sz w:val="24"/>
                <w:szCs w:val="24"/>
                <w:lang w:val="en-US" w:eastAsia="zh-CN"/>
              </w:rPr>
            </w:pP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持续做好对台调研工作</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专项调研工作经费</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本年走访台企数量超过6家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continue"/>
            <w:vAlign w:val="center"/>
          </w:tcPr>
          <w:p>
            <w:pPr>
              <w:widowControl/>
              <w:jc w:val="center"/>
              <w:rPr>
                <w:rFonts w:hint="eastAsia" w:ascii="宋体" w:hAnsi="宋体" w:eastAsia="宋体" w:cs="宋体"/>
                <w:kern w:val="0"/>
                <w:sz w:val="24"/>
                <w:szCs w:val="24"/>
                <w:lang w:val="en-US" w:eastAsia="zh-CN"/>
              </w:rPr>
            </w:pP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做好与苏州本地媒体合作，加强与央媒体、省媒体联系，调动自媒体和新媒体积极性，做好宣传工作。</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专项宣传广告费（微信公众号）</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苏台一家亲公众号继续运维，推送内容。关注人数在2000人以上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持续深化苏台经贸合作</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以“智改数转”强存量、以招商增资扩增量，深入开展台企走访联系服务活动，推动在苏台企融入内循环，举办2022年第21届中国（苏州）电子信息博览会</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节庆展会活动经费</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持续增强机关建设水平</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围绕建打造“五型”（政治型、学习型、业务型、服务型、融合型）机关要求， 持续完善各类制度规定开展涉台培训，组织党建活动，不断提高机关工作人员能力水平</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专项培训费{对台工作}</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本年进行培训1次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restart"/>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务实提高台商服务水平</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围绕持续打造最优涉台营商环境目标，依托市涉台事务协调小组机制职能发挥，解决一批重点、难点问题，常态化、制度化开展 “台协大讲堂”， 发挥好 台商权益保护法律顾问团、涉台仲裁中心等 作用</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专项培训费{台服讲座}</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本年举办2次台服讲座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continue"/>
            <w:vAlign w:val="center"/>
          </w:tcPr>
          <w:p>
            <w:pPr>
              <w:widowControl/>
              <w:jc w:val="center"/>
              <w:rPr>
                <w:rFonts w:hint="eastAsia" w:ascii="宋体" w:hAnsi="宋体" w:eastAsia="宋体" w:cs="宋体"/>
                <w:kern w:val="0"/>
                <w:sz w:val="24"/>
                <w:szCs w:val="24"/>
                <w:lang w:val="en-US" w:eastAsia="zh-CN"/>
              </w:rPr>
            </w:pP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深入推进“苏台通”智慧服务平台建设。以苏台工商协进会规范化建设为契机，推动民企台企融合发展。</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信息网络购建（硬件）</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restart"/>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有效开展苏台交流交往</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在疫情防控常态化形势下，继续创新交流交往方式，保持苏台日常交流活动不间断。</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专设机构工作经费（对台经贸工作）</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本年举办春节、中秋联谊会、大学生实习活动、台商台企活动等4次活动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19" w:type="dxa"/>
            <w:vMerge w:val="continue"/>
            <w:vAlign w:val="center"/>
          </w:tcPr>
          <w:p>
            <w:pPr>
              <w:widowControl/>
              <w:jc w:val="center"/>
              <w:rPr>
                <w:rFonts w:hint="eastAsia" w:ascii="宋体" w:hAnsi="宋体" w:eastAsia="宋体" w:cs="宋体"/>
                <w:kern w:val="0"/>
                <w:sz w:val="24"/>
                <w:szCs w:val="24"/>
                <w:lang w:val="en-US" w:eastAsia="zh-CN"/>
              </w:rPr>
            </w:pP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举办“2022年海峡两岸（苏州）青年文化月”活动</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海峡两岸（苏州）青年文化、体育交流活动</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第二届海峡两岸青年文化月于2022年8月19日至9月底在苏州举行</w:t>
            </w:r>
          </w:p>
        </w:tc>
      </w:tr>
    </w:tbl>
    <w:p>
      <w:pPr>
        <w:numPr>
          <w:ilvl w:val="0"/>
          <w:numId w:val="0"/>
        </w:numPr>
        <w:spacing w:line="360" w:lineRule="auto"/>
        <w:ind w:left="600" w:leftChars="0"/>
        <w:rPr>
          <w:rFonts w:hint="eastAsia" w:ascii="黑体" w:hAnsi="黑体" w:eastAsia="黑体"/>
          <w:sz w:val="30"/>
          <w:lang w:val="en-US" w:eastAsia="zh-CN"/>
        </w:rPr>
      </w:pPr>
    </w:p>
    <w:p>
      <w:pPr>
        <w:numPr>
          <w:ilvl w:val="0"/>
          <w:numId w:val="0"/>
        </w:numPr>
        <w:spacing w:line="360" w:lineRule="auto"/>
        <w:ind w:left="600" w:leftChars="0"/>
        <w:rPr>
          <w:rFonts w:hint="eastAsia" w:ascii="黑体" w:hAnsi="黑体" w:eastAsia="黑体"/>
          <w:sz w:val="30"/>
          <w:lang w:val="en-US" w:eastAsia="zh-CN"/>
        </w:rPr>
      </w:pPr>
    </w:p>
    <w:p>
      <w:pPr>
        <w:numPr>
          <w:ilvl w:val="0"/>
          <w:numId w:val="1"/>
        </w:numPr>
        <w:spacing w:line="360" w:lineRule="auto"/>
        <w:ind w:left="600" w:leftChars="0" w:firstLine="0" w:firstLineChars="0"/>
        <w:rPr>
          <w:rFonts w:hint="default" w:ascii="黑体" w:hAnsi="黑体" w:eastAsia="黑体"/>
          <w:sz w:val="30"/>
          <w:lang w:val="en-US" w:eastAsia="zh-CN"/>
        </w:rPr>
      </w:pPr>
      <w:r>
        <w:rPr>
          <w:rFonts w:hint="eastAsia" w:ascii="黑体" w:hAnsi="黑体" w:eastAsia="黑体"/>
          <w:sz w:val="30"/>
          <w:lang w:val="en-US" w:eastAsia="zh-CN"/>
        </w:rPr>
        <w:t>部门整体自评表</w:t>
      </w:r>
    </w:p>
    <w:tbl>
      <w:tblPr>
        <w:tblStyle w:val="5"/>
        <w:tblpPr w:leftFromText="180" w:rightFromText="180" w:vertAnchor="text" w:horzAnchor="page" w:tblpX="1656" w:tblpY="127"/>
        <w:tblOverlap w:val="never"/>
        <w:tblW w:w="14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051"/>
        <w:gridCol w:w="2061"/>
        <w:gridCol w:w="1987"/>
        <w:gridCol w:w="1799"/>
        <w:gridCol w:w="1866"/>
        <w:gridCol w:w="178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067" w:type="dxa"/>
            <w:shd w:val="clear" w:color="000000" w:fill="BFBFBF"/>
            <w:vAlign w:val="center"/>
          </w:tcPr>
          <w:p>
            <w:pPr>
              <w:widowControl/>
              <w:jc w:val="center"/>
              <w:rPr>
                <w:rFonts w:hint="eastAsia" w:ascii="宋体" w:hAnsi="宋体" w:eastAsia="宋体" w:cs="宋体"/>
                <w:b/>
                <w:bCs/>
                <w:kern w:val="0"/>
                <w:sz w:val="24"/>
                <w:szCs w:val="24"/>
              </w:rPr>
            </w:pPr>
          </w:p>
        </w:tc>
        <w:tc>
          <w:tcPr>
            <w:tcW w:w="2051"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类别</w:t>
            </w:r>
          </w:p>
        </w:tc>
        <w:tc>
          <w:tcPr>
            <w:tcW w:w="2061"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指标名称</w:t>
            </w:r>
          </w:p>
        </w:tc>
        <w:tc>
          <w:tcPr>
            <w:tcW w:w="1987"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指标目标值</w:t>
            </w:r>
          </w:p>
        </w:tc>
        <w:tc>
          <w:tcPr>
            <w:tcW w:w="1799"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指标完成值</w:t>
            </w:r>
          </w:p>
        </w:tc>
        <w:tc>
          <w:tcPr>
            <w:tcW w:w="1866"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完成值来源</w:t>
            </w:r>
          </w:p>
        </w:tc>
        <w:tc>
          <w:tcPr>
            <w:tcW w:w="1787" w:type="dxa"/>
            <w:shd w:val="clear" w:color="000000" w:fill="BFBFBF"/>
            <w:vAlign w:val="center"/>
          </w:tcPr>
          <w:p>
            <w:pPr>
              <w:widowControl/>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偏差情况</w:t>
            </w:r>
          </w:p>
        </w:tc>
        <w:tc>
          <w:tcPr>
            <w:tcW w:w="1071" w:type="dxa"/>
            <w:shd w:val="clear" w:color="000000" w:fill="BFBFBF"/>
          </w:tcPr>
          <w:p>
            <w:pPr>
              <w:widowControl/>
              <w:jc w:val="center"/>
              <w:rPr>
                <w:rFonts w:hint="default" w:ascii="黑体" w:hAnsi="黑体" w:eastAsia="黑体"/>
                <w:sz w:val="30"/>
                <w:vertAlign w:val="baseline"/>
                <w:lang w:val="en-US" w:eastAsia="zh-CN"/>
              </w:rPr>
            </w:pPr>
            <w:r>
              <w:rPr>
                <w:rFonts w:hint="eastAsia" w:ascii="宋体" w:hAnsi="宋体" w:eastAsia="宋体" w:cs="宋体"/>
                <w:b/>
                <w:bCs/>
                <w:sz w:val="24"/>
                <w:szCs w:val="24"/>
                <w:vertAlign w:val="baseline"/>
                <w:lang w:val="en-US" w:eastAsia="zh-CN"/>
              </w:rPr>
              <w:t>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分解目标</w:t>
            </w:r>
          </w:p>
        </w:tc>
        <w:tc>
          <w:tcPr>
            <w:tcW w:w="2051"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决策</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工作计划制定健全性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年度工作计划</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中长期规划制定健全性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单位中长期规划</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绩效目标合理性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合理</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合理</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三定方案</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绩效指标明确性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明确</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明确</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三定方案</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预算编制规范性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预算编制科学性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科学</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科学</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过程</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非税收入管理合规性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预决算信息公开度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公开</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公开</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基础信息完善性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资金使用合规性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绩效管理覆盖率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固定资产利用率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固定资产台账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项目管理制度执行规范性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人员管理制度执行有效性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在职人员控制率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三定方案</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本年未增加人员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业务学习与培训及时完成率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培训台账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组织建设工作及时完成率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党支部会议纪要</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纪检监察工作有效性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“三公经费”变动率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25%</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主要指标变动情况表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公务用车减少54%，公务接待减少53%，因公出国经费由零支出增加12.47万元，三公经费合计增加25%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非税收入预算完成率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非税收入预算零元，实际零元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政府采购执行率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机构运行信息表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项目支出仅有电博会项目达到政采要求，也通过政采进行采购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公用经费控制率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&lt;=100%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-90.00%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预算执行率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83.92%</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-16.08%</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支付进度符合率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预算调整率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25.75%</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结转结余率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16.08%</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收入支出决算总表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效益</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交流活动市级以上媒体报道次数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&gt;=10次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媒体报道统计表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提升公众知晓度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提升</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提升</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微信公众号关注人数</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推动苏台营商环境提升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提升</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提升</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满意度调查报告</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满意度</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受训学员满意度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调查问卷</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受理解决涉台案件满意度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调查问卷</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restart"/>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履职</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组织对台工作调研次数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&gt;=6次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6次</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调研台账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参展企业数量</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&gt;=230家</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0家</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电博会由于疫情延期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培训人员出勤率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&gt;=90%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培训签到记录</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11.11%</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计划通过报刊、网站推送信息条数或个数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&gt;=20条、个</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20条、个</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工作计划</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通过报刊、网站推送信息数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&gt;=20个、条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20个、条</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汇总表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设备验收结果</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合格</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未验收</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苏台通硬件购置项目取消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参展台资企业占比</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&gt;=35%</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电博会由于疫情延期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培训人数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&gt;=40人</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40人</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培训签到表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微信公众号关注量</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&gt;=2000人次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微信公众号</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展会展览展位数量</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&gt;=800个</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0个</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电博会由于疫情延期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举办对台工作活动次数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&gt;=4次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4次</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春节、中秋联谊会、大学生实习活动、台商台企活动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参加活动台籍人员比例</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&gt;=40%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签到表</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举办讲座次数</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&gt;=4次</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2次</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合同</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-50.00%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由于疫情影响减少举办次数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67"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51" w:type="dxa"/>
            <w:vMerge w:val="continue"/>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设备投入使用率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苏台通硬件购置项目取消</w:t>
            </w:r>
          </w:p>
        </w:tc>
      </w:tr>
    </w:tbl>
    <w:p>
      <w:pPr>
        <w:numPr>
          <w:ilvl w:val="0"/>
          <w:numId w:val="0"/>
        </w:numPr>
        <w:spacing w:line="360" w:lineRule="auto"/>
        <w:ind w:left="600" w:leftChars="0"/>
        <w:rPr>
          <w:rFonts w:hint="default" w:ascii="黑体" w:hAnsi="黑体" w:eastAsia="黑体"/>
          <w:sz w:val="30"/>
          <w:lang w:val="en-US" w:eastAsia="zh-CN"/>
        </w:rPr>
      </w:pPr>
    </w:p>
    <w:sectPr>
      <w:headerReference r:id="rId7" w:type="default"/>
      <w:footerReference r:id="rId8" w:type="default"/>
      <w:pgSz w:w="16840" w:h="11907" w:orient="landscape"/>
      <w:pgMar w:top="1559" w:right="1247" w:bottom="1400" w:left="1089" w:header="851" w:footer="992" w:gutter="0"/>
      <w:paperSrc w:first="15" w:other="15"/>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B9F1"/>
    <w:multiLevelType w:val="singleLevel"/>
    <w:tmpl w:val="5D7BB9F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5NjczNDMxY2FiMmMyMWNmMjc2MDVhYzQ5YmZmN2U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60B0055"/>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1A47D4F"/>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已访问的超链接1"/>
    <w:qFormat/>
    <w:uiPriority w:val="0"/>
    <w:rPr>
      <w:color w:val="800080"/>
      <w:u w:val="single"/>
    </w:rPr>
  </w:style>
  <w:style w:type="character" w:customStyle="1" w:styleId="11">
    <w:name w:val="页眉 Char"/>
    <w:link w:val="4"/>
    <w:qFormat/>
    <w:uiPriority w:val="0"/>
    <w:rPr>
      <w:kern w:val="2"/>
      <w:sz w:val="18"/>
      <w:szCs w:val="18"/>
    </w:rPr>
  </w:style>
  <w:style w:type="character" w:customStyle="1" w:styleId="12">
    <w:name w:val="页脚 Char"/>
    <w:link w:val="3"/>
    <w:qFormat/>
    <w:uiPriority w:val="0"/>
    <w:rPr>
      <w:kern w:val="2"/>
      <w:sz w:val="18"/>
      <w:szCs w:val="18"/>
    </w:rPr>
  </w:style>
  <w:style w:type="paragraph" w:customStyle="1" w:styleId="13">
    <w:name w:val="目录 21"/>
    <w:basedOn w:val="1"/>
    <w:next w:val="1"/>
    <w:qFormat/>
    <w:uiPriority w:val="39"/>
    <w:pPr>
      <w:tabs>
        <w:tab w:val="right" w:leader="dot" w:pos="8494"/>
      </w:tabs>
      <w:spacing w:line="560" w:lineRule="exact"/>
      <w:ind w:left="210"/>
      <w:jc w:val="left"/>
    </w:pPr>
    <w:rPr>
      <w:rFonts w:ascii="仿宋_GB2312" w:hAnsi="Calibri" w:eastAsia="仿宋_GB2312" w:cs="Calibri"/>
      <w:smallCaps/>
      <w:sz w:val="28"/>
      <w:szCs w:val="28"/>
    </w:rPr>
  </w:style>
  <w:style w:type="paragraph" w:customStyle="1" w:styleId="14">
    <w:name w:val="目录 11"/>
    <w:basedOn w:val="1"/>
    <w:next w:val="1"/>
    <w:qFormat/>
    <w:uiPriority w:val="39"/>
    <w:pPr>
      <w:tabs>
        <w:tab w:val="left" w:pos="840"/>
        <w:tab w:val="right" w:leader="dot" w:pos="8296"/>
      </w:tabs>
      <w:spacing w:line="560" w:lineRule="exact"/>
      <w:jc w:val="left"/>
    </w:pPr>
    <w:rPr>
      <w:rFonts w:ascii="仿宋_GB2312" w:hAnsi="新宋体" w:eastAsia="仿宋_GB2312" w:cs="Calibri"/>
      <w:b/>
      <w:bCs/>
      <w:caps/>
      <w:sz w:val="28"/>
      <w:szCs w:val="28"/>
    </w:rPr>
  </w:style>
  <w:style w:type="paragraph" w:customStyle="1" w:styleId="15">
    <w:name w:val="Char Char Char Char Char Char Char"/>
    <w:basedOn w:val="1"/>
    <w:qFormat/>
    <w:uiPriority w:val="0"/>
    <w:rPr>
      <w:szCs w:val="21"/>
    </w:rPr>
  </w:style>
  <w:style w:type="paragraph" w:customStyle="1" w:styleId="16">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czj</Company>
  <Pages>1</Pages>
  <Words>25</Words>
  <Characters>144</Characters>
  <Lines>1</Lines>
  <Paragraphs>1</Paragraphs>
  <TotalTime>6</TotalTime>
  <ScaleCrop>false</ScaleCrop>
  <LinksUpToDate>false</LinksUpToDate>
  <CharactersWithSpaces>168</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2020-12-31T06:58:00Z</dcterms:created>
  <dc:creator>傅海英</dc:creator>
  <cp:lastModifiedBy>易晨</cp:lastModifiedBy>
  <cp:lastPrinted>2019-06-21T02:10:00Z</cp:lastPrinted>
  <dcterms:modified xsi:type="dcterms:W3CDTF">2023-09-05T00:57:04Z</dcterms:modified>
  <dc:title>关于进行本市部门整体支出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0B10FB7C85DD48878D07F8FB65018D90</vt:lpwstr>
  </property>
</Properties>
</file>