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15" w:rsidRDefault="00925615">
      <w:pPr>
        <w:rPr>
          <w:rFonts w:eastAsia="仿宋_GB2312"/>
          <w:sz w:val="30"/>
        </w:rPr>
      </w:pPr>
    </w:p>
    <w:p w:rsidR="00925615" w:rsidRDefault="00D857F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苏州市市级预算部门（单位）整体支出预算绩效自评报告</w:t>
      </w:r>
    </w:p>
    <w:p w:rsidR="00925615" w:rsidRDefault="00D857F6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（2024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年度）</w:t>
      </w:r>
    </w:p>
    <w:p w:rsidR="00925615" w:rsidRDefault="00925615">
      <w:pPr>
        <w:spacing w:line="360" w:lineRule="auto"/>
        <w:jc w:val="center"/>
        <w:rPr>
          <w:rFonts w:eastAsia="仿宋_GB2312"/>
          <w:sz w:val="30"/>
        </w:rPr>
      </w:pPr>
    </w:p>
    <w:p w:rsidR="00925615" w:rsidRDefault="00D857F6">
      <w:pPr>
        <w:spacing w:line="360" w:lineRule="auto"/>
        <w:ind w:firstLineChars="200" w:firstLine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一、预算部门名称：</w:t>
      </w:r>
      <w:r>
        <w:rPr>
          <w:rFonts w:ascii="宋体" w:hAnsi="宋体" w:cs="宋体" w:hint="eastAsia"/>
          <w:sz w:val="24"/>
        </w:rPr>
        <w:t>苏州市住房公积金管理中心太仓分中心</w:t>
      </w:r>
    </w:p>
    <w:p w:rsidR="00925615" w:rsidRDefault="00D857F6">
      <w:pPr>
        <w:spacing w:line="360" w:lineRule="auto"/>
        <w:ind w:firstLineChars="200" w:firstLine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二、</w:t>
      </w:r>
      <w:r>
        <w:rPr>
          <w:rFonts w:ascii="黑体" w:eastAsia="黑体" w:hAnsi="黑体"/>
          <w:sz w:val="30"/>
        </w:rPr>
        <w:t>年度履职目标完成情况</w:t>
      </w:r>
      <w:r>
        <w:rPr>
          <w:rFonts w:ascii="黑体" w:eastAsia="黑体" w:hAnsi="黑体" w:hint="eastAsia"/>
          <w:sz w:val="30"/>
        </w:rPr>
        <w:t>：</w:t>
      </w:r>
    </w:p>
    <w:p w:rsidR="006E64FA" w:rsidRDefault="00D857F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归集业务：全年归集公积金47.62亿元，同比增长16.91%，完成年计划的109.22%。全年新增公积金缴存职工45029人，净增10141人；灵活就业人员新增汇缴1.13万人，完成年计划的185.92%；年末缴存人数25.77万人，其中灵活就业缴存人数1.52万人。</w:t>
      </w:r>
    </w:p>
    <w:p w:rsidR="006E64FA" w:rsidRDefault="00D857F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使用业务：全年提取公积金32.03亿元，同比增长14.56%，完成年计划的107.83%。全年发放公积金贷款5115笔41.16亿元，放贷金额同比增长79.66%，完成年计划的185.38%。年末贷款逾期率为0.0011‰，资金继续保持平稳高效安全运转。</w:t>
      </w:r>
    </w:p>
    <w:p w:rsidR="00925615" w:rsidRDefault="00D857F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3.公积金服务大厅获评太仓市政务服务系统2024年度“标准化服务窗口”二等奖。</w:t>
      </w:r>
    </w:p>
    <w:p w:rsidR="00925615" w:rsidRDefault="00D857F6">
      <w:p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三、部门（单位）概况</w:t>
      </w:r>
    </w:p>
    <w:p w:rsidR="00925615" w:rsidRDefault="00D857F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主要职能：（一）执行、完成住房公积金的归集和使用计划；（二）记载职工住房公积金的缴存、提取、贷款等情况；（三）审核住房公积金的提取和转移；（四）受理职工住房公积金贷款的申请，负责贷款审批和贷后管理；（五）负责住房公积金的催建和催缴；（六）办理住房公积金的对账和查询；（七）提供住房公积金政策咨询服务。机构设置及人员配置：1.机构设置：根据分工和职责，本部门内设机构包括主任室、综合科（财务科）、缴存科、使用科。2.人员配置：</w:t>
      </w:r>
      <w:proofErr w:type="gramStart"/>
      <w:r>
        <w:rPr>
          <w:rFonts w:ascii="宋体" w:hAnsi="宋体" w:cs="宋体" w:hint="eastAsia"/>
          <w:sz w:val="24"/>
        </w:rPr>
        <w:t>年末参公在职</w:t>
      </w:r>
      <w:proofErr w:type="gramEnd"/>
      <w:r>
        <w:rPr>
          <w:rFonts w:ascii="宋体" w:hAnsi="宋体" w:cs="宋体" w:hint="eastAsia"/>
          <w:sz w:val="24"/>
        </w:rPr>
        <w:t>人员7名，</w:t>
      </w:r>
      <w:proofErr w:type="gramStart"/>
      <w:r>
        <w:rPr>
          <w:rFonts w:ascii="宋体" w:hAnsi="宋体" w:cs="宋体" w:hint="eastAsia"/>
          <w:sz w:val="24"/>
        </w:rPr>
        <w:t>参公退休</w:t>
      </w:r>
      <w:proofErr w:type="gramEnd"/>
      <w:r>
        <w:rPr>
          <w:rFonts w:ascii="宋体" w:hAnsi="宋体" w:cs="宋体" w:hint="eastAsia"/>
          <w:sz w:val="24"/>
        </w:rPr>
        <w:t>人员3名，事业编人员1人，公益性岗位人员5名。</w:t>
      </w:r>
    </w:p>
    <w:p w:rsidR="00925615" w:rsidRDefault="00D857F6">
      <w:p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四、部门</w:t>
      </w:r>
      <w:r>
        <w:rPr>
          <w:rFonts w:ascii="黑体" w:eastAsia="黑体" w:hAnsi="黑体"/>
          <w:sz w:val="30"/>
        </w:rPr>
        <w:t>（</w:t>
      </w:r>
      <w:r>
        <w:rPr>
          <w:rFonts w:ascii="黑体" w:eastAsia="黑体" w:hAnsi="黑体" w:hint="eastAsia"/>
          <w:sz w:val="30"/>
        </w:rPr>
        <w:t>单位</w:t>
      </w:r>
      <w:r>
        <w:rPr>
          <w:rFonts w:ascii="黑体" w:eastAsia="黑体" w:hAnsi="黑体"/>
          <w:sz w:val="30"/>
        </w:rPr>
        <w:t>）</w:t>
      </w:r>
      <w:r>
        <w:rPr>
          <w:rFonts w:ascii="黑体" w:eastAsia="黑体" w:hAnsi="黑体" w:hint="eastAsia"/>
          <w:sz w:val="30"/>
        </w:rPr>
        <w:t>整体支出绩效实现情况</w:t>
      </w:r>
    </w:p>
    <w:p w:rsidR="00925615" w:rsidRPr="008C4263" w:rsidRDefault="00D857F6" w:rsidP="008C426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苏州市中心批复，2024年初下达太仓分中心预算总额492.60万元，其中：基本支出392.14万元，项目支出100.46万元。年内基本支出追加45.3万元、调减5万元。截止年末，实际支出502.84万元，整体预算执行率94.36%，其中：项目支出95.82万元，项目预算执行率95.38%。</w:t>
      </w:r>
      <w:r w:rsidR="008C4263" w:rsidRPr="008C4263">
        <w:rPr>
          <w:rFonts w:ascii="宋体" w:hAnsi="宋体" w:cs="宋体" w:hint="eastAsia"/>
          <w:sz w:val="24"/>
        </w:rPr>
        <w:t>积极融入</w:t>
      </w:r>
      <w:proofErr w:type="gramStart"/>
      <w:r w:rsidR="008C4263" w:rsidRPr="008C4263">
        <w:rPr>
          <w:rFonts w:ascii="宋体" w:hAnsi="宋体" w:cs="宋体" w:hint="eastAsia"/>
          <w:sz w:val="24"/>
        </w:rPr>
        <w:t>人社部门</w:t>
      </w:r>
      <w:proofErr w:type="gramEnd"/>
      <w:r w:rsidR="008C4263" w:rsidRPr="008C4263">
        <w:rPr>
          <w:rFonts w:ascii="宋体" w:hAnsi="宋体" w:cs="宋体" w:hint="eastAsia"/>
          <w:sz w:val="24"/>
        </w:rPr>
        <w:t>的“春风行动”，深入区镇、企业开展公积金政策法规宣传，依托</w:t>
      </w:r>
      <w:proofErr w:type="gramStart"/>
      <w:r w:rsidR="008C4263" w:rsidRPr="008C4263">
        <w:rPr>
          <w:rFonts w:ascii="宋体" w:hAnsi="宋体" w:cs="宋体" w:hint="eastAsia"/>
          <w:sz w:val="24"/>
        </w:rPr>
        <w:t>融媒体</w:t>
      </w:r>
      <w:proofErr w:type="gramEnd"/>
      <w:r w:rsidR="008C4263" w:rsidRPr="008C4263">
        <w:rPr>
          <w:rFonts w:ascii="宋体" w:hAnsi="宋体" w:cs="宋体" w:hint="eastAsia"/>
          <w:sz w:val="24"/>
        </w:rPr>
        <w:t>平台宣传公积金缴存使用政策，全力推广“乐居苏城”存贷产品，突出以用促缴，参与社区宣传、人才夜市宣传、烟商直播等，面向</w:t>
      </w:r>
      <w:r w:rsidR="008C4263" w:rsidRPr="008C4263">
        <w:rPr>
          <w:rFonts w:ascii="宋体" w:hAnsi="宋体" w:cs="宋体" w:hint="eastAsia"/>
          <w:sz w:val="24"/>
        </w:rPr>
        <w:lastRenderedPageBreak/>
        <w:t>新市民新就业群体线上线下同步宣传，</w:t>
      </w:r>
      <w:proofErr w:type="gramStart"/>
      <w:r w:rsidR="008C4263" w:rsidRPr="008C4263">
        <w:rPr>
          <w:rFonts w:ascii="宋体" w:hAnsi="宋体" w:cs="宋体" w:hint="eastAsia"/>
          <w:sz w:val="24"/>
        </w:rPr>
        <w:t>进一步扩面公积金</w:t>
      </w:r>
      <w:proofErr w:type="gramEnd"/>
      <w:r w:rsidR="008C4263" w:rsidRPr="008C4263">
        <w:rPr>
          <w:rFonts w:ascii="宋体" w:hAnsi="宋体" w:cs="宋体" w:hint="eastAsia"/>
          <w:sz w:val="24"/>
        </w:rPr>
        <w:t>政策普及面。主动服务缴存企业，扎实开展年度公积金缴存基数调整工作，强化</w:t>
      </w:r>
      <w:proofErr w:type="gramStart"/>
      <w:r w:rsidR="008C4263" w:rsidRPr="008C4263">
        <w:rPr>
          <w:rFonts w:ascii="宋体" w:hAnsi="宋体" w:cs="宋体" w:hint="eastAsia"/>
          <w:sz w:val="24"/>
        </w:rPr>
        <w:t>缴</w:t>
      </w:r>
      <w:proofErr w:type="gramEnd"/>
      <w:r w:rsidR="008C4263" w:rsidRPr="008C4263">
        <w:rPr>
          <w:rFonts w:ascii="宋体" w:hAnsi="宋体" w:cs="宋体" w:hint="eastAsia"/>
          <w:sz w:val="24"/>
        </w:rPr>
        <w:t>存单位日常汇缴提醒，进一步规范公积金缴存。全年公积金归集资金、灵活就业人员新增汇</w:t>
      </w:r>
      <w:proofErr w:type="gramStart"/>
      <w:r w:rsidR="008C4263" w:rsidRPr="008C4263">
        <w:rPr>
          <w:rFonts w:ascii="宋体" w:hAnsi="宋体" w:cs="宋体" w:hint="eastAsia"/>
          <w:sz w:val="24"/>
        </w:rPr>
        <w:t>缴人数</w:t>
      </w:r>
      <w:proofErr w:type="gramEnd"/>
      <w:r w:rsidR="008C4263" w:rsidRPr="008C4263">
        <w:rPr>
          <w:rFonts w:ascii="宋体" w:hAnsi="宋体" w:cs="宋体" w:hint="eastAsia"/>
          <w:sz w:val="24"/>
        </w:rPr>
        <w:t>均超额完成年计划。依托数字赋能，建设高效办成“一件事”公积金贷款专窗，公积金贷款融入太仓市“置业一件事”，进一步提升购房职工的办事体验感和满意度。全年发放公积金贷款量同比增幅显著，超额完成年计划。委托第三方开展服务提升专项培训，组织服务大厅全体人员开展技能竞赛。在本市范围内建设31家公积金诚意服务站，方便用人单位和职工群众就近办理公积金业务。</w:t>
      </w:r>
    </w:p>
    <w:p w:rsidR="00925615" w:rsidRDefault="00D857F6">
      <w:p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五、部门</w:t>
      </w:r>
      <w:r>
        <w:rPr>
          <w:rFonts w:ascii="黑体" w:eastAsia="黑体" w:hAnsi="黑体"/>
          <w:sz w:val="30"/>
        </w:rPr>
        <w:t>（</w:t>
      </w:r>
      <w:r>
        <w:rPr>
          <w:rFonts w:ascii="黑体" w:eastAsia="黑体" w:hAnsi="黑体" w:hint="eastAsia"/>
          <w:sz w:val="30"/>
        </w:rPr>
        <w:t>单位</w:t>
      </w:r>
      <w:r>
        <w:rPr>
          <w:rFonts w:ascii="黑体" w:eastAsia="黑体" w:hAnsi="黑体"/>
          <w:sz w:val="30"/>
        </w:rPr>
        <w:t>）</w:t>
      </w:r>
      <w:r>
        <w:rPr>
          <w:rFonts w:ascii="黑体" w:eastAsia="黑体" w:hAnsi="黑体" w:hint="eastAsia"/>
          <w:sz w:val="30"/>
        </w:rPr>
        <w:t>整体支出绩效中存</w:t>
      </w:r>
      <w:r>
        <w:rPr>
          <w:rFonts w:ascii="黑体" w:eastAsia="黑体" w:hAnsi="黑体"/>
          <w:sz w:val="30"/>
        </w:rPr>
        <w:t>在问题</w:t>
      </w:r>
      <w:r>
        <w:rPr>
          <w:rFonts w:ascii="黑体" w:eastAsia="黑体" w:hAnsi="黑体" w:hint="eastAsia"/>
          <w:sz w:val="30"/>
        </w:rPr>
        <w:t>及</w:t>
      </w:r>
      <w:r>
        <w:rPr>
          <w:rFonts w:ascii="黑体" w:eastAsia="黑体" w:hAnsi="黑体"/>
          <w:sz w:val="30"/>
        </w:rPr>
        <w:t>改进措施</w:t>
      </w:r>
    </w:p>
    <w:p w:rsidR="008C4263" w:rsidRPr="008C4263" w:rsidRDefault="008C4263" w:rsidP="008C426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8C4263">
        <w:rPr>
          <w:rFonts w:ascii="宋体" w:hAnsi="宋体" w:cs="宋体" w:hint="eastAsia"/>
          <w:sz w:val="24"/>
        </w:rPr>
        <w:t>经常性项目中，个别项目因单价降低、充分利用已有场地设备减少支出等原因，年度执行数与计划预算差距较大，预算执行率不高。在今后的工作中，将继续坚持厉行节约，进一步优化细化所需经费测算，提高预算编制质量和预算执行效率。</w:t>
      </w:r>
    </w:p>
    <w:p w:rsidR="00925615" w:rsidRDefault="00D857F6">
      <w:p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六、</w:t>
      </w:r>
      <w:r>
        <w:rPr>
          <w:rFonts w:ascii="黑体" w:eastAsia="黑体" w:hAnsi="黑体"/>
          <w:sz w:val="30"/>
        </w:rPr>
        <w:t>绩效自评</w:t>
      </w:r>
      <w:r>
        <w:rPr>
          <w:rFonts w:ascii="黑体" w:eastAsia="黑体" w:hAnsi="黑体" w:hint="eastAsia"/>
          <w:sz w:val="30"/>
        </w:rPr>
        <w:t>结果</w:t>
      </w:r>
      <w:r>
        <w:rPr>
          <w:rFonts w:ascii="黑体" w:eastAsia="黑体" w:hAnsi="黑体"/>
          <w:sz w:val="30"/>
        </w:rPr>
        <w:t>拟应用和公开</w:t>
      </w:r>
      <w:r>
        <w:rPr>
          <w:rFonts w:ascii="黑体" w:eastAsia="黑体" w:hAnsi="黑体" w:hint="eastAsia"/>
          <w:sz w:val="30"/>
        </w:rPr>
        <w:t>情况</w:t>
      </w:r>
    </w:p>
    <w:p w:rsidR="00925615" w:rsidRDefault="00D857F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1.绩效自评结果作为下一步预算管理的重要参考。2.按照财政部门要求开展绩效信息公开。</w:t>
      </w:r>
    </w:p>
    <w:p w:rsidR="00925615" w:rsidRDefault="00925615">
      <w:pPr>
        <w:spacing w:line="360" w:lineRule="auto"/>
        <w:rPr>
          <w:rFonts w:ascii="黑体" w:eastAsia="黑体" w:hAnsi="黑体"/>
          <w:sz w:val="30"/>
        </w:rPr>
        <w:sectPr w:rsidR="00925615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247" w:right="1400" w:bottom="1089" w:left="1559" w:header="851" w:footer="992" w:gutter="0"/>
          <w:paperSrc w:first="15" w:other="15"/>
          <w:cols w:space="720"/>
          <w:docGrid w:type="lines" w:linePitch="312"/>
        </w:sectPr>
      </w:pPr>
    </w:p>
    <w:p w:rsidR="00925615" w:rsidRDefault="00D857F6">
      <w:pPr>
        <w:numPr>
          <w:ilvl w:val="0"/>
          <w:numId w:val="1"/>
        </w:num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预算信息</w:t>
      </w:r>
    </w:p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9"/>
        <w:gridCol w:w="2268"/>
        <w:gridCol w:w="2268"/>
        <w:gridCol w:w="2268"/>
        <w:gridCol w:w="2268"/>
        <w:gridCol w:w="2268"/>
      </w:tblGrid>
      <w:tr w:rsidR="00925615">
        <w:trPr>
          <w:trHeight w:val="339"/>
        </w:trPr>
        <w:tc>
          <w:tcPr>
            <w:tcW w:w="3079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本年度预算资金（万元）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年初预算数（万元）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上年度结转及当年预算追加追减数(万元）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调整预算数（万元）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实际支出数（万元）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执行率（%)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预算总金额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492.6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532.9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502.83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94.36%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基本支出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392.14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432.44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407.01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94.12%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项目支出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100.46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100.46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95.82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95.38%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信息化维护费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17.98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99.89%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政策法规普及宣传经费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98.95%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物业管理费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16.64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16.64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16.58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99.64%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专项委托业务费1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21.58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21.58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19.91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92.26%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专项业务用水用电用气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100.00%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专项印刷费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8.99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99.89%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专项邮寄费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0.99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66.00%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党团活动经费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1.15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88.46%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财产保险费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1.22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93.85%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办公设备购置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6.15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6.15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6.04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98.21%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体检费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2.7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2.7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2.68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99.26%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伙食经费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9.04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9.04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8.81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97.46%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环境卫生费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100.00%</w:t>
            </w:r>
          </w:p>
        </w:tc>
      </w:tr>
      <w:tr w:rsidR="00925615">
        <w:trPr>
          <w:trHeight w:val="540"/>
        </w:trPr>
        <w:tc>
          <w:tcPr>
            <w:tcW w:w="3079" w:type="dxa"/>
            <w:vAlign w:val="center"/>
          </w:tcPr>
          <w:p w:rsidR="00925615" w:rsidRDefault="00D85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专项培训费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0.27</w:t>
            </w:r>
          </w:p>
        </w:tc>
        <w:tc>
          <w:tcPr>
            <w:tcW w:w="226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13.50%</w:t>
            </w:r>
          </w:p>
        </w:tc>
      </w:tr>
    </w:tbl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p w:rsidR="00925615" w:rsidRDefault="00D857F6">
      <w:pPr>
        <w:numPr>
          <w:ilvl w:val="0"/>
          <w:numId w:val="1"/>
        </w:num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年度重点任务</w:t>
      </w:r>
    </w:p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tbl>
      <w:tblPr>
        <w:tblW w:w="13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9"/>
        <w:gridCol w:w="3818"/>
        <w:gridCol w:w="6280"/>
      </w:tblGrid>
      <w:tr w:rsidR="00925615">
        <w:trPr>
          <w:trHeight w:val="339"/>
        </w:trPr>
        <w:tc>
          <w:tcPr>
            <w:tcW w:w="3419" w:type="dxa"/>
            <w:shd w:val="clear" w:color="000000" w:fill="BFBFBF"/>
            <w:vAlign w:val="center"/>
          </w:tcPr>
          <w:p w:rsidR="00925615" w:rsidRDefault="009256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对应部门主要职责</w:t>
            </w:r>
          </w:p>
          <w:p w:rsidR="00925615" w:rsidRDefault="009256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8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任务名称</w:t>
            </w:r>
          </w:p>
        </w:tc>
        <w:tc>
          <w:tcPr>
            <w:tcW w:w="6280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完成情况</w:t>
            </w:r>
          </w:p>
        </w:tc>
      </w:tr>
      <w:tr w:rsidR="00925615">
        <w:trPr>
          <w:trHeight w:val="608"/>
        </w:trPr>
        <w:tc>
          <w:tcPr>
            <w:tcW w:w="3419" w:type="dxa"/>
            <w:vMerge w:val="restart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编制、执行本地区住房公积金归集和使用计划</w:t>
            </w: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提升公积金缴存质量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化日常汇缴提醒、催收，确保每月汇缴率不低于99%。扎实开展年度公积金缴存基数调整工作，年末我市基数调整率达78.29%。强化政策宣传和指导，服务缴存企业，引导企业用好缴存比例弹性空间，合理选择缴存比例、规范缴存基数，进一步提高人均缴存水平。</w:t>
            </w:r>
          </w:p>
        </w:tc>
      </w:tr>
      <w:tr w:rsidR="00925615">
        <w:trPr>
          <w:trHeight w:val="608"/>
        </w:trPr>
        <w:tc>
          <w:tcPr>
            <w:tcW w:w="3419" w:type="dxa"/>
            <w:vMerge/>
            <w:vAlign w:val="center"/>
          </w:tcPr>
          <w:p w:rsidR="00925615" w:rsidRDefault="009256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强化住房保障功能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全年发放公积金贷款5115笔41.16亿元，放贷金额同比增长79.66%，完成年计划的185.38%。全年贷款支持购房面积58.09万平方米。截至2024年末，公积金贷款余额124.49亿元。</w:t>
            </w:r>
          </w:p>
        </w:tc>
      </w:tr>
      <w:tr w:rsidR="00925615">
        <w:trPr>
          <w:trHeight w:val="608"/>
        </w:trPr>
        <w:tc>
          <w:tcPr>
            <w:tcW w:w="3419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管理和监督住房公积金受托银行开展的住房公积金相关业务</w:t>
            </w: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强化与受托银行合作效能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年度公积金委托业务承办银行考核办法，明确考核内容，增加窗口服务质量的考核分值。定期服务质量检查，督促银行及时改进。进一步扩大承办银行范围，协调对外服务窗口设置，对年内新入驻服务大厅的2家承办银行工作人员进行岗前培训及考试。</w:t>
            </w:r>
          </w:p>
        </w:tc>
      </w:tr>
      <w:tr w:rsidR="00925615">
        <w:trPr>
          <w:trHeight w:val="608"/>
        </w:trPr>
        <w:tc>
          <w:tcPr>
            <w:tcW w:w="3419" w:type="dxa"/>
            <w:vMerge w:val="restart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监督检查本地区住房公积金法律法规和政策措施的落实</w:t>
            </w: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完善行政执法体系建设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“关爱民生法治行”公积金普法行动，通过政策宣讲、上门走访、集中约谈、寄送督办通知、邀请律师分析案例等多种形式，指导存量企业依法依规缴存，护航企业稳定发展。坚持依法行政，对职工反复投诉、拒不配合的企业，启动行政执法立案流程。</w:t>
            </w:r>
          </w:p>
        </w:tc>
      </w:tr>
      <w:tr w:rsidR="00925615">
        <w:trPr>
          <w:trHeight w:val="608"/>
        </w:trPr>
        <w:tc>
          <w:tcPr>
            <w:tcW w:w="3419" w:type="dxa"/>
            <w:vMerge/>
            <w:vAlign w:val="center"/>
          </w:tcPr>
          <w:p w:rsidR="00925615" w:rsidRDefault="009256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妥善化解矛盾纠纷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取刚性制度柔性执法，联合区镇以及信访、社保等部门，将公积金投诉处理纳入劳动纠纷化解一揽子解决，充分发挥协商调解的力量，高效化解群体性投诉，实现企业发展与职工权益统筹兼顾，维护社会和谐稳定。全年受理缴存维权投诉715起，处结668起，处结率93.43%。</w:t>
            </w:r>
          </w:p>
        </w:tc>
      </w:tr>
      <w:tr w:rsidR="00925615">
        <w:trPr>
          <w:trHeight w:val="608"/>
        </w:trPr>
        <w:tc>
          <w:tcPr>
            <w:tcW w:w="3419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开展住房公积金政策宣传</w:t>
            </w: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深入开展政策宣传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积极融入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的“春风行动”，深入区镇、企业开展公积金政策法规宣传。依托扬子晚报、市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融媒体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平台等，宣传公积金缴存使用政策。全力推广“乐居苏城”存贷产品，突出以用促缴，参与烟商直播、人才夜市、社区宣传、个体工商户调研等，面向新市民新就业群体线上线下同步宣传。</w:t>
            </w:r>
          </w:p>
        </w:tc>
      </w:tr>
      <w:tr w:rsidR="00925615">
        <w:trPr>
          <w:trHeight w:val="608"/>
        </w:trPr>
        <w:tc>
          <w:tcPr>
            <w:tcW w:w="3419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面向社会提供住房公积金业务办理服务</w:t>
            </w:r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提升窗口服务质量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托第三方开展服务提升专项培训，组织服务大厅全体人员开展技能竞赛。在本市范围内建设31家公积金诚意服务站，方便用人单位和职工群众就近办理公积金业务。建设高效办成“一件事”公积金贷款专窗，公积金贷款融入太仓市“置业一件事”，进一步提升购房职工的办事体验感和满意度。</w:t>
            </w:r>
          </w:p>
        </w:tc>
      </w:tr>
      <w:tr w:rsidR="00925615">
        <w:trPr>
          <w:trHeight w:val="608"/>
        </w:trPr>
        <w:tc>
          <w:tcPr>
            <w:tcW w:w="3419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实施本地区住房公积金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归集扩面工作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和使用管理的政策措施和操作规程，推进本地区住房公积金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归集扩面工作</w:t>
            </w:r>
            <w:proofErr w:type="gramEnd"/>
          </w:p>
        </w:tc>
        <w:tc>
          <w:tcPr>
            <w:tcW w:w="3818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扩大住房公积金缴存覆盖面</w:t>
            </w:r>
          </w:p>
        </w:tc>
        <w:tc>
          <w:tcPr>
            <w:tcW w:w="6280" w:type="dxa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年归集公积金47.62亿元，同比增长16.91%，完成年计划的109.22%，期末余额115.96亿元。全年新增公积金缴存职工45029人，净增10141人；灵活就业人员新增汇缴1.13万人，完成年计划的185.92%；年末缴存人数25.77万人，其中灵活就业缴存人数1.52万人。</w:t>
            </w:r>
          </w:p>
        </w:tc>
      </w:tr>
    </w:tbl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p w:rsidR="00925615" w:rsidRDefault="00D857F6">
      <w:pPr>
        <w:numPr>
          <w:ilvl w:val="0"/>
          <w:numId w:val="1"/>
        </w:numPr>
        <w:spacing w:line="360" w:lineRule="auto"/>
        <w:ind w:left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部门整体自评表</w:t>
      </w:r>
    </w:p>
    <w:tbl>
      <w:tblPr>
        <w:tblpPr w:leftFromText="180" w:rightFromText="180" w:vertAnchor="text" w:horzAnchor="page" w:tblpX="1656" w:tblpY="127"/>
        <w:tblOverlap w:val="never"/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7"/>
        <w:gridCol w:w="2051"/>
        <w:gridCol w:w="2061"/>
        <w:gridCol w:w="1987"/>
        <w:gridCol w:w="1799"/>
        <w:gridCol w:w="1866"/>
        <w:gridCol w:w="1787"/>
        <w:gridCol w:w="1071"/>
      </w:tblGrid>
      <w:tr w:rsidR="00925615">
        <w:trPr>
          <w:trHeight w:val="339"/>
        </w:trPr>
        <w:tc>
          <w:tcPr>
            <w:tcW w:w="2067" w:type="dxa"/>
            <w:shd w:val="clear" w:color="000000" w:fill="BFBFBF"/>
            <w:vAlign w:val="center"/>
          </w:tcPr>
          <w:p w:rsidR="00925615" w:rsidRDefault="009256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1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类别</w:t>
            </w:r>
          </w:p>
        </w:tc>
        <w:tc>
          <w:tcPr>
            <w:tcW w:w="2061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指标名称</w:t>
            </w:r>
          </w:p>
        </w:tc>
        <w:tc>
          <w:tcPr>
            <w:tcW w:w="1987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指标目标值</w:t>
            </w:r>
          </w:p>
        </w:tc>
        <w:tc>
          <w:tcPr>
            <w:tcW w:w="1799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指标完成值</w:t>
            </w:r>
          </w:p>
        </w:tc>
        <w:tc>
          <w:tcPr>
            <w:tcW w:w="1866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完成值来源</w:t>
            </w:r>
          </w:p>
        </w:tc>
        <w:tc>
          <w:tcPr>
            <w:tcW w:w="1787" w:type="dxa"/>
            <w:shd w:val="clear" w:color="000000" w:fill="BFBFBF"/>
            <w:vAlign w:val="center"/>
          </w:tcPr>
          <w:p w:rsidR="00925615" w:rsidRDefault="00D857F6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偏差情况</w:t>
            </w:r>
          </w:p>
        </w:tc>
        <w:tc>
          <w:tcPr>
            <w:tcW w:w="1071" w:type="dxa"/>
            <w:shd w:val="clear" w:color="000000" w:fill="BFBFBF"/>
          </w:tcPr>
          <w:p w:rsidR="00925615" w:rsidRDefault="00D857F6">
            <w:pPr>
              <w:widowControl/>
              <w:jc w:val="center"/>
              <w:rPr>
                <w:rFonts w:ascii="黑体" w:eastAsia="黑体" w:hAnsi="黑体"/>
                <w:sz w:val="3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原因分析</w:t>
            </w:r>
          </w:p>
        </w:tc>
      </w:tr>
      <w:tr w:rsidR="00925615">
        <w:trPr>
          <w:trHeight w:val="540"/>
        </w:trPr>
        <w:tc>
          <w:tcPr>
            <w:tcW w:w="2067" w:type="dxa"/>
            <w:vMerge w:val="restart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分解目标</w:t>
            </w:r>
          </w:p>
        </w:tc>
        <w:tc>
          <w:tcPr>
            <w:tcW w:w="2051" w:type="dxa"/>
            <w:vMerge w:val="restart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决策</w:t>
            </w: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工作计划制定健全性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中长期规划制定健全性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绩效指标明确性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明确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明确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绩效目标合理性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合理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合理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预算编制科学性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预算编制规范性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过程</w:t>
            </w: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基础信息完善性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完善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完善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非税收入管理合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资金使用合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预决算信息公开度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公开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公开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预算管理制度健全性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绩效管理覆盖率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固定资产利用率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资产管理制度健全性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资产管理规范性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项目管理制度健全性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项目管理制度执行规范性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在职人员控制率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人员管理制度执行有效性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人员管理制度健全性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纪检监察工作有效性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组织建设工作及时完成率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业务学习与培训及时完成率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预算执行率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94.36%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-5.64%</w:t>
            </w:r>
          </w:p>
        </w:tc>
        <w:tc>
          <w:tcPr>
            <w:tcW w:w="1071" w:type="dxa"/>
          </w:tcPr>
          <w:p w:rsidR="00925615" w:rsidRDefault="00D857F6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2024年度1名公益性岗位人员离职，公用经费执行率较低</w:t>
            </w:r>
            <w:r>
              <w:rPr>
                <w:rFonts w:ascii="宋体" w:hAnsi="宋体" w:cs="宋体" w:hint="eastAsia"/>
                <w:sz w:val="24"/>
              </w:rPr>
              <w:lastRenderedPageBreak/>
              <w:t>从而拉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低整体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执行率</w:t>
            </w: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支付进度符合率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预算调整率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7.56%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071" w:type="dxa"/>
          </w:tcPr>
          <w:p w:rsidR="00925615" w:rsidRDefault="00D857F6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2024年人员经费上半年追加45.3万元，年末调减5万元。</w:t>
            </w: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公用经费控制率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&lt;=100%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预算偏差率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&lt;=10%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5.64%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-43.60%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结转结余率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“三公经费”变动率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&lt;=0%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政府采购执行率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非税收入预算完成率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&gt;=100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效益</w:t>
            </w: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进一步优化营商环境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住房公积金政策知晓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度有效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提升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持续提升服务品牌美誉度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住房公积金保障作用持续发挥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满意度</w:t>
            </w: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服务对象满意度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&gt;=93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2.15%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履职</w:t>
            </w: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职工账户基数调整率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&gt;=72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78.29%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8.74%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提升行政执法规范化水平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较显著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受托银行业务达标率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&gt;=99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缴存职工年度覆</w:t>
            </w:r>
            <w:r>
              <w:rPr>
                <w:rFonts w:ascii="宋体" w:hAnsi="宋体" w:cs="宋体" w:hint="eastAsia"/>
                <w:sz w:val="24"/>
              </w:rPr>
              <w:lastRenderedPageBreak/>
              <w:t>盖率提升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&gt;=1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受托银行考核制度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建立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建立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通过媒体发布宣传信息数量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&gt;=8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开展政策宣传活动次数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&gt;=34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17.65%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投诉调解处理效果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较好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较好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年度归集额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&gt;=42.8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47.62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11.26%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服务评价机制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建立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建立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银行进驻公积金大厅窗口数量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&gt;=19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台账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10.53%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5615">
        <w:trPr>
          <w:trHeight w:val="540"/>
        </w:trPr>
        <w:tc>
          <w:tcPr>
            <w:tcW w:w="2067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925615" w:rsidRDefault="0092561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购房（还贷）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提取占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提取总额比例</w:t>
            </w:r>
          </w:p>
        </w:tc>
        <w:tc>
          <w:tcPr>
            <w:tcW w:w="19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&gt;=75</w:t>
            </w:r>
          </w:p>
        </w:tc>
        <w:tc>
          <w:tcPr>
            <w:tcW w:w="1799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  <w:tc>
          <w:tcPr>
            <w:tcW w:w="1866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业务报表</w:t>
            </w:r>
          </w:p>
        </w:tc>
        <w:tc>
          <w:tcPr>
            <w:tcW w:w="1787" w:type="dxa"/>
            <w:vAlign w:val="center"/>
          </w:tcPr>
          <w:p w:rsidR="00925615" w:rsidRDefault="00D857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0.00%</w:t>
            </w:r>
          </w:p>
        </w:tc>
        <w:tc>
          <w:tcPr>
            <w:tcW w:w="1071" w:type="dxa"/>
          </w:tcPr>
          <w:p w:rsidR="00925615" w:rsidRDefault="00925615"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925615" w:rsidRDefault="00925615">
      <w:pPr>
        <w:spacing w:line="360" w:lineRule="auto"/>
        <w:ind w:left="600"/>
        <w:rPr>
          <w:rFonts w:ascii="黑体" w:eastAsia="黑体" w:hAnsi="黑体"/>
          <w:sz w:val="30"/>
        </w:rPr>
      </w:pPr>
    </w:p>
    <w:sectPr w:rsidR="00925615" w:rsidSect="00925615">
      <w:headerReference w:type="default" r:id="rId11"/>
      <w:footerReference w:type="default" r:id="rId12"/>
      <w:pgSz w:w="16840" w:h="11907" w:orient="landscape"/>
      <w:pgMar w:top="1559" w:right="1247" w:bottom="1400" w:left="1089" w:header="851" w:footer="992" w:gutter="0"/>
      <w:paperSrc w:first="15" w:other="1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F6" w:rsidRDefault="00D857F6" w:rsidP="00925615">
      <w:r>
        <w:separator/>
      </w:r>
    </w:p>
  </w:endnote>
  <w:endnote w:type="continuationSeparator" w:id="1">
    <w:p w:rsidR="00D857F6" w:rsidRDefault="00D857F6" w:rsidP="0092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CD19E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D857F6">
      <w:rPr>
        <w:rStyle w:val="a7"/>
      </w:rPr>
      <w:instrText xml:space="preserve">PAGE  </w:instrText>
    </w:r>
    <w:r>
      <w:fldChar w:fldCharType="end"/>
    </w:r>
  </w:p>
  <w:p w:rsidR="00925615" w:rsidRDefault="009256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CD19E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D857F6">
      <w:rPr>
        <w:rStyle w:val="a7"/>
      </w:rPr>
      <w:instrText xml:space="preserve">PAGE  </w:instrText>
    </w:r>
    <w:r>
      <w:fldChar w:fldCharType="separate"/>
    </w:r>
    <w:r w:rsidR="006E64FA">
      <w:rPr>
        <w:rStyle w:val="a7"/>
        <w:noProof/>
      </w:rPr>
      <w:t>2</w:t>
    </w:r>
    <w:r>
      <w:fldChar w:fldCharType="end"/>
    </w:r>
  </w:p>
  <w:p w:rsidR="00925615" w:rsidRDefault="0092561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CD19E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D857F6">
      <w:rPr>
        <w:rStyle w:val="a7"/>
      </w:rPr>
      <w:instrText xml:space="preserve">PAGE  </w:instrText>
    </w:r>
    <w:r>
      <w:fldChar w:fldCharType="separate"/>
    </w:r>
    <w:r w:rsidR="006E64FA">
      <w:rPr>
        <w:rStyle w:val="a7"/>
        <w:noProof/>
      </w:rPr>
      <w:t>11</w:t>
    </w:r>
    <w:r>
      <w:fldChar w:fldCharType="end"/>
    </w:r>
  </w:p>
  <w:p w:rsidR="00925615" w:rsidRDefault="009256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F6" w:rsidRDefault="00D857F6" w:rsidP="00925615">
      <w:r>
        <w:separator/>
      </w:r>
    </w:p>
  </w:footnote>
  <w:footnote w:type="continuationSeparator" w:id="1">
    <w:p w:rsidR="00D857F6" w:rsidRDefault="00D857F6" w:rsidP="00925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92561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92561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15" w:rsidRDefault="0092561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B9F1"/>
    <w:multiLevelType w:val="singleLevel"/>
    <w:tmpl w:val="5D7BB9F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2ZWIxNzBhOWM3YmNkMjVjMWZjMWQ2NzA4MDFlZmYifQ=="/>
  </w:docVars>
  <w:rsids>
    <w:rsidRoot w:val="00063C33"/>
    <w:rsid w:val="00000AE5"/>
    <w:rsid w:val="0000149B"/>
    <w:rsid w:val="00003466"/>
    <w:rsid w:val="00005172"/>
    <w:rsid w:val="000100EA"/>
    <w:rsid w:val="000174EF"/>
    <w:rsid w:val="00017B0A"/>
    <w:rsid w:val="00023671"/>
    <w:rsid w:val="00026029"/>
    <w:rsid w:val="000264BF"/>
    <w:rsid w:val="00037A63"/>
    <w:rsid w:val="00040CA6"/>
    <w:rsid w:val="00043B48"/>
    <w:rsid w:val="00052BE5"/>
    <w:rsid w:val="00060137"/>
    <w:rsid w:val="00063750"/>
    <w:rsid w:val="00063C33"/>
    <w:rsid w:val="00063D5B"/>
    <w:rsid w:val="00065156"/>
    <w:rsid w:val="00065B29"/>
    <w:rsid w:val="00067138"/>
    <w:rsid w:val="0006750F"/>
    <w:rsid w:val="000744C4"/>
    <w:rsid w:val="00075453"/>
    <w:rsid w:val="00075D05"/>
    <w:rsid w:val="000822BA"/>
    <w:rsid w:val="000824B9"/>
    <w:rsid w:val="00083E7F"/>
    <w:rsid w:val="000903A9"/>
    <w:rsid w:val="00090A12"/>
    <w:rsid w:val="00091DCD"/>
    <w:rsid w:val="000920AE"/>
    <w:rsid w:val="00096524"/>
    <w:rsid w:val="000A413D"/>
    <w:rsid w:val="000A5944"/>
    <w:rsid w:val="000B00C1"/>
    <w:rsid w:val="000B1FE0"/>
    <w:rsid w:val="000B2275"/>
    <w:rsid w:val="000B2CE5"/>
    <w:rsid w:val="000B5A1C"/>
    <w:rsid w:val="000B7645"/>
    <w:rsid w:val="000C44B7"/>
    <w:rsid w:val="000E5B04"/>
    <w:rsid w:val="000E69D0"/>
    <w:rsid w:val="000E7FBE"/>
    <w:rsid w:val="000F10A1"/>
    <w:rsid w:val="000F2CE9"/>
    <w:rsid w:val="000F5BD7"/>
    <w:rsid w:val="000F6964"/>
    <w:rsid w:val="00100A3B"/>
    <w:rsid w:val="001014B4"/>
    <w:rsid w:val="00104DFE"/>
    <w:rsid w:val="00106E72"/>
    <w:rsid w:val="00113289"/>
    <w:rsid w:val="00113D04"/>
    <w:rsid w:val="00113E8E"/>
    <w:rsid w:val="0011541B"/>
    <w:rsid w:val="0012134D"/>
    <w:rsid w:val="001220BE"/>
    <w:rsid w:val="00125CF2"/>
    <w:rsid w:val="00126E12"/>
    <w:rsid w:val="00130587"/>
    <w:rsid w:val="00130A6B"/>
    <w:rsid w:val="00131B00"/>
    <w:rsid w:val="00132D88"/>
    <w:rsid w:val="00133A9B"/>
    <w:rsid w:val="0013429F"/>
    <w:rsid w:val="001410F0"/>
    <w:rsid w:val="001420CF"/>
    <w:rsid w:val="00143A75"/>
    <w:rsid w:val="00143BA3"/>
    <w:rsid w:val="0014417A"/>
    <w:rsid w:val="001451E1"/>
    <w:rsid w:val="00147FEA"/>
    <w:rsid w:val="0015165E"/>
    <w:rsid w:val="00155CA1"/>
    <w:rsid w:val="001612E1"/>
    <w:rsid w:val="00164523"/>
    <w:rsid w:val="00165B5D"/>
    <w:rsid w:val="001662B4"/>
    <w:rsid w:val="0017063E"/>
    <w:rsid w:val="00177F82"/>
    <w:rsid w:val="001808D8"/>
    <w:rsid w:val="0018270E"/>
    <w:rsid w:val="00182B89"/>
    <w:rsid w:val="00182FC9"/>
    <w:rsid w:val="00190510"/>
    <w:rsid w:val="001A0AFE"/>
    <w:rsid w:val="001A1132"/>
    <w:rsid w:val="001B04B5"/>
    <w:rsid w:val="001B5269"/>
    <w:rsid w:val="001B7A52"/>
    <w:rsid w:val="001C0B83"/>
    <w:rsid w:val="001C31AD"/>
    <w:rsid w:val="001C4669"/>
    <w:rsid w:val="001C64FE"/>
    <w:rsid w:val="001C7FFB"/>
    <w:rsid w:val="001D03A1"/>
    <w:rsid w:val="001D2206"/>
    <w:rsid w:val="001D31D8"/>
    <w:rsid w:val="001D41B6"/>
    <w:rsid w:val="001D785B"/>
    <w:rsid w:val="001D7F4F"/>
    <w:rsid w:val="001E09A5"/>
    <w:rsid w:val="001E11AE"/>
    <w:rsid w:val="001E387E"/>
    <w:rsid w:val="001E4826"/>
    <w:rsid w:val="001E55E3"/>
    <w:rsid w:val="001F0EC7"/>
    <w:rsid w:val="001F1C88"/>
    <w:rsid w:val="001F2939"/>
    <w:rsid w:val="001F3B30"/>
    <w:rsid w:val="001F3BCB"/>
    <w:rsid w:val="00200D3F"/>
    <w:rsid w:val="0020308A"/>
    <w:rsid w:val="00204221"/>
    <w:rsid w:val="00206133"/>
    <w:rsid w:val="00213BC8"/>
    <w:rsid w:val="00216350"/>
    <w:rsid w:val="002166D3"/>
    <w:rsid w:val="00216F1E"/>
    <w:rsid w:val="00217E52"/>
    <w:rsid w:val="00222156"/>
    <w:rsid w:val="00223CA3"/>
    <w:rsid w:val="00227A2B"/>
    <w:rsid w:val="0023035D"/>
    <w:rsid w:val="002340B0"/>
    <w:rsid w:val="00234E4B"/>
    <w:rsid w:val="0023634E"/>
    <w:rsid w:val="002408C3"/>
    <w:rsid w:val="0024113F"/>
    <w:rsid w:val="00244426"/>
    <w:rsid w:val="0024746E"/>
    <w:rsid w:val="0025051E"/>
    <w:rsid w:val="00252592"/>
    <w:rsid w:val="00253D90"/>
    <w:rsid w:val="0025423D"/>
    <w:rsid w:val="00254F9A"/>
    <w:rsid w:val="00257BC2"/>
    <w:rsid w:val="00261488"/>
    <w:rsid w:val="00264AA2"/>
    <w:rsid w:val="00265B16"/>
    <w:rsid w:val="00265DA5"/>
    <w:rsid w:val="002673D0"/>
    <w:rsid w:val="002716BD"/>
    <w:rsid w:val="00273D49"/>
    <w:rsid w:val="00283319"/>
    <w:rsid w:val="00285317"/>
    <w:rsid w:val="0028539D"/>
    <w:rsid w:val="00286629"/>
    <w:rsid w:val="00286702"/>
    <w:rsid w:val="00286D47"/>
    <w:rsid w:val="002900B4"/>
    <w:rsid w:val="00291982"/>
    <w:rsid w:val="00294622"/>
    <w:rsid w:val="002A0738"/>
    <w:rsid w:val="002A1D40"/>
    <w:rsid w:val="002A520E"/>
    <w:rsid w:val="002A71E9"/>
    <w:rsid w:val="002A740D"/>
    <w:rsid w:val="002B3130"/>
    <w:rsid w:val="002B46D0"/>
    <w:rsid w:val="002B4938"/>
    <w:rsid w:val="002B4C42"/>
    <w:rsid w:val="002B5C95"/>
    <w:rsid w:val="002B7826"/>
    <w:rsid w:val="002B7DA5"/>
    <w:rsid w:val="002C14BC"/>
    <w:rsid w:val="002C40C2"/>
    <w:rsid w:val="002C50BE"/>
    <w:rsid w:val="002C58CE"/>
    <w:rsid w:val="002C6932"/>
    <w:rsid w:val="002D37C3"/>
    <w:rsid w:val="002D39F6"/>
    <w:rsid w:val="002E02D4"/>
    <w:rsid w:val="002E3E46"/>
    <w:rsid w:val="002E6262"/>
    <w:rsid w:val="002F2F89"/>
    <w:rsid w:val="002F3573"/>
    <w:rsid w:val="002F79DA"/>
    <w:rsid w:val="003023BE"/>
    <w:rsid w:val="003047D9"/>
    <w:rsid w:val="00304E50"/>
    <w:rsid w:val="0031251A"/>
    <w:rsid w:val="00313B31"/>
    <w:rsid w:val="00313C95"/>
    <w:rsid w:val="00314B04"/>
    <w:rsid w:val="003205DD"/>
    <w:rsid w:val="003212A4"/>
    <w:rsid w:val="00321645"/>
    <w:rsid w:val="003224A9"/>
    <w:rsid w:val="00323407"/>
    <w:rsid w:val="00324653"/>
    <w:rsid w:val="00325446"/>
    <w:rsid w:val="003255FE"/>
    <w:rsid w:val="00327EE2"/>
    <w:rsid w:val="00330CB3"/>
    <w:rsid w:val="00332C74"/>
    <w:rsid w:val="00335FCC"/>
    <w:rsid w:val="00336C7D"/>
    <w:rsid w:val="00342E62"/>
    <w:rsid w:val="00343C7E"/>
    <w:rsid w:val="0034643F"/>
    <w:rsid w:val="00346D0D"/>
    <w:rsid w:val="00350DCA"/>
    <w:rsid w:val="00350EF3"/>
    <w:rsid w:val="00351E9C"/>
    <w:rsid w:val="00353E46"/>
    <w:rsid w:val="00354DA3"/>
    <w:rsid w:val="0035535B"/>
    <w:rsid w:val="003557CD"/>
    <w:rsid w:val="00355802"/>
    <w:rsid w:val="00362F2E"/>
    <w:rsid w:val="00365C54"/>
    <w:rsid w:val="003700B6"/>
    <w:rsid w:val="00370935"/>
    <w:rsid w:val="00371DB2"/>
    <w:rsid w:val="003729B0"/>
    <w:rsid w:val="00373041"/>
    <w:rsid w:val="003753A8"/>
    <w:rsid w:val="003831C1"/>
    <w:rsid w:val="00393CB1"/>
    <w:rsid w:val="003A5262"/>
    <w:rsid w:val="003B2F39"/>
    <w:rsid w:val="003B3410"/>
    <w:rsid w:val="003B36E9"/>
    <w:rsid w:val="003B6092"/>
    <w:rsid w:val="003C042E"/>
    <w:rsid w:val="003C06AC"/>
    <w:rsid w:val="003C1186"/>
    <w:rsid w:val="003C391B"/>
    <w:rsid w:val="003C4D46"/>
    <w:rsid w:val="003D01B1"/>
    <w:rsid w:val="003D0B70"/>
    <w:rsid w:val="003D72AD"/>
    <w:rsid w:val="003D7F91"/>
    <w:rsid w:val="003E2A48"/>
    <w:rsid w:val="003E2F63"/>
    <w:rsid w:val="003E65CC"/>
    <w:rsid w:val="003E6D22"/>
    <w:rsid w:val="003F2293"/>
    <w:rsid w:val="00400243"/>
    <w:rsid w:val="00405CA6"/>
    <w:rsid w:val="00410C77"/>
    <w:rsid w:val="00411D37"/>
    <w:rsid w:val="00424485"/>
    <w:rsid w:val="004257E1"/>
    <w:rsid w:val="00425AA3"/>
    <w:rsid w:val="004305C8"/>
    <w:rsid w:val="0043312C"/>
    <w:rsid w:val="00436533"/>
    <w:rsid w:val="00436EC1"/>
    <w:rsid w:val="004403E7"/>
    <w:rsid w:val="004423E2"/>
    <w:rsid w:val="00445706"/>
    <w:rsid w:val="0045004A"/>
    <w:rsid w:val="004545F2"/>
    <w:rsid w:val="00454BDA"/>
    <w:rsid w:val="00457C9A"/>
    <w:rsid w:val="004611B1"/>
    <w:rsid w:val="0046258B"/>
    <w:rsid w:val="00466701"/>
    <w:rsid w:val="00471F88"/>
    <w:rsid w:val="00473304"/>
    <w:rsid w:val="00475B06"/>
    <w:rsid w:val="00476840"/>
    <w:rsid w:val="0048152F"/>
    <w:rsid w:val="0048585A"/>
    <w:rsid w:val="0048750F"/>
    <w:rsid w:val="0049066C"/>
    <w:rsid w:val="004912EF"/>
    <w:rsid w:val="004974D1"/>
    <w:rsid w:val="004A1580"/>
    <w:rsid w:val="004A19DD"/>
    <w:rsid w:val="004B0052"/>
    <w:rsid w:val="004B44B5"/>
    <w:rsid w:val="004C13D9"/>
    <w:rsid w:val="004C156B"/>
    <w:rsid w:val="004C1CE2"/>
    <w:rsid w:val="004C51FC"/>
    <w:rsid w:val="004C5BAD"/>
    <w:rsid w:val="004D5319"/>
    <w:rsid w:val="004D797B"/>
    <w:rsid w:val="004E0982"/>
    <w:rsid w:val="004E1DF7"/>
    <w:rsid w:val="004E2D60"/>
    <w:rsid w:val="004E2E62"/>
    <w:rsid w:val="004E3248"/>
    <w:rsid w:val="004E5392"/>
    <w:rsid w:val="004E73A7"/>
    <w:rsid w:val="004F030E"/>
    <w:rsid w:val="004F2DA8"/>
    <w:rsid w:val="004F4FE5"/>
    <w:rsid w:val="004F6112"/>
    <w:rsid w:val="004F6658"/>
    <w:rsid w:val="004F6BFF"/>
    <w:rsid w:val="004F71AE"/>
    <w:rsid w:val="00501E97"/>
    <w:rsid w:val="005038C9"/>
    <w:rsid w:val="00506E8C"/>
    <w:rsid w:val="00506FCF"/>
    <w:rsid w:val="0051294C"/>
    <w:rsid w:val="00512A8D"/>
    <w:rsid w:val="00521013"/>
    <w:rsid w:val="00526943"/>
    <w:rsid w:val="005314A7"/>
    <w:rsid w:val="00532870"/>
    <w:rsid w:val="005428EE"/>
    <w:rsid w:val="00543724"/>
    <w:rsid w:val="0054645B"/>
    <w:rsid w:val="00552B33"/>
    <w:rsid w:val="00553660"/>
    <w:rsid w:val="00553EB2"/>
    <w:rsid w:val="00556E4F"/>
    <w:rsid w:val="00560776"/>
    <w:rsid w:val="00560AFC"/>
    <w:rsid w:val="00560EAF"/>
    <w:rsid w:val="005619A3"/>
    <w:rsid w:val="00562503"/>
    <w:rsid w:val="0056664B"/>
    <w:rsid w:val="00567693"/>
    <w:rsid w:val="00570911"/>
    <w:rsid w:val="005723D7"/>
    <w:rsid w:val="005755EB"/>
    <w:rsid w:val="005757F7"/>
    <w:rsid w:val="0058037E"/>
    <w:rsid w:val="00581411"/>
    <w:rsid w:val="005817F6"/>
    <w:rsid w:val="00593238"/>
    <w:rsid w:val="00597885"/>
    <w:rsid w:val="005A0674"/>
    <w:rsid w:val="005A3838"/>
    <w:rsid w:val="005A3AA9"/>
    <w:rsid w:val="005A3AE6"/>
    <w:rsid w:val="005A3EAE"/>
    <w:rsid w:val="005A4A49"/>
    <w:rsid w:val="005A71F3"/>
    <w:rsid w:val="005A7726"/>
    <w:rsid w:val="005A77D3"/>
    <w:rsid w:val="005B0AE0"/>
    <w:rsid w:val="005B2146"/>
    <w:rsid w:val="005B2738"/>
    <w:rsid w:val="005B2C2E"/>
    <w:rsid w:val="005B3560"/>
    <w:rsid w:val="005B48B6"/>
    <w:rsid w:val="005B4B41"/>
    <w:rsid w:val="005B529F"/>
    <w:rsid w:val="005B612C"/>
    <w:rsid w:val="005B6B32"/>
    <w:rsid w:val="005B77DD"/>
    <w:rsid w:val="005C09F8"/>
    <w:rsid w:val="005C1A18"/>
    <w:rsid w:val="005C1BD8"/>
    <w:rsid w:val="005C2E63"/>
    <w:rsid w:val="005C5E8E"/>
    <w:rsid w:val="005C65E4"/>
    <w:rsid w:val="005D11F6"/>
    <w:rsid w:val="005D1D0B"/>
    <w:rsid w:val="005D72E3"/>
    <w:rsid w:val="005E0E7F"/>
    <w:rsid w:val="005E5A79"/>
    <w:rsid w:val="005F1482"/>
    <w:rsid w:val="005F1E3B"/>
    <w:rsid w:val="0060449D"/>
    <w:rsid w:val="00610F23"/>
    <w:rsid w:val="00613019"/>
    <w:rsid w:val="00621622"/>
    <w:rsid w:val="006226C5"/>
    <w:rsid w:val="00622FB6"/>
    <w:rsid w:val="0062351F"/>
    <w:rsid w:val="00625CE4"/>
    <w:rsid w:val="00631623"/>
    <w:rsid w:val="006316FF"/>
    <w:rsid w:val="00633F34"/>
    <w:rsid w:val="006346F2"/>
    <w:rsid w:val="00642FA5"/>
    <w:rsid w:val="00643E54"/>
    <w:rsid w:val="006520DA"/>
    <w:rsid w:val="00652414"/>
    <w:rsid w:val="0066087C"/>
    <w:rsid w:val="00665D96"/>
    <w:rsid w:val="00672C67"/>
    <w:rsid w:val="006733B9"/>
    <w:rsid w:val="006777F4"/>
    <w:rsid w:val="00680C37"/>
    <w:rsid w:val="0068235A"/>
    <w:rsid w:val="00691F14"/>
    <w:rsid w:val="00693D54"/>
    <w:rsid w:val="00695B4B"/>
    <w:rsid w:val="006A242C"/>
    <w:rsid w:val="006A3E01"/>
    <w:rsid w:val="006A4842"/>
    <w:rsid w:val="006A5F11"/>
    <w:rsid w:val="006B46FE"/>
    <w:rsid w:val="006B5B10"/>
    <w:rsid w:val="006C0BED"/>
    <w:rsid w:val="006C1512"/>
    <w:rsid w:val="006C5E14"/>
    <w:rsid w:val="006E199D"/>
    <w:rsid w:val="006E2154"/>
    <w:rsid w:val="006E526F"/>
    <w:rsid w:val="006E64FA"/>
    <w:rsid w:val="006F2F60"/>
    <w:rsid w:val="006F4261"/>
    <w:rsid w:val="006F5BB5"/>
    <w:rsid w:val="006F63F7"/>
    <w:rsid w:val="006F7720"/>
    <w:rsid w:val="00700D51"/>
    <w:rsid w:val="00701E4E"/>
    <w:rsid w:val="00703AAD"/>
    <w:rsid w:val="00704126"/>
    <w:rsid w:val="00704DC6"/>
    <w:rsid w:val="00706525"/>
    <w:rsid w:val="00707621"/>
    <w:rsid w:val="007171E1"/>
    <w:rsid w:val="00717422"/>
    <w:rsid w:val="00722137"/>
    <w:rsid w:val="00723710"/>
    <w:rsid w:val="00733427"/>
    <w:rsid w:val="00735573"/>
    <w:rsid w:val="00737F68"/>
    <w:rsid w:val="007424E1"/>
    <w:rsid w:val="00742D87"/>
    <w:rsid w:val="00751DC9"/>
    <w:rsid w:val="0075565C"/>
    <w:rsid w:val="007605DC"/>
    <w:rsid w:val="00761F62"/>
    <w:rsid w:val="00762C18"/>
    <w:rsid w:val="00766FB7"/>
    <w:rsid w:val="00772348"/>
    <w:rsid w:val="00772510"/>
    <w:rsid w:val="00773A1D"/>
    <w:rsid w:val="00773F42"/>
    <w:rsid w:val="00774264"/>
    <w:rsid w:val="00775445"/>
    <w:rsid w:val="00780EE2"/>
    <w:rsid w:val="007840FE"/>
    <w:rsid w:val="00784F8B"/>
    <w:rsid w:val="007871EE"/>
    <w:rsid w:val="00793E08"/>
    <w:rsid w:val="00794A76"/>
    <w:rsid w:val="00795D56"/>
    <w:rsid w:val="007962F0"/>
    <w:rsid w:val="00797D92"/>
    <w:rsid w:val="007A0919"/>
    <w:rsid w:val="007A097F"/>
    <w:rsid w:val="007A4200"/>
    <w:rsid w:val="007B3DD4"/>
    <w:rsid w:val="007B5103"/>
    <w:rsid w:val="007B61B8"/>
    <w:rsid w:val="007B6A00"/>
    <w:rsid w:val="007C0D3D"/>
    <w:rsid w:val="007C31AE"/>
    <w:rsid w:val="007C36CD"/>
    <w:rsid w:val="007C3C87"/>
    <w:rsid w:val="007C3D16"/>
    <w:rsid w:val="007C47E4"/>
    <w:rsid w:val="007C4FF4"/>
    <w:rsid w:val="007D2436"/>
    <w:rsid w:val="007D2B3D"/>
    <w:rsid w:val="007D444F"/>
    <w:rsid w:val="007D4E58"/>
    <w:rsid w:val="007D56C8"/>
    <w:rsid w:val="007D7F00"/>
    <w:rsid w:val="007E1CCC"/>
    <w:rsid w:val="007E459A"/>
    <w:rsid w:val="007E4929"/>
    <w:rsid w:val="007E720E"/>
    <w:rsid w:val="007E72F0"/>
    <w:rsid w:val="007F009F"/>
    <w:rsid w:val="007F0BF3"/>
    <w:rsid w:val="007F0D47"/>
    <w:rsid w:val="007F2B03"/>
    <w:rsid w:val="007F33BC"/>
    <w:rsid w:val="007F6C9D"/>
    <w:rsid w:val="00800BE6"/>
    <w:rsid w:val="0080256D"/>
    <w:rsid w:val="00802E22"/>
    <w:rsid w:val="00812702"/>
    <w:rsid w:val="008137A2"/>
    <w:rsid w:val="0081659F"/>
    <w:rsid w:val="008165F1"/>
    <w:rsid w:val="008235B6"/>
    <w:rsid w:val="008329A5"/>
    <w:rsid w:val="00832C53"/>
    <w:rsid w:val="008353A0"/>
    <w:rsid w:val="00846B19"/>
    <w:rsid w:val="008509A5"/>
    <w:rsid w:val="008521F8"/>
    <w:rsid w:val="00852E79"/>
    <w:rsid w:val="008550E4"/>
    <w:rsid w:val="00855CA7"/>
    <w:rsid w:val="00855F3C"/>
    <w:rsid w:val="00857998"/>
    <w:rsid w:val="00862373"/>
    <w:rsid w:val="008702C7"/>
    <w:rsid w:val="008814B7"/>
    <w:rsid w:val="00882EDF"/>
    <w:rsid w:val="008855D8"/>
    <w:rsid w:val="00885B43"/>
    <w:rsid w:val="00885EDD"/>
    <w:rsid w:val="00891909"/>
    <w:rsid w:val="0089196E"/>
    <w:rsid w:val="00894546"/>
    <w:rsid w:val="008956AE"/>
    <w:rsid w:val="008962B9"/>
    <w:rsid w:val="008B27AB"/>
    <w:rsid w:val="008B474A"/>
    <w:rsid w:val="008B4752"/>
    <w:rsid w:val="008C0F7F"/>
    <w:rsid w:val="008C19A0"/>
    <w:rsid w:val="008C4263"/>
    <w:rsid w:val="008C5F52"/>
    <w:rsid w:val="008D1294"/>
    <w:rsid w:val="008D4748"/>
    <w:rsid w:val="008D493B"/>
    <w:rsid w:val="008E15CC"/>
    <w:rsid w:val="008E5F67"/>
    <w:rsid w:val="008E7EF2"/>
    <w:rsid w:val="008F0D75"/>
    <w:rsid w:val="00912649"/>
    <w:rsid w:val="009141CE"/>
    <w:rsid w:val="00914978"/>
    <w:rsid w:val="0092032F"/>
    <w:rsid w:val="00921CBB"/>
    <w:rsid w:val="009220F6"/>
    <w:rsid w:val="00923540"/>
    <w:rsid w:val="009238C5"/>
    <w:rsid w:val="00925615"/>
    <w:rsid w:val="00926CE3"/>
    <w:rsid w:val="00927493"/>
    <w:rsid w:val="00930153"/>
    <w:rsid w:val="00936842"/>
    <w:rsid w:val="00944770"/>
    <w:rsid w:val="00950C79"/>
    <w:rsid w:val="00952E84"/>
    <w:rsid w:val="00952F21"/>
    <w:rsid w:val="00954DE5"/>
    <w:rsid w:val="00956D46"/>
    <w:rsid w:val="00957FE6"/>
    <w:rsid w:val="00961F56"/>
    <w:rsid w:val="00973D9E"/>
    <w:rsid w:val="00973DF8"/>
    <w:rsid w:val="00975B93"/>
    <w:rsid w:val="009803F9"/>
    <w:rsid w:val="00981623"/>
    <w:rsid w:val="0098375F"/>
    <w:rsid w:val="0098511D"/>
    <w:rsid w:val="00985485"/>
    <w:rsid w:val="00986075"/>
    <w:rsid w:val="00991298"/>
    <w:rsid w:val="00991A54"/>
    <w:rsid w:val="009932BD"/>
    <w:rsid w:val="009934FA"/>
    <w:rsid w:val="00994166"/>
    <w:rsid w:val="009A14E2"/>
    <w:rsid w:val="009B00C3"/>
    <w:rsid w:val="009B0CBC"/>
    <w:rsid w:val="009C0139"/>
    <w:rsid w:val="009C0E57"/>
    <w:rsid w:val="009C2F7D"/>
    <w:rsid w:val="009C55FF"/>
    <w:rsid w:val="009D6A3C"/>
    <w:rsid w:val="009D6EB2"/>
    <w:rsid w:val="009E3332"/>
    <w:rsid w:val="009E41C3"/>
    <w:rsid w:val="009E761C"/>
    <w:rsid w:val="009F0156"/>
    <w:rsid w:val="009F0F45"/>
    <w:rsid w:val="009F1E08"/>
    <w:rsid w:val="009F33A3"/>
    <w:rsid w:val="009F5379"/>
    <w:rsid w:val="009F698B"/>
    <w:rsid w:val="00A0033D"/>
    <w:rsid w:val="00A03EC8"/>
    <w:rsid w:val="00A0604C"/>
    <w:rsid w:val="00A11B0D"/>
    <w:rsid w:val="00A120BD"/>
    <w:rsid w:val="00A176AA"/>
    <w:rsid w:val="00A205D5"/>
    <w:rsid w:val="00A239B4"/>
    <w:rsid w:val="00A23D5F"/>
    <w:rsid w:val="00A25AFF"/>
    <w:rsid w:val="00A32DC9"/>
    <w:rsid w:val="00A33349"/>
    <w:rsid w:val="00A33FE6"/>
    <w:rsid w:val="00A44D43"/>
    <w:rsid w:val="00A452D2"/>
    <w:rsid w:val="00A470EC"/>
    <w:rsid w:val="00A50C4A"/>
    <w:rsid w:val="00A50F78"/>
    <w:rsid w:val="00A51224"/>
    <w:rsid w:val="00A5755C"/>
    <w:rsid w:val="00A63E56"/>
    <w:rsid w:val="00A66FD8"/>
    <w:rsid w:val="00A670EA"/>
    <w:rsid w:val="00A7100E"/>
    <w:rsid w:val="00A71A98"/>
    <w:rsid w:val="00A7291A"/>
    <w:rsid w:val="00A7417E"/>
    <w:rsid w:val="00A819B1"/>
    <w:rsid w:val="00A9009D"/>
    <w:rsid w:val="00A9242A"/>
    <w:rsid w:val="00A92BC1"/>
    <w:rsid w:val="00AA28F0"/>
    <w:rsid w:val="00AA2C54"/>
    <w:rsid w:val="00AA3EF4"/>
    <w:rsid w:val="00AA65DC"/>
    <w:rsid w:val="00AA7CBC"/>
    <w:rsid w:val="00AB36D0"/>
    <w:rsid w:val="00AB4CA0"/>
    <w:rsid w:val="00AB59CA"/>
    <w:rsid w:val="00AB60CB"/>
    <w:rsid w:val="00AC0C78"/>
    <w:rsid w:val="00AC175C"/>
    <w:rsid w:val="00AC4BC5"/>
    <w:rsid w:val="00AC6896"/>
    <w:rsid w:val="00AD4ACE"/>
    <w:rsid w:val="00AD4BAD"/>
    <w:rsid w:val="00AD5676"/>
    <w:rsid w:val="00AD5886"/>
    <w:rsid w:val="00AD6E3F"/>
    <w:rsid w:val="00AE08D5"/>
    <w:rsid w:val="00AE3466"/>
    <w:rsid w:val="00AF1471"/>
    <w:rsid w:val="00AF36BF"/>
    <w:rsid w:val="00AF53EC"/>
    <w:rsid w:val="00AF647B"/>
    <w:rsid w:val="00B010E5"/>
    <w:rsid w:val="00B048AA"/>
    <w:rsid w:val="00B13870"/>
    <w:rsid w:val="00B1500D"/>
    <w:rsid w:val="00B1629F"/>
    <w:rsid w:val="00B1672F"/>
    <w:rsid w:val="00B17295"/>
    <w:rsid w:val="00B30486"/>
    <w:rsid w:val="00B3494F"/>
    <w:rsid w:val="00B427DC"/>
    <w:rsid w:val="00B44119"/>
    <w:rsid w:val="00B4671F"/>
    <w:rsid w:val="00B50F62"/>
    <w:rsid w:val="00B55AA4"/>
    <w:rsid w:val="00B60779"/>
    <w:rsid w:val="00B61496"/>
    <w:rsid w:val="00B63E05"/>
    <w:rsid w:val="00B66717"/>
    <w:rsid w:val="00B67AA7"/>
    <w:rsid w:val="00B72669"/>
    <w:rsid w:val="00B76DF4"/>
    <w:rsid w:val="00B76EEF"/>
    <w:rsid w:val="00B776C1"/>
    <w:rsid w:val="00B867D1"/>
    <w:rsid w:val="00B92977"/>
    <w:rsid w:val="00B92987"/>
    <w:rsid w:val="00B9437F"/>
    <w:rsid w:val="00B96073"/>
    <w:rsid w:val="00B962B5"/>
    <w:rsid w:val="00B968F0"/>
    <w:rsid w:val="00B96DB3"/>
    <w:rsid w:val="00BA2D4B"/>
    <w:rsid w:val="00BA3FBD"/>
    <w:rsid w:val="00BA7F8D"/>
    <w:rsid w:val="00BB48CE"/>
    <w:rsid w:val="00BB4CED"/>
    <w:rsid w:val="00BB57BA"/>
    <w:rsid w:val="00BB67B3"/>
    <w:rsid w:val="00BC3CDC"/>
    <w:rsid w:val="00BC4382"/>
    <w:rsid w:val="00BC5D5E"/>
    <w:rsid w:val="00BC6D9B"/>
    <w:rsid w:val="00BC7D69"/>
    <w:rsid w:val="00BC7FC3"/>
    <w:rsid w:val="00BD5B4F"/>
    <w:rsid w:val="00BD7B20"/>
    <w:rsid w:val="00BE0E9A"/>
    <w:rsid w:val="00BE4D46"/>
    <w:rsid w:val="00BE4D54"/>
    <w:rsid w:val="00BE72CC"/>
    <w:rsid w:val="00BF0580"/>
    <w:rsid w:val="00BF185A"/>
    <w:rsid w:val="00BF2DD0"/>
    <w:rsid w:val="00C01970"/>
    <w:rsid w:val="00C032A0"/>
    <w:rsid w:val="00C05C98"/>
    <w:rsid w:val="00C06939"/>
    <w:rsid w:val="00C0782F"/>
    <w:rsid w:val="00C20DBD"/>
    <w:rsid w:val="00C246E2"/>
    <w:rsid w:val="00C24BCF"/>
    <w:rsid w:val="00C27505"/>
    <w:rsid w:val="00C30F82"/>
    <w:rsid w:val="00C35EEA"/>
    <w:rsid w:val="00C40F18"/>
    <w:rsid w:val="00C41F0D"/>
    <w:rsid w:val="00C42F38"/>
    <w:rsid w:val="00C5033A"/>
    <w:rsid w:val="00C50B8F"/>
    <w:rsid w:val="00C525DF"/>
    <w:rsid w:val="00C52DB2"/>
    <w:rsid w:val="00C546DD"/>
    <w:rsid w:val="00C54918"/>
    <w:rsid w:val="00C553C3"/>
    <w:rsid w:val="00C64A12"/>
    <w:rsid w:val="00C650DE"/>
    <w:rsid w:val="00C66303"/>
    <w:rsid w:val="00C66BB9"/>
    <w:rsid w:val="00C7017C"/>
    <w:rsid w:val="00C73986"/>
    <w:rsid w:val="00C7746B"/>
    <w:rsid w:val="00C77C77"/>
    <w:rsid w:val="00C8105F"/>
    <w:rsid w:val="00C81379"/>
    <w:rsid w:val="00C816B2"/>
    <w:rsid w:val="00C81970"/>
    <w:rsid w:val="00C87101"/>
    <w:rsid w:val="00C94D24"/>
    <w:rsid w:val="00C967CD"/>
    <w:rsid w:val="00CA0B2C"/>
    <w:rsid w:val="00CA1024"/>
    <w:rsid w:val="00CA290E"/>
    <w:rsid w:val="00CA3A89"/>
    <w:rsid w:val="00CA4EA9"/>
    <w:rsid w:val="00CB2ED2"/>
    <w:rsid w:val="00CB5DCB"/>
    <w:rsid w:val="00CC0015"/>
    <w:rsid w:val="00CC263F"/>
    <w:rsid w:val="00CD19EE"/>
    <w:rsid w:val="00CD2C52"/>
    <w:rsid w:val="00CD602C"/>
    <w:rsid w:val="00CD62C1"/>
    <w:rsid w:val="00CD7481"/>
    <w:rsid w:val="00CE2A66"/>
    <w:rsid w:val="00CE375B"/>
    <w:rsid w:val="00CE7232"/>
    <w:rsid w:val="00CE79D7"/>
    <w:rsid w:val="00CF1C01"/>
    <w:rsid w:val="00CF390A"/>
    <w:rsid w:val="00D023CF"/>
    <w:rsid w:val="00D043F3"/>
    <w:rsid w:val="00D11F90"/>
    <w:rsid w:val="00D126D3"/>
    <w:rsid w:val="00D12DF6"/>
    <w:rsid w:val="00D21546"/>
    <w:rsid w:val="00D22A0E"/>
    <w:rsid w:val="00D241C5"/>
    <w:rsid w:val="00D24F9A"/>
    <w:rsid w:val="00D25230"/>
    <w:rsid w:val="00D345C2"/>
    <w:rsid w:val="00D35886"/>
    <w:rsid w:val="00D37A72"/>
    <w:rsid w:val="00D41BFE"/>
    <w:rsid w:val="00D42B90"/>
    <w:rsid w:val="00D520F5"/>
    <w:rsid w:val="00D5213E"/>
    <w:rsid w:val="00D52723"/>
    <w:rsid w:val="00D530E5"/>
    <w:rsid w:val="00D54714"/>
    <w:rsid w:val="00D604F2"/>
    <w:rsid w:val="00D658CF"/>
    <w:rsid w:val="00D74542"/>
    <w:rsid w:val="00D74D35"/>
    <w:rsid w:val="00D77B41"/>
    <w:rsid w:val="00D80278"/>
    <w:rsid w:val="00D81180"/>
    <w:rsid w:val="00D857F6"/>
    <w:rsid w:val="00D9349A"/>
    <w:rsid w:val="00DA0D5E"/>
    <w:rsid w:val="00DA16AA"/>
    <w:rsid w:val="00DA30BF"/>
    <w:rsid w:val="00DA3FE8"/>
    <w:rsid w:val="00DA50C9"/>
    <w:rsid w:val="00DB1CEE"/>
    <w:rsid w:val="00DB3E9E"/>
    <w:rsid w:val="00DB591E"/>
    <w:rsid w:val="00DC30C9"/>
    <w:rsid w:val="00DD0D6E"/>
    <w:rsid w:val="00DD18CE"/>
    <w:rsid w:val="00DD1A16"/>
    <w:rsid w:val="00DD42EC"/>
    <w:rsid w:val="00DE0681"/>
    <w:rsid w:val="00DE5FDB"/>
    <w:rsid w:val="00DF0128"/>
    <w:rsid w:val="00DF2564"/>
    <w:rsid w:val="00DF2DC2"/>
    <w:rsid w:val="00DF5F9F"/>
    <w:rsid w:val="00E012CA"/>
    <w:rsid w:val="00E04A97"/>
    <w:rsid w:val="00E05A01"/>
    <w:rsid w:val="00E20678"/>
    <w:rsid w:val="00E23D9D"/>
    <w:rsid w:val="00E30145"/>
    <w:rsid w:val="00E32CDA"/>
    <w:rsid w:val="00E42B8D"/>
    <w:rsid w:val="00E42DFA"/>
    <w:rsid w:val="00E45770"/>
    <w:rsid w:val="00E520D2"/>
    <w:rsid w:val="00E52F69"/>
    <w:rsid w:val="00E55C18"/>
    <w:rsid w:val="00E6288B"/>
    <w:rsid w:val="00E638E7"/>
    <w:rsid w:val="00E65313"/>
    <w:rsid w:val="00E702FB"/>
    <w:rsid w:val="00E71137"/>
    <w:rsid w:val="00E72EC0"/>
    <w:rsid w:val="00E750D4"/>
    <w:rsid w:val="00E767B8"/>
    <w:rsid w:val="00E808C9"/>
    <w:rsid w:val="00E8326A"/>
    <w:rsid w:val="00E91974"/>
    <w:rsid w:val="00E9307D"/>
    <w:rsid w:val="00E96C5B"/>
    <w:rsid w:val="00EA10FE"/>
    <w:rsid w:val="00EA17F8"/>
    <w:rsid w:val="00EA5CFD"/>
    <w:rsid w:val="00EB0631"/>
    <w:rsid w:val="00EB09CB"/>
    <w:rsid w:val="00EB3C5A"/>
    <w:rsid w:val="00EB3D74"/>
    <w:rsid w:val="00EC0B6B"/>
    <w:rsid w:val="00EC1538"/>
    <w:rsid w:val="00EC3057"/>
    <w:rsid w:val="00ED0F91"/>
    <w:rsid w:val="00ED2DB3"/>
    <w:rsid w:val="00ED3D82"/>
    <w:rsid w:val="00ED4051"/>
    <w:rsid w:val="00ED4F45"/>
    <w:rsid w:val="00ED746E"/>
    <w:rsid w:val="00EE1598"/>
    <w:rsid w:val="00EE262B"/>
    <w:rsid w:val="00EE31D1"/>
    <w:rsid w:val="00EE664B"/>
    <w:rsid w:val="00EE68D1"/>
    <w:rsid w:val="00EE714E"/>
    <w:rsid w:val="00EF32F9"/>
    <w:rsid w:val="00EF57A8"/>
    <w:rsid w:val="00EF5B65"/>
    <w:rsid w:val="00EF6352"/>
    <w:rsid w:val="00EF79CB"/>
    <w:rsid w:val="00EF7E0B"/>
    <w:rsid w:val="00F007E2"/>
    <w:rsid w:val="00F00D24"/>
    <w:rsid w:val="00F02180"/>
    <w:rsid w:val="00F026BD"/>
    <w:rsid w:val="00F06630"/>
    <w:rsid w:val="00F156D9"/>
    <w:rsid w:val="00F1602D"/>
    <w:rsid w:val="00F22B29"/>
    <w:rsid w:val="00F235BF"/>
    <w:rsid w:val="00F2564B"/>
    <w:rsid w:val="00F2628D"/>
    <w:rsid w:val="00F27DBF"/>
    <w:rsid w:val="00F300F5"/>
    <w:rsid w:val="00F311F9"/>
    <w:rsid w:val="00F355E6"/>
    <w:rsid w:val="00F35FE4"/>
    <w:rsid w:val="00F401E7"/>
    <w:rsid w:val="00F407B4"/>
    <w:rsid w:val="00F43CA4"/>
    <w:rsid w:val="00F607FD"/>
    <w:rsid w:val="00F63729"/>
    <w:rsid w:val="00F65C5A"/>
    <w:rsid w:val="00F709BD"/>
    <w:rsid w:val="00F70A8D"/>
    <w:rsid w:val="00F70DD5"/>
    <w:rsid w:val="00F70E49"/>
    <w:rsid w:val="00F71AA1"/>
    <w:rsid w:val="00F71F1F"/>
    <w:rsid w:val="00F752F3"/>
    <w:rsid w:val="00F80559"/>
    <w:rsid w:val="00F81F29"/>
    <w:rsid w:val="00F82F1C"/>
    <w:rsid w:val="00F83396"/>
    <w:rsid w:val="00F83FF1"/>
    <w:rsid w:val="00F849FD"/>
    <w:rsid w:val="00F90219"/>
    <w:rsid w:val="00F91559"/>
    <w:rsid w:val="00F94A92"/>
    <w:rsid w:val="00F96038"/>
    <w:rsid w:val="00F97984"/>
    <w:rsid w:val="00FA06B5"/>
    <w:rsid w:val="00FA2A9E"/>
    <w:rsid w:val="00FA2BBA"/>
    <w:rsid w:val="00FA3B5D"/>
    <w:rsid w:val="00FB0967"/>
    <w:rsid w:val="00FB2B52"/>
    <w:rsid w:val="00FB3455"/>
    <w:rsid w:val="00FB5138"/>
    <w:rsid w:val="00FC00A0"/>
    <w:rsid w:val="00FC031C"/>
    <w:rsid w:val="00FD112F"/>
    <w:rsid w:val="00FD1419"/>
    <w:rsid w:val="00FD6A76"/>
    <w:rsid w:val="00FE0388"/>
    <w:rsid w:val="00FE1D1B"/>
    <w:rsid w:val="00FE20DB"/>
    <w:rsid w:val="00FF07F9"/>
    <w:rsid w:val="00FF4C67"/>
    <w:rsid w:val="022A731E"/>
    <w:rsid w:val="02A64119"/>
    <w:rsid w:val="043D6C25"/>
    <w:rsid w:val="048667D3"/>
    <w:rsid w:val="049E006D"/>
    <w:rsid w:val="054C634F"/>
    <w:rsid w:val="07BD0E51"/>
    <w:rsid w:val="08DB7764"/>
    <w:rsid w:val="0C9A6ED5"/>
    <w:rsid w:val="100603AC"/>
    <w:rsid w:val="10F1631B"/>
    <w:rsid w:val="12A93FD5"/>
    <w:rsid w:val="130C2FEE"/>
    <w:rsid w:val="13CE1647"/>
    <w:rsid w:val="17B84A32"/>
    <w:rsid w:val="19B01875"/>
    <w:rsid w:val="1A1C1CFA"/>
    <w:rsid w:val="1AD4001C"/>
    <w:rsid w:val="1C3E1334"/>
    <w:rsid w:val="1CFD4AD4"/>
    <w:rsid w:val="1D070020"/>
    <w:rsid w:val="1EB274DF"/>
    <w:rsid w:val="20106F8E"/>
    <w:rsid w:val="22B36787"/>
    <w:rsid w:val="231125AC"/>
    <w:rsid w:val="24077BFF"/>
    <w:rsid w:val="26A5092E"/>
    <w:rsid w:val="28260401"/>
    <w:rsid w:val="2B110340"/>
    <w:rsid w:val="2CF51D47"/>
    <w:rsid w:val="2F640DE8"/>
    <w:rsid w:val="31190CC6"/>
    <w:rsid w:val="33FD7752"/>
    <w:rsid w:val="37922635"/>
    <w:rsid w:val="379540A7"/>
    <w:rsid w:val="3989156E"/>
    <w:rsid w:val="3A15477F"/>
    <w:rsid w:val="3A242466"/>
    <w:rsid w:val="3C47334E"/>
    <w:rsid w:val="3CB26D1E"/>
    <w:rsid w:val="3EF07F7A"/>
    <w:rsid w:val="43ED3C40"/>
    <w:rsid w:val="495323ED"/>
    <w:rsid w:val="4AF3601A"/>
    <w:rsid w:val="4BA315C9"/>
    <w:rsid w:val="4CC6446A"/>
    <w:rsid w:val="544D740E"/>
    <w:rsid w:val="55AE0FCF"/>
    <w:rsid w:val="58FE18D5"/>
    <w:rsid w:val="594914BB"/>
    <w:rsid w:val="5CA82CD1"/>
    <w:rsid w:val="5FCE09A6"/>
    <w:rsid w:val="60ED5F11"/>
    <w:rsid w:val="64122457"/>
    <w:rsid w:val="646426D5"/>
    <w:rsid w:val="64BC4F31"/>
    <w:rsid w:val="64C3416F"/>
    <w:rsid w:val="6624577F"/>
    <w:rsid w:val="67161F83"/>
    <w:rsid w:val="68817BAC"/>
    <w:rsid w:val="68DB6F84"/>
    <w:rsid w:val="6A1706CF"/>
    <w:rsid w:val="6A563FBC"/>
    <w:rsid w:val="6A7E3167"/>
    <w:rsid w:val="6D873407"/>
    <w:rsid w:val="6DA24319"/>
    <w:rsid w:val="6EA81B75"/>
    <w:rsid w:val="6FE35A27"/>
    <w:rsid w:val="72167982"/>
    <w:rsid w:val="739B783A"/>
    <w:rsid w:val="75536D10"/>
    <w:rsid w:val="75B30C82"/>
    <w:rsid w:val="76B57CE1"/>
    <w:rsid w:val="770E7892"/>
    <w:rsid w:val="77980A6E"/>
    <w:rsid w:val="77F71564"/>
    <w:rsid w:val="792A54A4"/>
    <w:rsid w:val="79F1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25615"/>
    <w:rPr>
      <w:sz w:val="18"/>
      <w:szCs w:val="18"/>
    </w:rPr>
  </w:style>
  <w:style w:type="paragraph" w:styleId="a4">
    <w:name w:val="footer"/>
    <w:basedOn w:val="a"/>
    <w:link w:val="Char"/>
    <w:qFormat/>
    <w:rsid w:val="00925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2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256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925615"/>
  </w:style>
  <w:style w:type="character" w:styleId="a8">
    <w:name w:val="Hyperlink"/>
    <w:qFormat/>
    <w:rsid w:val="00925615"/>
    <w:rPr>
      <w:color w:val="0000FF"/>
      <w:u w:val="single"/>
    </w:rPr>
  </w:style>
  <w:style w:type="character" w:customStyle="1" w:styleId="1">
    <w:name w:val="已访问的超链接1"/>
    <w:qFormat/>
    <w:rsid w:val="00925615"/>
    <w:rPr>
      <w:color w:val="800080"/>
      <w:u w:val="single"/>
    </w:rPr>
  </w:style>
  <w:style w:type="character" w:customStyle="1" w:styleId="Char0">
    <w:name w:val="页眉 Char"/>
    <w:link w:val="a5"/>
    <w:qFormat/>
    <w:rsid w:val="00925615"/>
    <w:rPr>
      <w:kern w:val="2"/>
      <w:sz w:val="18"/>
      <w:szCs w:val="18"/>
    </w:rPr>
  </w:style>
  <w:style w:type="character" w:customStyle="1" w:styleId="Char">
    <w:name w:val="页脚 Char"/>
    <w:link w:val="a4"/>
    <w:qFormat/>
    <w:rsid w:val="00925615"/>
    <w:rPr>
      <w:kern w:val="2"/>
      <w:sz w:val="18"/>
      <w:szCs w:val="18"/>
    </w:rPr>
  </w:style>
  <w:style w:type="paragraph" w:customStyle="1" w:styleId="21">
    <w:name w:val="目录 21"/>
    <w:basedOn w:val="a"/>
    <w:next w:val="a"/>
    <w:uiPriority w:val="39"/>
    <w:qFormat/>
    <w:rsid w:val="00925615"/>
    <w:pPr>
      <w:tabs>
        <w:tab w:val="right" w:leader="dot" w:pos="8494"/>
      </w:tabs>
      <w:spacing w:line="560" w:lineRule="exact"/>
      <w:ind w:left="210"/>
      <w:jc w:val="left"/>
    </w:pPr>
    <w:rPr>
      <w:rFonts w:ascii="仿宋_GB2312" w:eastAsia="仿宋_GB2312" w:hAnsi="Calibri" w:cs="Calibri"/>
      <w:smallCaps/>
      <w:sz w:val="28"/>
      <w:szCs w:val="28"/>
    </w:rPr>
  </w:style>
  <w:style w:type="paragraph" w:customStyle="1" w:styleId="11">
    <w:name w:val="目录 11"/>
    <w:basedOn w:val="a"/>
    <w:next w:val="a"/>
    <w:uiPriority w:val="39"/>
    <w:qFormat/>
    <w:rsid w:val="00925615"/>
    <w:pPr>
      <w:tabs>
        <w:tab w:val="left" w:pos="840"/>
        <w:tab w:val="right" w:leader="dot" w:pos="8296"/>
      </w:tabs>
      <w:spacing w:line="560" w:lineRule="exact"/>
      <w:jc w:val="left"/>
    </w:pPr>
    <w:rPr>
      <w:rFonts w:ascii="仿宋_GB2312" w:eastAsia="仿宋_GB2312" w:hAnsi="新宋体" w:cs="Calibri"/>
      <w:b/>
      <w:bCs/>
      <w:caps/>
      <w:sz w:val="28"/>
      <w:szCs w:val="28"/>
    </w:rPr>
  </w:style>
  <w:style w:type="paragraph" w:customStyle="1" w:styleId="CharCharCharCharCharCharChar">
    <w:name w:val="Char Char Char Char Char Char Char"/>
    <w:basedOn w:val="a"/>
    <w:qFormat/>
    <w:rsid w:val="00925615"/>
    <w:rPr>
      <w:szCs w:val="21"/>
    </w:rPr>
  </w:style>
  <w:style w:type="paragraph" w:customStyle="1" w:styleId="10">
    <w:name w:val="列出段落1"/>
    <w:basedOn w:val="a"/>
    <w:uiPriority w:val="34"/>
    <w:qFormat/>
    <w:rsid w:val="0092561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3478</Words>
  <Characters>1352</Characters>
  <Application>Microsoft Office Word</Application>
  <DocSecurity>0</DocSecurity>
  <Lines>11</Lines>
  <Paragraphs>9</Paragraphs>
  <ScaleCrop>false</ScaleCrop>
  <Company>czj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关于进行本市部门整体支出</dc:title>
  <dc:creator>傅海英</dc:creator>
  <cp:lastModifiedBy>xl</cp:lastModifiedBy>
  <cp:revision>4</cp:revision>
  <cp:lastPrinted>2025-09-29T06:42:00Z</cp:lastPrinted>
  <dcterms:created xsi:type="dcterms:W3CDTF">2025-09-23T02:53:00Z</dcterms:created>
  <dcterms:modified xsi:type="dcterms:W3CDTF">2025-09-29T06:46:00Z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739EEDB2ECE141DEAF0C3D87D58590AD_13</vt:lpwstr>
  </property>
  <property fmtid="{D5CDD505-2E9C-101B-9397-08002B2CF9AE}" pid="4" name="KSOTemplateDocerSaveRecord">
    <vt:lpwstr>eyJoZGlkIjoiYjI2ZWIxNzBhOWM3YmNkMjVjMWZjMWQ2NzA4MDFlZmYiLCJ1c2VySWQiOiIxNDU0MjIwNjc4In0=</vt:lpwstr>
  </property>
</Properties>
</file>