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5790D">
      <w:pPr>
        <w:rPr>
          <w:rFonts w:eastAsia="仿宋_GB2312"/>
          <w:sz w:val="30"/>
        </w:rPr>
      </w:pPr>
    </w:p>
    <w:p w14:paraId="23C86ED4">
      <w:pPr>
        <w:spacing w:line="360" w:lineRule="auto"/>
        <w:jc w:val="center"/>
        <w:rPr>
          <w:rFonts w:ascii="黑体" w:hAnsi="黑体" w:eastAsia="黑体"/>
          <w:sz w:val="32"/>
          <w:szCs w:val="32"/>
        </w:rPr>
      </w:pPr>
      <w:r>
        <w:rPr>
          <w:rFonts w:hint="eastAsia" w:ascii="黑体" w:hAnsi="黑体" w:eastAsia="黑体"/>
          <w:sz w:val="32"/>
          <w:szCs w:val="32"/>
        </w:rPr>
        <w:t>苏州市市级预算部门（单位）整体支出预算绩效自评报告</w:t>
      </w:r>
    </w:p>
    <w:p w14:paraId="64673591">
      <w:pPr>
        <w:spacing w:line="360" w:lineRule="auto"/>
        <w:jc w:val="center"/>
        <w:rPr>
          <w:rFonts w:ascii="黑体" w:eastAsia="黑体"/>
          <w:sz w:val="32"/>
          <w:szCs w:val="32"/>
        </w:rPr>
      </w:pPr>
      <w:r>
        <w:rPr>
          <w:rFonts w:hint="eastAsia" w:ascii="黑体" w:eastAsia="黑体"/>
          <w:sz w:val="32"/>
          <w:szCs w:val="32"/>
        </w:rPr>
        <w:t>（2024年度）</w:t>
      </w:r>
    </w:p>
    <w:p w14:paraId="59F1BD6F">
      <w:pPr>
        <w:spacing w:line="360" w:lineRule="auto"/>
        <w:jc w:val="center"/>
        <w:rPr>
          <w:rFonts w:eastAsia="仿宋_GB2312"/>
          <w:sz w:val="30"/>
        </w:rPr>
      </w:pPr>
    </w:p>
    <w:p w14:paraId="6A4AB2CC">
      <w:pPr>
        <w:spacing w:line="360" w:lineRule="auto"/>
        <w:ind w:firstLine="600" w:firstLineChars="200"/>
        <w:rPr>
          <w:rFonts w:ascii="黑体" w:hAnsi="黑体" w:eastAsia="黑体"/>
          <w:sz w:val="30"/>
        </w:rPr>
      </w:pPr>
      <w:r>
        <w:rPr>
          <w:rFonts w:hint="eastAsia" w:ascii="黑体" w:hAnsi="黑体" w:eastAsia="黑体"/>
          <w:sz w:val="30"/>
        </w:rPr>
        <w:t>一、预算部门名称：</w:t>
      </w:r>
      <w:r>
        <w:rPr>
          <w:rFonts w:hint="eastAsia" w:ascii="宋体" w:hAnsi="宋体" w:cs="宋体"/>
          <w:sz w:val="24"/>
        </w:rPr>
        <w:t>苏州市住房公积金管理中心吴江分中心</w:t>
      </w:r>
    </w:p>
    <w:p w14:paraId="75DF8D24">
      <w:pPr>
        <w:spacing w:line="360" w:lineRule="auto"/>
        <w:ind w:firstLine="600" w:firstLineChars="200"/>
        <w:rPr>
          <w:rFonts w:ascii="黑体" w:hAnsi="黑体" w:eastAsia="黑体"/>
          <w:sz w:val="30"/>
        </w:rPr>
      </w:pPr>
      <w:r>
        <w:rPr>
          <w:rFonts w:hint="eastAsia" w:ascii="黑体" w:hAnsi="黑体" w:eastAsia="黑体"/>
          <w:sz w:val="30"/>
        </w:rPr>
        <w:t>二、</w:t>
      </w:r>
      <w:r>
        <w:rPr>
          <w:rFonts w:ascii="黑体" w:hAnsi="黑体" w:eastAsia="黑体"/>
          <w:sz w:val="30"/>
        </w:rPr>
        <w:t>年度履职目标完成情况</w:t>
      </w:r>
      <w:r>
        <w:rPr>
          <w:rFonts w:hint="eastAsia" w:ascii="黑体" w:hAnsi="黑体" w:eastAsia="黑体"/>
          <w:sz w:val="30"/>
        </w:rPr>
        <w:t>：</w:t>
      </w:r>
    </w:p>
    <w:p w14:paraId="03721D89">
      <w:pPr>
        <w:spacing w:line="360" w:lineRule="auto"/>
        <w:ind w:firstLine="480" w:firstLineChars="200"/>
        <w:rPr>
          <w:rFonts w:ascii="宋体" w:hAnsi="宋体" w:cs="宋体"/>
          <w:sz w:val="24"/>
        </w:rPr>
      </w:pPr>
      <w:r>
        <w:rPr>
          <w:rFonts w:hint="eastAsia" w:ascii="宋体" w:hAnsi="宋体" w:cs="宋体"/>
          <w:sz w:val="24"/>
        </w:rPr>
        <w:t>吴江分中心深入贯彻落实上级决策部署，积极开展资源交流与共享，稳步推进各项工作目标和任务。一是政银助推，加大制度扩面力。根据年度目标任务，按镇区、街道制定扩面计划，以区政府住房公积金扩面重点部署会为抓手，分解任务、落实责任，因地制宜，不断提高住房公积金覆盖面。加大对委托银行的考核督导，完善委托协议和考核办法，落实正向激励和负面清单，激发受托银行工作热情，提高服务水平。通过走访对接，落实新开户企业在社保开户的同时做好公积金开户。二是精准直达，持续释放政策红利。上调公积金贷款最高限额、下调贷款利率、跨区域购房享受首套房贷款利率、降低首付比例、加大军人贷款支持力度，拓宽支持范围、助力城市更新，促进房地产市场平稳健康发展。成功发放全市首笔法拍房“带押过户”公积金贷款，降低购买人筹措资金压力和竞买成本。推进公积金贷款支持房票安置购置新房措施，积极磋商研究房票首付款凭证认定，助力群众居住品质改善。完成吴江首笔使用数字人民币提前偿还贷款业务，实现数字人民币公积金全业务场景。9月30日，吴江首笔线下“一件事”公积金（组合）贷款顺利办结，实现业务集成办理、高效办成。三是服务延伸，拓宽区域服务供给。与开发区组织人事局、贵州省驻江苏省劳务协作总站、工商银行示范区分行四方签署结对共建协议，在引才、育才、留才等人才成长全链条上充分发挥四方的强链、延链、补链作用，助力黔籍人才乐居吴江。借助银行网点、便民服务中心、特殊载体等，就近就易推进“公积金诚意服务站”建设。四是跨域共进，共享一体化协作成果。充分发挥长三角生态绿色一体化发展示范区引领作用，打造规范服务、创新服务的“长三角示范区住房公积金一体化”服务品牌，塑造住房公积金行业“长三角示范区样板”。全面提升汾湖服务点品牌特色，聚焦缴存人需求，以服务群众为导向，打破地域界限和行政壁垒，打造“同城化”便民服务圈，切实提升群众获得感和满意度。五是规范运作，制度管理规范有效。对标“规范建设年”总体要求，确保各项内部管理制度精准、持续地执行，以制度的刚性约束推动工作的规范化、高效化开展。建设“鑫惠无疆”党建品牌，深入实施“融入式党建”创新工程，贯穿公积金“缴用管”，力争推动党建“品牌”向“名牌”升级。</w:t>
      </w:r>
    </w:p>
    <w:p w14:paraId="4CED5F38">
      <w:pPr>
        <w:spacing w:line="360" w:lineRule="auto"/>
        <w:ind w:left="600"/>
        <w:rPr>
          <w:rFonts w:ascii="黑体" w:hAnsi="黑体" w:eastAsia="黑体"/>
          <w:sz w:val="30"/>
        </w:rPr>
      </w:pPr>
      <w:r>
        <w:rPr>
          <w:rFonts w:hint="eastAsia" w:ascii="黑体" w:hAnsi="黑体" w:eastAsia="黑体"/>
          <w:sz w:val="30"/>
        </w:rPr>
        <w:t>三、部门（单位）概况</w:t>
      </w:r>
    </w:p>
    <w:p w14:paraId="64089174">
      <w:pPr>
        <w:spacing w:line="360" w:lineRule="auto"/>
        <w:ind w:firstLine="480" w:firstLineChars="200"/>
        <w:rPr>
          <w:rFonts w:ascii="宋体" w:hAnsi="宋体" w:cs="宋体"/>
          <w:sz w:val="24"/>
        </w:rPr>
      </w:pPr>
      <w:r>
        <w:rPr>
          <w:rFonts w:hint="eastAsia" w:ascii="宋体" w:hAnsi="宋体" w:cs="宋体"/>
          <w:sz w:val="24"/>
        </w:rPr>
        <w:t>苏州市住房公积金管理中心吴江分中心是非营利性事业单位。负责吴江区域内住房公积金管理运作。依法履行下列职责：（一）执行、完成住房公积金的归集和使用计划；（二）记载职工住房公积金的缴存、提取、贷款等情况；（三）审核住房公积金的提取和转移；（四）受理职工个人住房公积金委托贷款申请，负责贷款审批和贷前、贷后管理；（五）负责住房公积金缴存政策具体贯彻落实和制度扩面的具体组织实施；（六）办理住房公积金的对账和查询；（七）提供住房公积金政策咨询服务。①机构设置：内设主任室、副主任室、缴存科、使用科、一体化管理办公室、综合科（财务科）；外设盛泽管理部、汾湖服务点。②人员配置：分中心（含盛泽管理部、汾湖服务点）参公人数10名，公益性岗位人数9名。</w:t>
      </w:r>
    </w:p>
    <w:p w14:paraId="488E641F">
      <w:pPr>
        <w:spacing w:line="360" w:lineRule="auto"/>
        <w:ind w:left="600"/>
        <w:rPr>
          <w:rFonts w:ascii="黑体" w:hAnsi="黑体" w:eastAsia="黑体"/>
          <w:sz w:val="30"/>
        </w:rPr>
      </w:pPr>
      <w:r>
        <w:rPr>
          <w:rFonts w:hint="eastAsia" w:ascii="黑体" w:hAnsi="黑体" w:eastAsia="黑体"/>
          <w:sz w:val="30"/>
        </w:rPr>
        <w:t>四、部门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整体支出绩效实现情况</w:t>
      </w:r>
    </w:p>
    <w:p w14:paraId="5AE3CCC4">
      <w:pPr>
        <w:spacing w:line="360" w:lineRule="auto"/>
        <w:ind w:firstLine="480" w:firstLineChars="200"/>
        <w:rPr>
          <w:rFonts w:ascii="宋体" w:hAnsi="宋体" w:cs="宋体"/>
          <w:sz w:val="24"/>
        </w:rPr>
      </w:pPr>
      <w:r>
        <w:rPr>
          <w:rFonts w:hint="eastAsia" w:ascii="宋体" w:hAnsi="宋体" w:cs="宋体"/>
          <w:sz w:val="24"/>
        </w:rPr>
        <w:t>2024年吴江分中心年初预算总额751.65万元，年内整体调增78.57万元，调增资金主要用于保障人员经费支出。全年预算实际支出数为824.2万元，</w:t>
      </w:r>
      <w:r>
        <w:rPr>
          <w:rFonts w:hint="eastAsia" w:ascii="宋体" w:hAnsi="宋体" w:cs="宋体"/>
          <w:sz w:val="24"/>
          <w:lang w:val="en-US" w:eastAsia="zh-CN"/>
        </w:rPr>
        <w:t>执行率达99.27%，</w:t>
      </w:r>
      <w:bookmarkStart w:id="0" w:name="_GoBack"/>
      <w:bookmarkEnd w:id="0"/>
      <w:r>
        <w:rPr>
          <w:rFonts w:hint="eastAsia" w:ascii="宋体" w:hAnsi="宋体" w:cs="宋体"/>
          <w:sz w:val="24"/>
        </w:rPr>
        <w:t>其中基本支出586.55万元，占支出总额的71.17%，项目支出237.65万元，占支出总额的28.83%。2024年度，根据市级全面推进绩效管理工作要求，我分中心已实现绩效管理全覆盖，经费支出规范、及时，决策类、过程类指标均达目标值，年末各项工作目标如期实现。一是政银合作，聚金惠民，为充分发挥住房公积金制度保障功能和本土银行普惠金融优势，分中心携手苏州农商银行，着力推广灵活就业人员参缴住房公积金试点工作。秉承“客户为先”的服务理念，在市公积金中心的指导支持下，苏州农商行于5月10日成功上线通过银行直连办理的苏州市灵活就业人员住房公积金个人账户开户和缴存功能，成为苏州市首家灵活就业公积金业务直连银行。二是创新“云窗”模式，延伸一线服务纵向穿透力，为更好地满足群众异地办理住房公积金的相关业务需求，分中心主动对接区数据局，依托政务服务“跨域通办·云综窗”，在已有“退休提取住房公积金”业务的基础上，新增上线9项公积金高频事项，同时加入长三角“一网通办”虚拟窗口，延伸一线服务纵向穿透力，通过远程视频交互系统，实现公积金业务线上视频、在线交流、屏幕共享、文件传输等双向互动，为办事群众提供远程帮办指导，实现线上线下“同质同效”的立体化服务。三是搭建“住行食</w:t>
      </w:r>
      <w:r>
        <w:rPr>
          <w:rFonts w:hint="eastAsia" w:ascii="宋体" w:hAnsi="宋体" w:cs="宋体"/>
          <w:sz w:val="24"/>
          <w:lang w:val="en-US" w:eastAsia="zh-CN"/>
        </w:rPr>
        <w:t>娱</w:t>
      </w:r>
      <w:r>
        <w:rPr>
          <w:rFonts w:hint="eastAsia" w:ascii="宋体" w:hAnsi="宋体" w:cs="宋体"/>
          <w:sz w:val="24"/>
        </w:rPr>
        <w:t>”吴江公积金四维宣传矩阵，紧扣公积金政策宣传工作重点，巧搭载体、锁定目标、畅通渠道，形成辐射面广、时效性强的“住行食玩”公积金宣传新媒体四维矩阵，“住”以惠民制度为根本、“行”以电台口播为指引、“食”以麦果联名为铺垫、“</w:t>
      </w:r>
      <w:r>
        <w:rPr>
          <w:rFonts w:hint="eastAsia" w:ascii="宋体" w:hAnsi="宋体" w:cs="宋体"/>
          <w:sz w:val="24"/>
          <w:lang w:val="en-US" w:eastAsia="zh-CN"/>
        </w:rPr>
        <w:t>娱</w:t>
      </w:r>
      <w:r>
        <w:rPr>
          <w:rFonts w:hint="eastAsia" w:ascii="宋体" w:hAnsi="宋体" w:cs="宋体"/>
          <w:sz w:val="24"/>
        </w:rPr>
        <w:t>”以映前广告为延伸，融入更多年轻元素，将公积金惠民利民优质政策通过多元化、多层次、多角度化方式广而告之。</w:t>
      </w:r>
    </w:p>
    <w:p w14:paraId="01DB2F97">
      <w:pPr>
        <w:spacing w:line="360" w:lineRule="auto"/>
        <w:ind w:left="600"/>
        <w:rPr>
          <w:rFonts w:ascii="黑体" w:hAnsi="黑体" w:eastAsia="黑体"/>
          <w:sz w:val="30"/>
        </w:rPr>
      </w:pPr>
      <w:r>
        <w:rPr>
          <w:rFonts w:hint="eastAsia" w:ascii="黑体" w:hAnsi="黑体" w:eastAsia="黑体"/>
          <w:sz w:val="30"/>
        </w:rPr>
        <w:t>五、部门</w:t>
      </w:r>
      <w:r>
        <w:rPr>
          <w:rFonts w:ascii="黑体" w:hAnsi="黑体" w:eastAsia="黑体"/>
          <w:sz w:val="30"/>
        </w:rPr>
        <w:t>（</w:t>
      </w:r>
      <w:r>
        <w:rPr>
          <w:rFonts w:hint="eastAsia" w:ascii="黑体" w:hAnsi="黑体" w:eastAsia="黑体"/>
          <w:sz w:val="30"/>
        </w:rPr>
        <w:t>单位</w:t>
      </w:r>
      <w:r>
        <w:rPr>
          <w:rFonts w:ascii="黑体" w:hAnsi="黑体" w:eastAsia="黑体"/>
          <w:sz w:val="30"/>
        </w:rPr>
        <w:t>）</w:t>
      </w:r>
      <w:r>
        <w:rPr>
          <w:rFonts w:hint="eastAsia" w:ascii="黑体" w:hAnsi="黑体" w:eastAsia="黑体"/>
          <w:sz w:val="30"/>
        </w:rPr>
        <w:t>整体支出绩效中存</w:t>
      </w:r>
      <w:r>
        <w:rPr>
          <w:rFonts w:ascii="黑体" w:hAnsi="黑体" w:eastAsia="黑体"/>
          <w:sz w:val="30"/>
        </w:rPr>
        <w:t>在问题</w:t>
      </w:r>
      <w:r>
        <w:rPr>
          <w:rFonts w:hint="eastAsia" w:ascii="黑体" w:hAnsi="黑体" w:eastAsia="黑体"/>
          <w:sz w:val="30"/>
        </w:rPr>
        <w:t>及</w:t>
      </w:r>
      <w:r>
        <w:rPr>
          <w:rFonts w:ascii="黑体" w:hAnsi="黑体" w:eastAsia="黑体"/>
          <w:sz w:val="30"/>
        </w:rPr>
        <w:t>改进措施</w:t>
      </w:r>
    </w:p>
    <w:p w14:paraId="3AC34BE9">
      <w:pPr>
        <w:spacing w:line="360" w:lineRule="auto"/>
        <w:ind w:firstLine="480" w:firstLineChars="200"/>
        <w:rPr>
          <w:rFonts w:ascii="宋体" w:hAnsi="宋体" w:cs="宋体"/>
          <w:sz w:val="24"/>
        </w:rPr>
      </w:pPr>
      <w:r>
        <w:rPr>
          <w:rFonts w:hint="eastAsia" w:ascii="宋体" w:hAnsi="宋体" w:cs="宋体"/>
          <w:sz w:val="24"/>
        </w:rPr>
        <w:t>存在的问题：在设定绩效目标时考虑要素不全，未能准确预估定量指标的完成情况，目标过低无法展现激励作用。预算执行过程中偶因业务调整安排等突发情况，在阶段性执行中会产生部分偏差。改进措施：一是严格落实预算安排。依照财政统一部署，坚决贯彻党政机关“过紧日子”要求，对照上一年度实际执行情况，结合分中心年度工作任务，坚持量入为出、适度支出的原则，确保预算安排科学合理，切实提升资金使用效益。二是精准执行预算计划。严格按照预算编制计划推进执行工作，按照合同序时进度合理安排资金，提高预算执行率，保障资金高效使用。三是实时监控预算指标。月度编制预算执行情况统计表，半年度填报预算执行情况，精准把握经费支付进度，确保预算执行的及时性与准确性。同时结合单位自查自纠工作、年末总结等时间节点，及时回顾总结、查漏补缺，提升整体管理水平。</w:t>
      </w:r>
    </w:p>
    <w:p w14:paraId="5D6AD7F3">
      <w:pPr>
        <w:spacing w:line="360" w:lineRule="auto"/>
        <w:ind w:left="600"/>
        <w:rPr>
          <w:rFonts w:ascii="黑体" w:hAnsi="黑体" w:eastAsia="黑体"/>
          <w:sz w:val="30"/>
        </w:rPr>
      </w:pPr>
      <w:r>
        <w:rPr>
          <w:rFonts w:hint="eastAsia" w:ascii="黑体" w:hAnsi="黑体" w:eastAsia="黑体"/>
          <w:sz w:val="30"/>
        </w:rPr>
        <w:t>六、</w:t>
      </w:r>
      <w:r>
        <w:rPr>
          <w:rFonts w:ascii="黑体" w:hAnsi="黑体" w:eastAsia="黑体"/>
          <w:sz w:val="30"/>
        </w:rPr>
        <w:t>绩效自评</w:t>
      </w:r>
      <w:r>
        <w:rPr>
          <w:rFonts w:hint="eastAsia" w:ascii="黑体" w:hAnsi="黑体" w:eastAsia="黑体"/>
          <w:sz w:val="30"/>
        </w:rPr>
        <w:t>结果</w:t>
      </w:r>
      <w:r>
        <w:rPr>
          <w:rFonts w:ascii="黑体" w:hAnsi="黑体" w:eastAsia="黑体"/>
          <w:sz w:val="30"/>
        </w:rPr>
        <w:t>拟应用和公开</w:t>
      </w:r>
      <w:r>
        <w:rPr>
          <w:rFonts w:hint="eastAsia" w:ascii="黑体" w:hAnsi="黑体" w:eastAsia="黑体"/>
          <w:sz w:val="30"/>
        </w:rPr>
        <w:t>情况</w:t>
      </w:r>
    </w:p>
    <w:p w14:paraId="7C5FDD66">
      <w:pPr>
        <w:spacing w:line="360" w:lineRule="auto"/>
        <w:ind w:firstLine="480" w:firstLineChars="200"/>
        <w:rPr>
          <w:rFonts w:ascii="宋体" w:hAnsi="宋体" w:cs="宋体"/>
          <w:sz w:val="24"/>
        </w:rPr>
      </w:pPr>
      <w:r>
        <w:rPr>
          <w:rFonts w:hint="eastAsia" w:ascii="宋体" w:hAnsi="宋体" w:cs="宋体"/>
          <w:sz w:val="24"/>
        </w:rPr>
        <w:t>绩效自评结果拟应用情况：1、项目绩效目标评价情况与项目预算安排挂钩。对于绩效自评价结果在无特殊原因的情况下偏离目标较多的项目，拟在下年度预算安排中压减资金。2、绩效自评价结果纳入单位高质量考核体系。绩效公开情况：已根据市级预决算公开要求，按时按要求在指定平台对绩效信息进行公开。</w:t>
      </w:r>
    </w:p>
    <w:p w14:paraId="73F21C6B">
      <w:pPr>
        <w:spacing w:line="360" w:lineRule="auto"/>
        <w:rPr>
          <w:rFonts w:ascii="黑体" w:hAnsi="黑体" w:eastAsia="黑体"/>
          <w:sz w:val="30"/>
        </w:rPr>
        <w:sectPr>
          <w:headerReference r:id="rId3" w:type="default"/>
          <w:footerReference r:id="rId5" w:type="default"/>
          <w:headerReference r:id="rId4" w:type="even"/>
          <w:footerReference r:id="rId6" w:type="even"/>
          <w:pgSz w:w="11907" w:h="16840"/>
          <w:pgMar w:top="1247" w:right="1400" w:bottom="1089" w:left="1559" w:header="851" w:footer="992" w:gutter="0"/>
          <w:paperSrc w:first="15" w:other="15"/>
          <w:cols w:space="720" w:num="1"/>
          <w:docGrid w:type="lines" w:linePitch="312" w:charSpace="0"/>
        </w:sectPr>
      </w:pPr>
    </w:p>
    <w:p w14:paraId="6678B6BA">
      <w:pPr>
        <w:numPr>
          <w:ilvl w:val="0"/>
          <w:numId w:val="1"/>
        </w:numPr>
        <w:spacing w:line="360" w:lineRule="auto"/>
        <w:ind w:left="600"/>
        <w:rPr>
          <w:rFonts w:ascii="黑体" w:hAnsi="黑体" w:eastAsia="黑体"/>
          <w:sz w:val="30"/>
        </w:rPr>
      </w:pPr>
      <w:r>
        <w:rPr>
          <w:rFonts w:hint="eastAsia" w:ascii="黑体" w:hAnsi="黑体" w:eastAsia="黑体"/>
          <w:sz w:val="30"/>
        </w:rPr>
        <w:t>预算信息</w:t>
      </w:r>
    </w:p>
    <w:p w14:paraId="6047537B">
      <w:pPr>
        <w:spacing w:line="360" w:lineRule="auto"/>
        <w:ind w:left="600"/>
        <w:rPr>
          <w:rFonts w:ascii="黑体" w:hAnsi="黑体" w:eastAsia="黑体"/>
          <w:sz w:val="30"/>
        </w:rPr>
      </w:pPr>
    </w:p>
    <w:tbl>
      <w:tblPr>
        <w:tblStyle w:val="5"/>
        <w:tblW w:w="14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268"/>
        <w:gridCol w:w="2268"/>
        <w:gridCol w:w="2268"/>
        <w:gridCol w:w="2268"/>
        <w:gridCol w:w="2268"/>
      </w:tblGrid>
      <w:tr w14:paraId="6568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79" w:type="dxa"/>
            <w:shd w:val="clear" w:color="000000" w:fill="BFBFBF"/>
            <w:vAlign w:val="center"/>
          </w:tcPr>
          <w:p w14:paraId="1D93A0A6">
            <w:pPr>
              <w:widowControl/>
              <w:jc w:val="center"/>
              <w:rPr>
                <w:rFonts w:ascii="宋体" w:hAnsi="宋体" w:cs="宋体"/>
                <w:b/>
                <w:bCs/>
                <w:kern w:val="0"/>
                <w:sz w:val="24"/>
              </w:rPr>
            </w:pPr>
            <w:r>
              <w:rPr>
                <w:rFonts w:hint="eastAsia" w:ascii="宋体" w:hAnsi="宋体" w:cs="宋体"/>
                <w:b/>
                <w:bCs/>
                <w:kern w:val="0"/>
                <w:sz w:val="24"/>
              </w:rPr>
              <w:t>本年度预算资金（万元）</w:t>
            </w:r>
          </w:p>
        </w:tc>
        <w:tc>
          <w:tcPr>
            <w:tcW w:w="2268" w:type="dxa"/>
            <w:shd w:val="clear" w:color="000000" w:fill="BFBFBF"/>
            <w:vAlign w:val="center"/>
          </w:tcPr>
          <w:p w14:paraId="23AAEA6B">
            <w:pPr>
              <w:widowControl/>
              <w:jc w:val="center"/>
              <w:rPr>
                <w:rFonts w:ascii="宋体" w:hAnsi="宋体" w:cs="宋体"/>
                <w:b/>
                <w:bCs/>
                <w:kern w:val="0"/>
                <w:sz w:val="24"/>
              </w:rPr>
            </w:pPr>
            <w:r>
              <w:rPr>
                <w:rFonts w:hint="eastAsia" w:ascii="宋体" w:hAnsi="宋体" w:cs="宋体"/>
                <w:b/>
                <w:bCs/>
                <w:kern w:val="0"/>
                <w:sz w:val="24"/>
              </w:rPr>
              <w:t>年初预算数（万元）</w:t>
            </w:r>
          </w:p>
        </w:tc>
        <w:tc>
          <w:tcPr>
            <w:tcW w:w="2268" w:type="dxa"/>
            <w:shd w:val="clear" w:color="000000" w:fill="BFBFBF"/>
            <w:vAlign w:val="center"/>
          </w:tcPr>
          <w:p w14:paraId="74C5A2E9">
            <w:pPr>
              <w:widowControl/>
              <w:jc w:val="center"/>
              <w:rPr>
                <w:rFonts w:ascii="宋体" w:hAnsi="宋体" w:cs="宋体"/>
                <w:b/>
                <w:bCs/>
                <w:kern w:val="0"/>
                <w:sz w:val="24"/>
              </w:rPr>
            </w:pPr>
            <w:r>
              <w:rPr>
                <w:rFonts w:hint="eastAsia" w:ascii="宋体" w:hAnsi="宋体" w:cs="宋体"/>
                <w:b/>
                <w:bCs/>
                <w:kern w:val="0"/>
                <w:sz w:val="24"/>
              </w:rPr>
              <w:t>上年度结转及当年预算追加追减数(万元）</w:t>
            </w:r>
          </w:p>
        </w:tc>
        <w:tc>
          <w:tcPr>
            <w:tcW w:w="2268" w:type="dxa"/>
            <w:shd w:val="clear" w:color="000000" w:fill="BFBFBF"/>
            <w:vAlign w:val="center"/>
          </w:tcPr>
          <w:p w14:paraId="487BD72C">
            <w:pPr>
              <w:widowControl/>
              <w:jc w:val="center"/>
              <w:rPr>
                <w:rFonts w:ascii="宋体" w:hAnsi="宋体" w:cs="宋体"/>
                <w:b/>
                <w:bCs/>
                <w:kern w:val="0"/>
                <w:sz w:val="24"/>
              </w:rPr>
            </w:pPr>
            <w:r>
              <w:rPr>
                <w:rFonts w:hint="eastAsia" w:ascii="宋体" w:hAnsi="宋体" w:cs="宋体"/>
                <w:b/>
                <w:bCs/>
                <w:kern w:val="0"/>
                <w:sz w:val="24"/>
              </w:rPr>
              <w:t>调整预算数（万元）</w:t>
            </w:r>
          </w:p>
        </w:tc>
        <w:tc>
          <w:tcPr>
            <w:tcW w:w="2268" w:type="dxa"/>
            <w:shd w:val="clear" w:color="000000" w:fill="BFBFBF"/>
            <w:vAlign w:val="center"/>
          </w:tcPr>
          <w:p w14:paraId="3CAECFB7">
            <w:pPr>
              <w:widowControl/>
              <w:jc w:val="center"/>
              <w:rPr>
                <w:rFonts w:ascii="宋体" w:hAnsi="宋体" w:cs="宋体"/>
                <w:b/>
                <w:bCs/>
                <w:kern w:val="0"/>
                <w:sz w:val="24"/>
              </w:rPr>
            </w:pPr>
            <w:r>
              <w:rPr>
                <w:rFonts w:hint="eastAsia" w:ascii="宋体" w:hAnsi="宋体" w:cs="宋体"/>
                <w:b/>
                <w:bCs/>
                <w:kern w:val="0"/>
                <w:sz w:val="24"/>
              </w:rPr>
              <w:t>实际支出数（万元）</w:t>
            </w:r>
          </w:p>
        </w:tc>
        <w:tc>
          <w:tcPr>
            <w:tcW w:w="2268" w:type="dxa"/>
            <w:shd w:val="clear" w:color="000000" w:fill="BFBFBF"/>
            <w:vAlign w:val="center"/>
          </w:tcPr>
          <w:p w14:paraId="41298C98">
            <w:pPr>
              <w:widowControl/>
              <w:jc w:val="center"/>
              <w:rPr>
                <w:rFonts w:ascii="宋体" w:hAnsi="宋体" w:cs="宋体"/>
                <w:b/>
                <w:bCs/>
                <w:kern w:val="0"/>
                <w:sz w:val="24"/>
              </w:rPr>
            </w:pPr>
            <w:r>
              <w:rPr>
                <w:rFonts w:hint="eastAsia" w:ascii="宋体" w:hAnsi="宋体" w:cs="宋体"/>
                <w:b/>
                <w:bCs/>
                <w:kern w:val="0"/>
                <w:sz w:val="24"/>
              </w:rPr>
              <w:t>执行率（%)</w:t>
            </w:r>
          </w:p>
        </w:tc>
      </w:tr>
      <w:tr w14:paraId="0650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5E64C055">
            <w:pPr>
              <w:widowControl/>
              <w:jc w:val="left"/>
              <w:rPr>
                <w:rFonts w:ascii="宋体" w:hAnsi="宋体" w:cs="宋体"/>
                <w:kern w:val="0"/>
                <w:sz w:val="24"/>
              </w:rPr>
            </w:pPr>
            <w:r>
              <w:rPr>
                <w:rFonts w:hint="eastAsia" w:ascii="宋体" w:hAnsi="宋体" w:cs="宋体"/>
                <w:sz w:val="24"/>
              </w:rPr>
              <w:t>预算总金额</w:t>
            </w:r>
          </w:p>
        </w:tc>
        <w:tc>
          <w:tcPr>
            <w:tcW w:w="2268" w:type="dxa"/>
            <w:vAlign w:val="center"/>
          </w:tcPr>
          <w:p w14:paraId="3B745B73">
            <w:pPr>
              <w:widowControl/>
              <w:jc w:val="center"/>
              <w:rPr>
                <w:rFonts w:ascii="宋体" w:hAnsi="宋体" w:cs="宋体"/>
                <w:kern w:val="0"/>
                <w:sz w:val="24"/>
              </w:rPr>
            </w:pPr>
            <w:r>
              <w:rPr>
                <w:rFonts w:hint="eastAsia" w:ascii="宋体" w:hAnsi="宋体" w:cs="宋体"/>
                <w:sz w:val="24"/>
              </w:rPr>
              <w:t>751.65</w:t>
            </w:r>
          </w:p>
        </w:tc>
        <w:tc>
          <w:tcPr>
            <w:tcW w:w="2268" w:type="dxa"/>
            <w:vAlign w:val="center"/>
          </w:tcPr>
          <w:p w14:paraId="732A7F13">
            <w:pPr>
              <w:widowControl/>
              <w:jc w:val="center"/>
              <w:rPr>
                <w:rFonts w:ascii="宋体" w:hAnsi="宋体" w:cs="宋体"/>
                <w:sz w:val="24"/>
              </w:rPr>
            </w:pPr>
            <w:r>
              <w:rPr>
                <w:rFonts w:hint="eastAsia" w:ascii="宋体" w:hAnsi="宋体" w:cs="宋体"/>
                <w:sz w:val="24"/>
              </w:rPr>
              <w:t>78.57</w:t>
            </w:r>
          </w:p>
        </w:tc>
        <w:tc>
          <w:tcPr>
            <w:tcW w:w="2268" w:type="dxa"/>
            <w:vAlign w:val="center"/>
          </w:tcPr>
          <w:p w14:paraId="004E9810">
            <w:pPr>
              <w:widowControl/>
              <w:jc w:val="center"/>
              <w:rPr>
                <w:rFonts w:ascii="宋体" w:hAnsi="宋体" w:cs="宋体"/>
                <w:sz w:val="24"/>
              </w:rPr>
            </w:pPr>
            <w:r>
              <w:rPr>
                <w:rFonts w:hint="eastAsia" w:ascii="宋体" w:hAnsi="宋体" w:cs="宋体"/>
                <w:sz w:val="24"/>
              </w:rPr>
              <w:t>830.22</w:t>
            </w:r>
          </w:p>
        </w:tc>
        <w:tc>
          <w:tcPr>
            <w:tcW w:w="2268" w:type="dxa"/>
            <w:vAlign w:val="center"/>
          </w:tcPr>
          <w:p w14:paraId="6020FDE1">
            <w:pPr>
              <w:widowControl/>
              <w:jc w:val="center"/>
              <w:rPr>
                <w:rFonts w:ascii="宋体" w:hAnsi="宋体" w:cs="宋体"/>
                <w:sz w:val="24"/>
              </w:rPr>
            </w:pPr>
            <w:r>
              <w:rPr>
                <w:rFonts w:hint="eastAsia" w:ascii="宋体" w:hAnsi="宋体" w:cs="宋体"/>
                <w:sz w:val="24"/>
              </w:rPr>
              <w:t>824.2</w:t>
            </w:r>
          </w:p>
        </w:tc>
        <w:tc>
          <w:tcPr>
            <w:tcW w:w="2268" w:type="dxa"/>
            <w:vAlign w:val="center"/>
          </w:tcPr>
          <w:p w14:paraId="7320C802">
            <w:pPr>
              <w:widowControl/>
              <w:jc w:val="center"/>
              <w:rPr>
                <w:rFonts w:ascii="宋体" w:hAnsi="宋体" w:cs="宋体"/>
                <w:sz w:val="24"/>
              </w:rPr>
            </w:pPr>
            <w:r>
              <w:rPr>
                <w:rFonts w:hint="eastAsia" w:ascii="宋体" w:hAnsi="宋体" w:cs="宋体"/>
                <w:sz w:val="24"/>
              </w:rPr>
              <w:t>99.27%</w:t>
            </w:r>
          </w:p>
        </w:tc>
      </w:tr>
      <w:tr w14:paraId="57E1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91B8583">
            <w:pPr>
              <w:widowControl/>
              <w:jc w:val="left"/>
              <w:rPr>
                <w:rFonts w:ascii="宋体" w:hAnsi="宋体" w:cs="宋体"/>
                <w:kern w:val="0"/>
                <w:sz w:val="24"/>
              </w:rPr>
            </w:pPr>
            <w:r>
              <w:rPr>
                <w:rFonts w:hint="eastAsia" w:ascii="宋体" w:hAnsi="宋体" w:cs="宋体"/>
                <w:sz w:val="24"/>
              </w:rPr>
              <w:t>基本支出</w:t>
            </w:r>
          </w:p>
        </w:tc>
        <w:tc>
          <w:tcPr>
            <w:tcW w:w="2268" w:type="dxa"/>
            <w:vAlign w:val="center"/>
          </w:tcPr>
          <w:p w14:paraId="722519D1">
            <w:pPr>
              <w:widowControl/>
              <w:jc w:val="center"/>
              <w:rPr>
                <w:rFonts w:ascii="宋体" w:hAnsi="宋体" w:cs="宋体"/>
                <w:kern w:val="0"/>
                <w:sz w:val="24"/>
              </w:rPr>
            </w:pPr>
            <w:r>
              <w:rPr>
                <w:rFonts w:hint="eastAsia" w:ascii="宋体" w:hAnsi="宋体" w:cs="宋体"/>
                <w:sz w:val="24"/>
              </w:rPr>
              <w:t>511.05</w:t>
            </w:r>
          </w:p>
        </w:tc>
        <w:tc>
          <w:tcPr>
            <w:tcW w:w="2268" w:type="dxa"/>
            <w:vAlign w:val="center"/>
          </w:tcPr>
          <w:p w14:paraId="4D5D0628">
            <w:pPr>
              <w:widowControl/>
              <w:jc w:val="center"/>
              <w:rPr>
                <w:rFonts w:ascii="宋体" w:hAnsi="宋体" w:cs="宋体"/>
                <w:sz w:val="24"/>
              </w:rPr>
            </w:pPr>
            <w:r>
              <w:rPr>
                <w:rFonts w:hint="eastAsia" w:ascii="宋体" w:hAnsi="宋体" w:cs="宋体"/>
                <w:sz w:val="24"/>
              </w:rPr>
              <w:t>78.57</w:t>
            </w:r>
          </w:p>
        </w:tc>
        <w:tc>
          <w:tcPr>
            <w:tcW w:w="2268" w:type="dxa"/>
            <w:vAlign w:val="center"/>
          </w:tcPr>
          <w:p w14:paraId="105A30C9">
            <w:pPr>
              <w:widowControl/>
              <w:jc w:val="center"/>
              <w:rPr>
                <w:rFonts w:ascii="宋体" w:hAnsi="宋体" w:cs="宋体"/>
                <w:sz w:val="24"/>
              </w:rPr>
            </w:pPr>
            <w:r>
              <w:rPr>
                <w:rFonts w:hint="eastAsia" w:ascii="宋体" w:hAnsi="宋体" w:cs="宋体"/>
                <w:sz w:val="24"/>
              </w:rPr>
              <w:t>589.62</w:t>
            </w:r>
          </w:p>
        </w:tc>
        <w:tc>
          <w:tcPr>
            <w:tcW w:w="2268" w:type="dxa"/>
            <w:vAlign w:val="center"/>
          </w:tcPr>
          <w:p w14:paraId="1B3688BC">
            <w:pPr>
              <w:widowControl/>
              <w:jc w:val="center"/>
              <w:rPr>
                <w:rFonts w:ascii="宋体" w:hAnsi="宋体" w:cs="宋体"/>
                <w:sz w:val="24"/>
              </w:rPr>
            </w:pPr>
            <w:r>
              <w:rPr>
                <w:rFonts w:hint="eastAsia" w:ascii="宋体" w:hAnsi="宋体" w:cs="宋体"/>
                <w:sz w:val="24"/>
              </w:rPr>
              <w:t>586.55</w:t>
            </w:r>
          </w:p>
        </w:tc>
        <w:tc>
          <w:tcPr>
            <w:tcW w:w="2268" w:type="dxa"/>
            <w:vAlign w:val="center"/>
          </w:tcPr>
          <w:p w14:paraId="4175743A">
            <w:pPr>
              <w:widowControl/>
              <w:jc w:val="center"/>
              <w:rPr>
                <w:rFonts w:ascii="宋体" w:hAnsi="宋体" w:cs="宋体"/>
                <w:sz w:val="24"/>
              </w:rPr>
            </w:pPr>
            <w:r>
              <w:rPr>
                <w:rFonts w:hint="eastAsia" w:ascii="宋体" w:hAnsi="宋体" w:cs="宋体"/>
                <w:sz w:val="24"/>
              </w:rPr>
              <w:t>99.48%</w:t>
            </w:r>
          </w:p>
        </w:tc>
      </w:tr>
      <w:tr w14:paraId="1A80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083AE90">
            <w:pPr>
              <w:widowControl/>
              <w:jc w:val="left"/>
              <w:rPr>
                <w:rFonts w:ascii="宋体" w:hAnsi="宋体" w:cs="宋体"/>
                <w:kern w:val="0"/>
                <w:sz w:val="24"/>
              </w:rPr>
            </w:pPr>
            <w:r>
              <w:rPr>
                <w:rFonts w:hint="eastAsia" w:ascii="宋体" w:hAnsi="宋体" w:cs="宋体"/>
                <w:sz w:val="24"/>
              </w:rPr>
              <w:t>项目支出</w:t>
            </w:r>
          </w:p>
        </w:tc>
        <w:tc>
          <w:tcPr>
            <w:tcW w:w="2268" w:type="dxa"/>
            <w:vAlign w:val="center"/>
          </w:tcPr>
          <w:p w14:paraId="2457AB7F">
            <w:pPr>
              <w:widowControl/>
              <w:jc w:val="center"/>
              <w:rPr>
                <w:rFonts w:ascii="宋体" w:hAnsi="宋体" w:cs="宋体"/>
                <w:kern w:val="0"/>
                <w:sz w:val="24"/>
              </w:rPr>
            </w:pPr>
            <w:r>
              <w:rPr>
                <w:rFonts w:hint="eastAsia" w:ascii="宋体" w:hAnsi="宋体" w:cs="宋体"/>
                <w:sz w:val="24"/>
              </w:rPr>
              <w:t>240.6</w:t>
            </w:r>
          </w:p>
        </w:tc>
        <w:tc>
          <w:tcPr>
            <w:tcW w:w="2268" w:type="dxa"/>
            <w:vAlign w:val="center"/>
          </w:tcPr>
          <w:p w14:paraId="5A592DCE">
            <w:pPr>
              <w:widowControl/>
              <w:jc w:val="center"/>
              <w:rPr>
                <w:rFonts w:ascii="宋体" w:hAnsi="宋体" w:cs="宋体"/>
                <w:sz w:val="24"/>
              </w:rPr>
            </w:pPr>
            <w:r>
              <w:rPr>
                <w:rFonts w:hint="eastAsia" w:ascii="宋体" w:hAnsi="宋体" w:cs="宋体"/>
                <w:sz w:val="24"/>
              </w:rPr>
              <w:t>0</w:t>
            </w:r>
          </w:p>
        </w:tc>
        <w:tc>
          <w:tcPr>
            <w:tcW w:w="2268" w:type="dxa"/>
            <w:vAlign w:val="center"/>
          </w:tcPr>
          <w:p w14:paraId="3F1AB7BD">
            <w:pPr>
              <w:widowControl/>
              <w:jc w:val="center"/>
              <w:rPr>
                <w:rFonts w:ascii="宋体" w:hAnsi="宋体" w:cs="宋体"/>
                <w:sz w:val="24"/>
              </w:rPr>
            </w:pPr>
            <w:r>
              <w:rPr>
                <w:rFonts w:hint="eastAsia" w:ascii="宋体" w:hAnsi="宋体" w:cs="宋体"/>
                <w:sz w:val="24"/>
              </w:rPr>
              <w:t>240.6</w:t>
            </w:r>
          </w:p>
        </w:tc>
        <w:tc>
          <w:tcPr>
            <w:tcW w:w="2268" w:type="dxa"/>
            <w:vAlign w:val="center"/>
          </w:tcPr>
          <w:p w14:paraId="6F4A047C">
            <w:pPr>
              <w:widowControl/>
              <w:jc w:val="center"/>
              <w:rPr>
                <w:rFonts w:ascii="宋体" w:hAnsi="宋体" w:cs="宋体"/>
                <w:sz w:val="24"/>
              </w:rPr>
            </w:pPr>
            <w:r>
              <w:rPr>
                <w:rFonts w:hint="eastAsia" w:ascii="宋体" w:hAnsi="宋体" w:cs="宋体"/>
                <w:sz w:val="24"/>
              </w:rPr>
              <w:t>237.65</w:t>
            </w:r>
          </w:p>
        </w:tc>
        <w:tc>
          <w:tcPr>
            <w:tcW w:w="2268" w:type="dxa"/>
            <w:vAlign w:val="center"/>
          </w:tcPr>
          <w:p w14:paraId="4A488999">
            <w:pPr>
              <w:widowControl/>
              <w:jc w:val="center"/>
              <w:rPr>
                <w:rFonts w:ascii="宋体" w:hAnsi="宋体" w:cs="宋体"/>
                <w:sz w:val="24"/>
              </w:rPr>
            </w:pPr>
            <w:r>
              <w:rPr>
                <w:rFonts w:hint="eastAsia" w:ascii="宋体" w:hAnsi="宋体" w:cs="宋体"/>
                <w:sz w:val="24"/>
              </w:rPr>
              <w:t>98.77%</w:t>
            </w:r>
          </w:p>
        </w:tc>
      </w:tr>
      <w:tr w14:paraId="4B2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95BF044">
            <w:pPr>
              <w:widowControl/>
              <w:jc w:val="left"/>
              <w:rPr>
                <w:rFonts w:ascii="宋体" w:hAnsi="宋体" w:cs="宋体"/>
                <w:kern w:val="0"/>
                <w:sz w:val="24"/>
              </w:rPr>
            </w:pPr>
            <w:r>
              <w:rPr>
                <w:rFonts w:hint="eastAsia" w:ascii="宋体" w:hAnsi="宋体" w:cs="宋体"/>
                <w:sz w:val="24"/>
              </w:rPr>
              <w:t>政策法规普及宣传经费</w:t>
            </w:r>
          </w:p>
        </w:tc>
        <w:tc>
          <w:tcPr>
            <w:tcW w:w="2268" w:type="dxa"/>
            <w:vAlign w:val="center"/>
          </w:tcPr>
          <w:p w14:paraId="4EEACB7F">
            <w:pPr>
              <w:widowControl/>
              <w:jc w:val="center"/>
              <w:rPr>
                <w:rFonts w:ascii="宋体" w:hAnsi="宋体" w:cs="宋体"/>
                <w:kern w:val="0"/>
                <w:sz w:val="24"/>
              </w:rPr>
            </w:pPr>
            <w:r>
              <w:rPr>
                <w:rFonts w:hint="eastAsia" w:ascii="宋体" w:hAnsi="宋体" w:cs="宋体"/>
                <w:sz w:val="24"/>
              </w:rPr>
              <w:t>6.3</w:t>
            </w:r>
          </w:p>
        </w:tc>
        <w:tc>
          <w:tcPr>
            <w:tcW w:w="2268" w:type="dxa"/>
            <w:vAlign w:val="center"/>
          </w:tcPr>
          <w:p w14:paraId="41F4C862">
            <w:pPr>
              <w:widowControl/>
              <w:jc w:val="center"/>
              <w:rPr>
                <w:rFonts w:ascii="宋体" w:hAnsi="宋体" w:cs="宋体"/>
                <w:sz w:val="24"/>
              </w:rPr>
            </w:pPr>
            <w:r>
              <w:rPr>
                <w:rFonts w:hint="eastAsia" w:ascii="宋体" w:hAnsi="宋体" w:cs="宋体"/>
                <w:sz w:val="24"/>
              </w:rPr>
              <w:t>0</w:t>
            </w:r>
          </w:p>
        </w:tc>
        <w:tc>
          <w:tcPr>
            <w:tcW w:w="2268" w:type="dxa"/>
            <w:vAlign w:val="center"/>
          </w:tcPr>
          <w:p w14:paraId="609BEADC">
            <w:pPr>
              <w:widowControl/>
              <w:jc w:val="center"/>
              <w:rPr>
                <w:rFonts w:ascii="宋体" w:hAnsi="宋体" w:cs="宋体"/>
                <w:sz w:val="24"/>
              </w:rPr>
            </w:pPr>
            <w:r>
              <w:rPr>
                <w:rFonts w:hint="eastAsia" w:ascii="宋体" w:hAnsi="宋体" w:cs="宋体"/>
                <w:sz w:val="24"/>
              </w:rPr>
              <w:t>6.3</w:t>
            </w:r>
          </w:p>
        </w:tc>
        <w:tc>
          <w:tcPr>
            <w:tcW w:w="2268" w:type="dxa"/>
            <w:vAlign w:val="center"/>
          </w:tcPr>
          <w:p w14:paraId="32046255">
            <w:pPr>
              <w:widowControl/>
              <w:jc w:val="center"/>
              <w:rPr>
                <w:rFonts w:ascii="宋体" w:hAnsi="宋体" w:cs="宋体"/>
                <w:sz w:val="24"/>
              </w:rPr>
            </w:pPr>
            <w:r>
              <w:rPr>
                <w:rFonts w:hint="eastAsia" w:ascii="宋体" w:hAnsi="宋体" w:cs="宋体"/>
                <w:sz w:val="24"/>
              </w:rPr>
              <w:t>6.28</w:t>
            </w:r>
          </w:p>
        </w:tc>
        <w:tc>
          <w:tcPr>
            <w:tcW w:w="2268" w:type="dxa"/>
            <w:vAlign w:val="center"/>
          </w:tcPr>
          <w:p w14:paraId="1348D1A6">
            <w:pPr>
              <w:widowControl/>
              <w:jc w:val="center"/>
              <w:rPr>
                <w:rFonts w:ascii="宋体" w:hAnsi="宋体" w:cs="宋体"/>
                <w:sz w:val="24"/>
              </w:rPr>
            </w:pPr>
            <w:r>
              <w:rPr>
                <w:rFonts w:hint="eastAsia" w:ascii="宋体" w:hAnsi="宋体" w:cs="宋体"/>
                <w:sz w:val="24"/>
              </w:rPr>
              <w:t>99.68%</w:t>
            </w:r>
          </w:p>
        </w:tc>
      </w:tr>
      <w:tr w14:paraId="5636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6FB84FD9">
            <w:pPr>
              <w:widowControl/>
              <w:jc w:val="left"/>
              <w:rPr>
                <w:rFonts w:ascii="宋体" w:hAnsi="宋体" w:cs="宋体"/>
                <w:kern w:val="0"/>
                <w:sz w:val="24"/>
              </w:rPr>
            </w:pPr>
            <w:r>
              <w:rPr>
                <w:rFonts w:hint="eastAsia" w:ascii="宋体" w:hAnsi="宋体" w:cs="宋体"/>
                <w:sz w:val="24"/>
              </w:rPr>
              <w:t>专项培训费</w:t>
            </w:r>
          </w:p>
        </w:tc>
        <w:tc>
          <w:tcPr>
            <w:tcW w:w="2268" w:type="dxa"/>
            <w:vAlign w:val="center"/>
          </w:tcPr>
          <w:p w14:paraId="7242070A">
            <w:pPr>
              <w:widowControl/>
              <w:jc w:val="center"/>
              <w:rPr>
                <w:rFonts w:ascii="宋体" w:hAnsi="宋体" w:cs="宋体"/>
                <w:kern w:val="0"/>
                <w:sz w:val="24"/>
              </w:rPr>
            </w:pPr>
            <w:r>
              <w:rPr>
                <w:rFonts w:hint="eastAsia" w:ascii="宋体" w:hAnsi="宋体" w:cs="宋体"/>
                <w:sz w:val="24"/>
              </w:rPr>
              <w:t>5</w:t>
            </w:r>
          </w:p>
        </w:tc>
        <w:tc>
          <w:tcPr>
            <w:tcW w:w="2268" w:type="dxa"/>
            <w:vAlign w:val="center"/>
          </w:tcPr>
          <w:p w14:paraId="548FF64C">
            <w:pPr>
              <w:widowControl/>
              <w:jc w:val="center"/>
              <w:rPr>
                <w:rFonts w:ascii="宋体" w:hAnsi="宋体" w:cs="宋体"/>
                <w:sz w:val="24"/>
              </w:rPr>
            </w:pPr>
            <w:r>
              <w:rPr>
                <w:rFonts w:hint="eastAsia" w:ascii="宋体" w:hAnsi="宋体" w:cs="宋体"/>
                <w:sz w:val="24"/>
              </w:rPr>
              <w:t>0</w:t>
            </w:r>
          </w:p>
        </w:tc>
        <w:tc>
          <w:tcPr>
            <w:tcW w:w="2268" w:type="dxa"/>
            <w:vAlign w:val="center"/>
          </w:tcPr>
          <w:p w14:paraId="45E680B8">
            <w:pPr>
              <w:widowControl/>
              <w:jc w:val="center"/>
              <w:rPr>
                <w:rFonts w:ascii="宋体" w:hAnsi="宋体" w:cs="宋体"/>
                <w:sz w:val="24"/>
              </w:rPr>
            </w:pPr>
            <w:r>
              <w:rPr>
                <w:rFonts w:hint="eastAsia" w:ascii="宋体" w:hAnsi="宋体" w:cs="宋体"/>
                <w:sz w:val="24"/>
              </w:rPr>
              <w:t>5</w:t>
            </w:r>
          </w:p>
        </w:tc>
        <w:tc>
          <w:tcPr>
            <w:tcW w:w="2268" w:type="dxa"/>
            <w:vAlign w:val="center"/>
          </w:tcPr>
          <w:p w14:paraId="1417EB02">
            <w:pPr>
              <w:widowControl/>
              <w:jc w:val="center"/>
              <w:rPr>
                <w:rFonts w:ascii="宋体" w:hAnsi="宋体" w:cs="宋体"/>
                <w:sz w:val="24"/>
              </w:rPr>
            </w:pPr>
            <w:r>
              <w:rPr>
                <w:rFonts w:hint="eastAsia" w:ascii="宋体" w:hAnsi="宋体" w:cs="宋体"/>
                <w:sz w:val="24"/>
              </w:rPr>
              <w:t>4.92</w:t>
            </w:r>
          </w:p>
        </w:tc>
        <w:tc>
          <w:tcPr>
            <w:tcW w:w="2268" w:type="dxa"/>
            <w:vAlign w:val="center"/>
          </w:tcPr>
          <w:p w14:paraId="39B36AC4">
            <w:pPr>
              <w:widowControl/>
              <w:jc w:val="center"/>
              <w:rPr>
                <w:rFonts w:ascii="宋体" w:hAnsi="宋体" w:cs="宋体"/>
                <w:sz w:val="24"/>
              </w:rPr>
            </w:pPr>
            <w:r>
              <w:rPr>
                <w:rFonts w:hint="eastAsia" w:ascii="宋体" w:hAnsi="宋体" w:cs="宋体"/>
                <w:sz w:val="24"/>
              </w:rPr>
              <w:t>98.40%</w:t>
            </w:r>
          </w:p>
        </w:tc>
      </w:tr>
      <w:tr w14:paraId="6AF9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FDEB7D7">
            <w:pPr>
              <w:widowControl/>
              <w:jc w:val="left"/>
              <w:rPr>
                <w:rFonts w:ascii="宋体" w:hAnsi="宋体" w:cs="宋体"/>
                <w:kern w:val="0"/>
                <w:sz w:val="24"/>
              </w:rPr>
            </w:pPr>
            <w:r>
              <w:rPr>
                <w:rFonts w:hint="eastAsia" w:ascii="宋体" w:hAnsi="宋体" w:cs="宋体"/>
                <w:sz w:val="24"/>
              </w:rPr>
              <w:t>信息化维护费</w:t>
            </w:r>
          </w:p>
        </w:tc>
        <w:tc>
          <w:tcPr>
            <w:tcW w:w="2268" w:type="dxa"/>
            <w:vAlign w:val="center"/>
          </w:tcPr>
          <w:p w14:paraId="64449C14">
            <w:pPr>
              <w:widowControl/>
              <w:jc w:val="center"/>
              <w:rPr>
                <w:rFonts w:ascii="宋体" w:hAnsi="宋体" w:cs="宋体"/>
                <w:kern w:val="0"/>
                <w:sz w:val="24"/>
              </w:rPr>
            </w:pPr>
            <w:r>
              <w:rPr>
                <w:rFonts w:hint="eastAsia" w:ascii="宋体" w:hAnsi="宋体" w:cs="宋体"/>
                <w:sz w:val="24"/>
              </w:rPr>
              <w:t>17</w:t>
            </w:r>
          </w:p>
        </w:tc>
        <w:tc>
          <w:tcPr>
            <w:tcW w:w="2268" w:type="dxa"/>
            <w:vAlign w:val="center"/>
          </w:tcPr>
          <w:p w14:paraId="6A64EDAF">
            <w:pPr>
              <w:widowControl/>
              <w:jc w:val="center"/>
              <w:rPr>
                <w:rFonts w:ascii="宋体" w:hAnsi="宋体" w:cs="宋体"/>
                <w:sz w:val="24"/>
              </w:rPr>
            </w:pPr>
            <w:r>
              <w:rPr>
                <w:rFonts w:hint="eastAsia" w:ascii="宋体" w:hAnsi="宋体" w:cs="宋体"/>
                <w:sz w:val="24"/>
              </w:rPr>
              <w:t>0</w:t>
            </w:r>
          </w:p>
        </w:tc>
        <w:tc>
          <w:tcPr>
            <w:tcW w:w="2268" w:type="dxa"/>
            <w:vAlign w:val="center"/>
          </w:tcPr>
          <w:p w14:paraId="056B594A">
            <w:pPr>
              <w:widowControl/>
              <w:jc w:val="center"/>
              <w:rPr>
                <w:rFonts w:ascii="宋体" w:hAnsi="宋体" w:cs="宋体"/>
                <w:sz w:val="24"/>
              </w:rPr>
            </w:pPr>
            <w:r>
              <w:rPr>
                <w:rFonts w:hint="eastAsia" w:ascii="宋体" w:hAnsi="宋体" w:cs="宋体"/>
                <w:sz w:val="24"/>
              </w:rPr>
              <w:t>17</w:t>
            </w:r>
          </w:p>
        </w:tc>
        <w:tc>
          <w:tcPr>
            <w:tcW w:w="2268" w:type="dxa"/>
            <w:vAlign w:val="center"/>
          </w:tcPr>
          <w:p w14:paraId="4AD997E7">
            <w:pPr>
              <w:widowControl/>
              <w:jc w:val="center"/>
              <w:rPr>
                <w:rFonts w:ascii="宋体" w:hAnsi="宋体" w:cs="宋体"/>
                <w:sz w:val="24"/>
              </w:rPr>
            </w:pPr>
            <w:r>
              <w:rPr>
                <w:rFonts w:hint="eastAsia" w:ascii="宋体" w:hAnsi="宋体" w:cs="宋体"/>
                <w:sz w:val="24"/>
              </w:rPr>
              <w:t>16.66</w:t>
            </w:r>
          </w:p>
        </w:tc>
        <w:tc>
          <w:tcPr>
            <w:tcW w:w="2268" w:type="dxa"/>
            <w:vAlign w:val="center"/>
          </w:tcPr>
          <w:p w14:paraId="73E4F05B">
            <w:pPr>
              <w:widowControl/>
              <w:jc w:val="center"/>
              <w:rPr>
                <w:rFonts w:ascii="宋体" w:hAnsi="宋体" w:cs="宋体"/>
                <w:sz w:val="24"/>
              </w:rPr>
            </w:pPr>
            <w:r>
              <w:rPr>
                <w:rFonts w:hint="eastAsia" w:ascii="宋体" w:hAnsi="宋体" w:cs="宋体"/>
                <w:sz w:val="24"/>
              </w:rPr>
              <w:t>98.00%</w:t>
            </w:r>
          </w:p>
        </w:tc>
      </w:tr>
      <w:tr w14:paraId="178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BAE420B">
            <w:pPr>
              <w:widowControl/>
              <w:jc w:val="left"/>
              <w:rPr>
                <w:rFonts w:ascii="宋体" w:hAnsi="宋体" w:cs="宋体"/>
                <w:kern w:val="0"/>
                <w:sz w:val="24"/>
              </w:rPr>
            </w:pPr>
            <w:r>
              <w:rPr>
                <w:rFonts w:hint="eastAsia" w:ascii="宋体" w:hAnsi="宋体" w:cs="宋体"/>
                <w:sz w:val="24"/>
              </w:rPr>
              <w:t>专项业务用水用电用气</w:t>
            </w:r>
          </w:p>
        </w:tc>
        <w:tc>
          <w:tcPr>
            <w:tcW w:w="2268" w:type="dxa"/>
            <w:vAlign w:val="center"/>
          </w:tcPr>
          <w:p w14:paraId="43FE1824">
            <w:pPr>
              <w:widowControl/>
              <w:jc w:val="center"/>
              <w:rPr>
                <w:rFonts w:ascii="宋体" w:hAnsi="宋体" w:cs="宋体"/>
                <w:kern w:val="0"/>
                <w:sz w:val="24"/>
              </w:rPr>
            </w:pPr>
            <w:r>
              <w:rPr>
                <w:rFonts w:hint="eastAsia" w:ascii="宋体" w:hAnsi="宋体" w:cs="宋体"/>
                <w:sz w:val="24"/>
              </w:rPr>
              <w:t>12</w:t>
            </w:r>
          </w:p>
        </w:tc>
        <w:tc>
          <w:tcPr>
            <w:tcW w:w="2268" w:type="dxa"/>
            <w:vAlign w:val="center"/>
          </w:tcPr>
          <w:p w14:paraId="2A810182">
            <w:pPr>
              <w:widowControl/>
              <w:jc w:val="center"/>
              <w:rPr>
                <w:rFonts w:ascii="宋体" w:hAnsi="宋体" w:cs="宋体"/>
                <w:sz w:val="24"/>
              </w:rPr>
            </w:pPr>
            <w:r>
              <w:rPr>
                <w:rFonts w:hint="eastAsia" w:ascii="宋体" w:hAnsi="宋体" w:cs="宋体"/>
                <w:sz w:val="24"/>
              </w:rPr>
              <w:t>0</w:t>
            </w:r>
          </w:p>
        </w:tc>
        <w:tc>
          <w:tcPr>
            <w:tcW w:w="2268" w:type="dxa"/>
            <w:vAlign w:val="center"/>
          </w:tcPr>
          <w:p w14:paraId="7FE452D1">
            <w:pPr>
              <w:widowControl/>
              <w:jc w:val="center"/>
              <w:rPr>
                <w:rFonts w:ascii="宋体" w:hAnsi="宋体" w:cs="宋体"/>
                <w:sz w:val="24"/>
              </w:rPr>
            </w:pPr>
            <w:r>
              <w:rPr>
                <w:rFonts w:hint="eastAsia" w:ascii="宋体" w:hAnsi="宋体" w:cs="宋体"/>
                <w:sz w:val="24"/>
              </w:rPr>
              <w:t>12</w:t>
            </w:r>
          </w:p>
        </w:tc>
        <w:tc>
          <w:tcPr>
            <w:tcW w:w="2268" w:type="dxa"/>
            <w:vAlign w:val="center"/>
          </w:tcPr>
          <w:p w14:paraId="3E707046">
            <w:pPr>
              <w:widowControl/>
              <w:jc w:val="center"/>
              <w:rPr>
                <w:rFonts w:ascii="宋体" w:hAnsi="宋体" w:cs="宋体"/>
                <w:sz w:val="24"/>
              </w:rPr>
            </w:pPr>
            <w:r>
              <w:rPr>
                <w:rFonts w:hint="eastAsia" w:ascii="宋体" w:hAnsi="宋体" w:cs="宋体"/>
                <w:sz w:val="24"/>
              </w:rPr>
              <w:t>11.79</w:t>
            </w:r>
          </w:p>
        </w:tc>
        <w:tc>
          <w:tcPr>
            <w:tcW w:w="2268" w:type="dxa"/>
            <w:vAlign w:val="center"/>
          </w:tcPr>
          <w:p w14:paraId="05C5C371">
            <w:pPr>
              <w:widowControl/>
              <w:jc w:val="center"/>
              <w:rPr>
                <w:rFonts w:ascii="宋体" w:hAnsi="宋体" w:cs="宋体"/>
                <w:sz w:val="24"/>
              </w:rPr>
            </w:pPr>
            <w:r>
              <w:rPr>
                <w:rFonts w:hint="eastAsia" w:ascii="宋体" w:hAnsi="宋体" w:cs="宋体"/>
                <w:sz w:val="24"/>
              </w:rPr>
              <w:t>98.25%</w:t>
            </w:r>
          </w:p>
        </w:tc>
      </w:tr>
      <w:tr w14:paraId="01C0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447D91C6">
            <w:pPr>
              <w:widowControl/>
              <w:jc w:val="left"/>
              <w:rPr>
                <w:rFonts w:ascii="宋体" w:hAnsi="宋体" w:cs="宋体"/>
                <w:kern w:val="0"/>
                <w:sz w:val="24"/>
              </w:rPr>
            </w:pPr>
            <w:r>
              <w:rPr>
                <w:rFonts w:hint="eastAsia" w:ascii="宋体" w:hAnsi="宋体" w:cs="宋体"/>
                <w:sz w:val="24"/>
              </w:rPr>
              <w:t>专项印刷费</w:t>
            </w:r>
          </w:p>
        </w:tc>
        <w:tc>
          <w:tcPr>
            <w:tcW w:w="2268" w:type="dxa"/>
            <w:vAlign w:val="center"/>
          </w:tcPr>
          <w:p w14:paraId="6EF0FBC5">
            <w:pPr>
              <w:widowControl/>
              <w:jc w:val="center"/>
              <w:rPr>
                <w:rFonts w:ascii="宋体" w:hAnsi="宋体" w:cs="宋体"/>
                <w:kern w:val="0"/>
                <w:sz w:val="24"/>
              </w:rPr>
            </w:pPr>
            <w:r>
              <w:rPr>
                <w:rFonts w:hint="eastAsia" w:ascii="宋体" w:hAnsi="宋体" w:cs="宋体"/>
                <w:sz w:val="24"/>
              </w:rPr>
              <w:t>10</w:t>
            </w:r>
          </w:p>
        </w:tc>
        <w:tc>
          <w:tcPr>
            <w:tcW w:w="2268" w:type="dxa"/>
            <w:vAlign w:val="center"/>
          </w:tcPr>
          <w:p w14:paraId="7486CBE1">
            <w:pPr>
              <w:widowControl/>
              <w:jc w:val="center"/>
              <w:rPr>
                <w:rFonts w:ascii="宋体" w:hAnsi="宋体" w:cs="宋体"/>
                <w:sz w:val="24"/>
              </w:rPr>
            </w:pPr>
            <w:r>
              <w:rPr>
                <w:rFonts w:hint="eastAsia" w:ascii="宋体" w:hAnsi="宋体" w:cs="宋体"/>
                <w:sz w:val="24"/>
              </w:rPr>
              <w:t>0</w:t>
            </w:r>
          </w:p>
        </w:tc>
        <w:tc>
          <w:tcPr>
            <w:tcW w:w="2268" w:type="dxa"/>
            <w:vAlign w:val="center"/>
          </w:tcPr>
          <w:p w14:paraId="51CF4E68">
            <w:pPr>
              <w:widowControl/>
              <w:jc w:val="center"/>
              <w:rPr>
                <w:rFonts w:ascii="宋体" w:hAnsi="宋体" w:cs="宋体"/>
                <w:sz w:val="24"/>
              </w:rPr>
            </w:pPr>
            <w:r>
              <w:rPr>
                <w:rFonts w:hint="eastAsia" w:ascii="宋体" w:hAnsi="宋体" w:cs="宋体"/>
                <w:sz w:val="24"/>
              </w:rPr>
              <w:t>10</w:t>
            </w:r>
          </w:p>
        </w:tc>
        <w:tc>
          <w:tcPr>
            <w:tcW w:w="2268" w:type="dxa"/>
            <w:vAlign w:val="center"/>
          </w:tcPr>
          <w:p w14:paraId="7192668C">
            <w:pPr>
              <w:widowControl/>
              <w:jc w:val="center"/>
              <w:rPr>
                <w:rFonts w:ascii="宋体" w:hAnsi="宋体" w:cs="宋体"/>
                <w:sz w:val="24"/>
              </w:rPr>
            </w:pPr>
            <w:r>
              <w:rPr>
                <w:rFonts w:hint="eastAsia" w:ascii="宋体" w:hAnsi="宋体" w:cs="宋体"/>
                <w:sz w:val="24"/>
              </w:rPr>
              <w:t>9.91</w:t>
            </w:r>
          </w:p>
        </w:tc>
        <w:tc>
          <w:tcPr>
            <w:tcW w:w="2268" w:type="dxa"/>
            <w:vAlign w:val="center"/>
          </w:tcPr>
          <w:p w14:paraId="6D68AFDA">
            <w:pPr>
              <w:widowControl/>
              <w:jc w:val="center"/>
              <w:rPr>
                <w:rFonts w:ascii="宋体" w:hAnsi="宋体" w:cs="宋体"/>
                <w:sz w:val="24"/>
              </w:rPr>
            </w:pPr>
            <w:r>
              <w:rPr>
                <w:rFonts w:hint="eastAsia" w:ascii="宋体" w:hAnsi="宋体" w:cs="宋体"/>
                <w:sz w:val="24"/>
              </w:rPr>
              <w:t>99.10%</w:t>
            </w:r>
          </w:p>
        </w:tc>
      </w:tr>
      <w:tr w14:paraId="53BD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44ABBFB">
            <w:pPr>
              <w:widowControl/>
              <w:jc w:val="left"/>
              <w:rPr>
                <w:rFonts w:ascii="宋体" w:hAnsi="宋体" w:cs="宋体"/>
                <w:kern w:val="0"/>
                <w:sz w:val="24"/>
              </w:rPr>
            </w:pPr>
            <w:r>
              <w:rPr>
                <w:rFonts w:hint="eastAsia" w:ascii="宋体" w:hAnsi="宋体" w:cs="宋体"/>
                <w:sz w:val="24"/>
              </w:rPr>
              <w:t>专项邮寄费</w:t>
            </w:r>
          </w:p>
        </w:tc>
        <w:tc>
          <w:tcPr>
            <w:tcW w:w="2268" w:type="dxa"/>
            <w:vAlign w:val="center"/>
          </w:tcPr>
          <w:p w14:paraId="727841EB">
            <w:pPr>
              <w:widowControl/>
              <w:jc w:val="center"/>
              <w:rPr>
                <w:rFonts w:ascii="宋体" w:hAnsi="宋体" w:cs="宋体"/>
                <w:kern w:val="0"/>
                <w:sz w:val="24"/>
              </w:rPr>
            </w:pPr>
            <w:r>
              <w:rPr>
                <w:rFonts w:hint="eastAsia" w:ascii="宋体" w:hAnsi="宋体" w:cs="宋体"/>
                <w:sz w:val="24"/>
              </w:rPr>
              <w:t>9.97</w:t>
            </w:r>
          </w:p>
        </w:tc>
        <w:tc>
          <w:tcPr>
            <w:tcW w:w="2268" w:type="dxa"/>
            <w:vAlign w:val="center"/>
          </w:tcPr>
          <w:p w14:paraId="521BAD13">
            <w:pPr>
              <w:widowControl/>
              <w:jc w:val="center"/>
              <w:rPr>
                <w:rFonts w:ascii="宋体" w:hAnsi="宋体" w:cs="宋体"/>
                <w:sz w:val="24"/>
              </w:rPr>
            </w:pPr>
            <w:r>
              <w:rPr>
                <w:rFonts w:hint="eastAsia" w:ascii="宋体" w:hAnsi="宋体" w:cs="宋体"/>
                <w:sz w:val="24"/>
              </w:rPr>
              <w:t>0</w:t>
            </w:r>
          </w:p>
        </w:tc>
        <w:tc>
          <w:tcPr>
            <w:tcW w:w="2268" w:type="dxa"/>
            <w:vAlign w:val="center"/>
          </w:tcPr>
          <w:p w14:paraId="370714F9">
            <w:pPr>
              <w:widowControl/>
              <w:jc w:val="center"/>
              <w:rPr>
                <w:rFonts w:ascii="宋体" w:hAnsi="宋体" w:cs="宋体"/>
                <w:sz w:val="24"/>
              </w:rPr>
            </w:pPr>
            <w:r>
              <w:rPr>
                <w:rFonts w:hint="eastAsia" w:ascii="宋体" w:hAnsi="宋体" w:cs="宋体"/>
                <w:sz w:val="24"/>
              </w:rPr>
              <w:t>9.97</w:t>
            </w:r>
          </w:p>
        </w:tc>
        <w:tc>
          <w:tcPr>
            <w:tcW w:w="2268" w:type="dxa"/>
            <w:vAlign w:val="center"/>
          </w:tcPr>
          <w:p w14:paraId="3B6F816C">
            <w:pPr>
              <w:widowControl/>
              <w:jc w:val="center"/>
              <w:rPr>
                <w:rFonts w:ascii="宋体" w:hAnsi="宋体" w:cs="宋体"/>
                <w:sz w:val="24"/>
              </w:rPr>
            </w:pPr>
            <w:r>
              <w:rPr>
                <w:rFonts w:hint="eastAsia" w:ascii="宋体" w:hAnsi="宋体" w:cs="宋体"/>
                <w:sz w:val="24"/>
              </w:rPr>
              <w:t>9.76</w:t>
            </w:r>
          </w:p>
        </w:tc>
        <w:tc>
          <w:tcPr>
            <w:tcW w:w="2268" w:type="dxa"/>
            <w:vAlign w:val="center"/>
          </w:tcPr>
          <w:p w14:paraId="067B344D">
            <w:pPr>
              <w:widowControl/>
              <w:jc w:val="center"/>
              <w:rPr>
                <w:rFonts w:ascii="宋体" w:hAnsi="宋体" w:cs="宋体"/>
                <w:sz w:val="24"/>
              </w:rPr>
            </w:pPr>
            <w:r>
              <w:rPr>
                <w:rFonts w:hint="eastAsia" w:ascii="宋体" w:hAnsi="宋体" w:cs="宋体"/>
                <w:sz w:val="24"/>
              </w:rPr>
              <w:t>97.89%</w:t>
            </w:r>
          </w:p>
        </w:tc>
      </w:tr>
      <w:tr w14:paraId="19CB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E45F306">
            <w:pPr>
              <w:widowControl/>
              <w:jc w:val="left"/>
              <w:rPr>
                <w:rFonts w:ascii="宋体" w:hAnsi="宋体" w:cs="宋体"/>
                <w:kern w:val="0"/>
                <w:sz w:val="24"/>
              </w:rPr>
            </w:pPr>
            <w:r>
              <w:rPr>
                <w:rFonts w:hint="eastAsia" w:ascii="宋体" w:hAnsi="宋体" w:cs="宋体"/>
                <w:sz w:val="24"/>
              </w:rPr>
              <w:t>专项租赁费</w:t>
            </w:r>
          </w:p>
        </w:tc>
        <w:tc>
          <w:tcPr>
            <w:tcW w:w="2268" w:type="dxa"/>
            <w:vAlign w:val="center"/>
          </w:tcPr>
          <w:p w14:paraId="29FA0504">
            <w:pPr>
              <w:widowControl/>
              <w:jc w:val="center"/>
              <w:rPr>
                <w:rFonts w:ascii="宋体" w:hAnsi="宋体" w:cs="宋体"/>
                <w:kern w:val="0"/>
                <w:sz w:val="24"/>
              </w:rPr>
            </w:pPr>
            <w:r>
              <w:rPr>
                <w:rFonts w:hint="eastAsia" w:ascii="宋体" w:hAnsi="宋体" w:cs="宋体"/>
                <w:sz w:val="24"/>
              </w:rPr>
              <w:t>108.12</w:t>
            </w:r>
          </w:p>
        </w:tc>
        <w:tc>
          <w:tcPr>
            <w:tcW w:w="2268" w:type="dxa"/>
            <w:vAlign w:val="center"/>
          </w:tcPr>
          <w:p w14:paraId="3677AB29">
            <w:pPr>
              <w:widowControl/>
              <w:jc w:val="center"/>
              <w:rPr>
                <w:rFonts w:ascii="宋体" w:hAnsi="宋体" w:cs="宋体"/>
                <w:sz w:val="24"/>
              </w:rPr>
            </w:pPr>
            <w:r>
              <w:rPr>
                <w:rFonts w:hint="eastAsia" w:ascii="宋体" w:hAnsi="宋体" w:cs="宋体"/>
                <w:sz w:val="24"/>
              </w:rPr>
              <w:t>0</w:t>
            </w:r>
          </w:p>
        </w:tc>
        <w:tc>
          <w:tcPr>
            <w:tcW w:w="2268" w:type="dxa"/>
            <w:vAlign w:val="center"/>
          </w:tcPr>
          <w:p w14:paraId="52280E52">
            <w:pPr>
              <w:widowControl/>
              <w:jc w:val="center"/>
              <w:rPr>
                <w:rFonts w:ascii="宋体" w:hAnsi="宋体" w:cs="宋体"/>
                <w:sz w:val="24"/>
              </w:rPr>
            </w:pPr>
            <w:r>
              <w:rPr>
                <w:rFonts w:hint="eastAsia" w:ascii="宋体" w:hAnsi="宋体" w:cs="宋体"/>
                <w:sz w:val="24"/>
              </w:rPr>
              <w:t>108.12</w:t>
            </w:r>
          </w:p>
        </w:tc>
        <w:tc>
          <w:tcPr>
            <w:tcW w:w="2268" w:type="dxa"/>
            <w:vAlign w:val="center"/>
          </w:tcPr>
          <w:p w14:paraId="416F391E">
            <w:pPr>
              <w:widowControl/>
              <w:jc w:val="center"/>
              <w:rPr>
                <w:rFonts w:ascii="宋体" w:hAnsi="宋体" w:cs="宋体"/>
                <w:sz w:val="24"/>
              </w:rPr>
            </w:pPr>
            <w:r>
              <w:rPr>
                <w:rFonts w:hint="eastAsia" w:ascii="宋体" w:hAnsi="宋体" w:cs="宋体"/>
                <w:sz w:val="24"/>
              </w:rPr>
              <w:t>108.1</w:t>
            </w:r>
          </w:p>
        </w:tc>
        <w:tc>
          <w:tcPr>
            <w:tcW w:w="2268" w:type="dxa"/>
            <w:vAlign w:val="center"/>
          </w:tcPr>
          <w:p w14:paraId="17D9FAEB">
            <w:pPr>
              <w:widowControl/>
              <w:jc w:val="center"/>
              <w:rPr>
                <w:rFonts w:ascii="宋体" w:hAnsi="宋体" w:cs="宋体"/>
                <w:sz w:val="24"/>
              </w:rPr>
            </w:pPr>
            <w:r>
              <w:rPr>
                <w:rFonts w:hint="eastAsia" w:ascii="宋体" w:hAnsi="宋体" w:cs="宋体"/>
                <w:sz w:val="24"/>
              </w:rPr>
              <w:t>99.98%</w:t>
            </w:r>
          </w:p>
        </w:tc>
      </w:tr>
      <w:tr w14:paraId="6604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28BB448">
            <w:pPr>
              <w:widowControl/>
              <w:jc w:val="left"/>
              <w:rPr>
                <w:rFonts w:ascii="宋体" w:hAnsi="宋体" w:cs="宋体"/>
                <w:kern w:val="0"/>
                <w:sz w:val="24"/>
              </w:rPr>
            </w:pPr>
            <w:r>
              <w:rPr>
                <w:rFonts w:hint="eastAsia" w:ascii="宋体" w:hAnsi="宋体" w:cs="宋体"/>
                <w:sz w:val="24"/>
              </w:rPr>
              <w:t>环境卫生费</w:t>
            </w:r>
          </w:p>
        </w:tc>
        <w:tc>
          <w:tcPr>
            <w:tcW w:w="2268" w:type="dxa"/>
            <w:vAlign w:val="center"/>
          </w:tcPr>
          <w:p w14:paraId="59D639E3">
            <w:pPr>
              <w:widowControl/>
              <w:jc w:val="center"/>
              <w:rPr>
                <w:rFonts w:ascii="宋体" w:hAnsi="宋体" w:cs="宋体"/>
                <w:kern w:val="0"/>
                <w:sz w:val="24"/>
              </w:rPr>
            </w:pPr>
            <w:r>
              <w:rPr>
                <w:rFonts w:hint="eastAsia" w:ascii="宋体" w:hAnsi="宋体" w:cs="宋体"/>
                <w:sz w:val="24"/>
              </w:rPr>
              <w:t>3</w:t>
            </w:r>
          </w:p>
        </w:tc>
        <w:tc>
          <w:tcPr>
            <w:tcW w:w="2268" w:type="dxa"/>
            <w:vAlign w:val="center"/>
          </w:tcPr>
          <w:p w14:paraId="2F6A0D8A">
            <w:pPr>
              <w:widowControl/>
              <w:jc w:val="center"/>
              <w:rPr>
                <w:rFonts w:ascii="宋体" w:hAnsi="宋体" w:cs="宋体"/>
                <w:sz w:val="24"/>
              </w:rPr>
            </w:pPr>
            <w:r>
              <w:rPr>
                <w:rFonts w:hint="eastAsia" w:ascii="宋体" w:hAnsi="宋体" w:cs="宋体"/>
                <w:sz w:val="24"/>
              </w:rPr>
              <w:t>0</w:t>
            </w:r>
          </w:p>
        </w:tc>
        <w:tc>
          <w:tcPr>
            <w:tcW w:w="2268" w:type="dxa"/>
            <w:vAlign w:val="center"/>
          </w:tcPr>
          <w:p w14:paraId="50F35A6F">
            <w:pPr>
              <w:widowControl/>
              <w:jc w:val="center"/>
              <w:rPr>
                <w:rFonts w:ascii="宋体" w:hAnsi="宋体" w:cs="宋体"/>
                <w:sz w:val="24"/>
              </w:rPr>
            </w:pPr>
            <w:r>
              <w:rPr>
                <w:rFonts w:hint="eastAsia" w:ascii="宋体" w:hAnsi="宋体" w:cs="宋体"/>
                <w:sz w:val="24"/>
              </w:rPr>
              <w:t>3</w:t>
            </w:r>
          </w:p>
        </w:tc>
        <w:tc>
          <w:tcPr>
            <w:tcW w:w="2268" w:type="dxa"/>
            <w:vAlign w:val="center"/>
          </w:tcPr>
          <w:p w14:paraId="0DE4EC9A">
            <w:pPr>
              <w:widowControl/>
              <w:jc w:val="center"/>
              <w:rPr>
                <w:rFonts w:ascii="宋体" w:hAnsi="宋体" w:cs="宋体"/>
                <w:sz w:val="24"/>
              </w:rPr>
            </w:pPr>
            <w:r>
              <w:rPr>
                <w:rFonts w:hint="eastAsia" w:ascii="宋体" w:hAnsi="宋体" w:cs="宋体"/>
                <w:sz w:val="24"/>
              </w:rPr>
              <w:t>3</w:t>
            </w:r>
          </w:p>
        </w:tc>
        <w:tc>
          <w:tcPr>
            <w:tcW w:w="2268" w:type="dxa"/>
            <w:vAlign w:val="center"/>
          </w:tcPr>
          <w:p w14:paraId="33A803B1">
            <w:pPr>
              <w:widowControl/>
              <w:jc w:val="center"/>
              <w:rPr>
                <w:rFonts w:ascii="宋体" w:hAnsi="宋体" w:cs="宋体"/>
                <w:sz w:val="24"/>
              </w:rPr>
            </w:pPr>
            <w:r>
              <w:rPr>
                <w:rFonts w:hint="eastAsia" w:ascii="宋体" w:hAnsi="宋体" w:cs="宋体"/>
                <w:sz w:val="24"/>
              </w:rPr>
              <w:t>100.00%</w:t>
            </w:r>
          </w:p>
        </w:tc>
      </w:tr>
      <w:tr w14:paraId="43A8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78D39FE7">
            <w:pPr>
              <w:widowControl/>
              <w:jc w:val="left"/>
              <w:rPr>
                <w:rFonts w:ascii="宋体" w:hAnsi="宋体" w:cs="宋体"/>
                <w:kern w:val="0"/>
                <w:sz w:val="24"/>
              </w:rPr>
            </w:pPr>
            <w:r>
              <w:rPr>
                <w:rFonts w:hint="eastAsia" w:ascii="宋体" w:hAnsi="宋体" w:cs="宋体"/>
                <w:sz w:val="24"/>
              </w:rPr>
              <w:t>党团活动经费</w:t>
            </w:r>
          </w:p>
        </w:tc>
        <w:tc>
          <w:tcPr>
            <w:tcW w:w="2268" w:type="dxa"/>
            <w:vAlign w:val="center"/>
          </w:tcPr>
          <w:p w14:paraId="57D6CDF8">
            <w:pPr>
              <w:widowControl/>
              <w:jc w:val="center"/>
              <w:rPr>
                <w:rFonts w:ascii="宋体" w:hAnsi="宋体" w:cs="宋体"/>
                <w:kern w:val="0"/>
                <w:sz w:val="24"/>
              </w:rPr>
            </w:pPr>
            <w:r>
              <w:rPr>
                <w:rFonts w:hint="eastAsia" w:ascii="宋体" w:hAnsi="宋体" w:cs="宋体"/>
                <w:sz w:val="24"/>
              </w:rPr>
              <w:t>1.8</w:t>
            </w:r>
          </w:p>
        </w:tc>
        <w:tc>
          <w:tcPr>
            <w:tcW w:w="2268" w:type="dxa"/>
            <w:vAlign w:val="center"/>
          </w:tcPr>
          <w:p w14:paraId="06AB650F">
            <w:pPr>
              <w:widowControl/>
              <w:jc w:val="center"/>
              <w:rPr>
                <w:rFonts w:ascii="宋体" w:hAnsi="宋体" w:cs="宋体"/>
                <w:sz w:val="24"/>
              </w:rPr>
            </w:pPr>
            <w:r>
              <w:rPr>
                <w:rFonts w:hint="eastAsia" w:ascii="宋体" w:hAnsi="宋体" w:cs="宋体"/>
                <w:sz w:val="24"/>
              </w:rPr>
              <w:t>0</w:t>
            </w:r>
          </w:p>
        </w:tc>
        <w:tc>
          <w:tcPr>
            <w:tcW w:w="2268" w:type="dxa"/>
            <w:vAlign w:val="center"/>
          </w:tcPr>
          <w:p w14:paraId="3EF78C1F">
            <w:pPr>
              <w:widowControl/>
              <w:jc w:val="center"/>
              <w:rPr>
                <w:rFonts w:ascii="宋体" w:hAnsi="宋体" w:cs="宋体"/>
                <w:sz w:val="24"/>
              </w:rPr>
            </w:pPr>
            <w:r>
              <w:rPr>
                <w:rFonts w:hint="eastAsia" w:ascii="宋体" w:hAnsi="宋体" w:cs="宋体"/>
                <w:sz w:val="24"/>
              </w:rPr>
              <w:t>1.8</w:t>
            </w:r>
          </w:p>
        </w:tc>
        <w:tc>
          <w:tcPr>
            <w:tcW w:w="2268" w:type="dxa"/>
            <w:vAlign w:val="center"/>
          </w:tcPr>
          <w:p w14:paraId="4D063DD6">
            <w:pPr>
              <w:widowControl/>
              <w:jc w:val="center"/>
              <w:rPr>
                <w:rFonts w:ascii="宋体" w:hAnsi="宋体" w:cs="宋体"/>
                <w:sz w:val="24"/>
              </w:rPr>
            </w:pPr>
            <w:r>
              <w:rPr>
                <w:rFonts w:hint="eastAsia" w:ascii="宋体" w:hAnsi="宋体" w:cs="宋体"/>
                <w:sz w:val="24"/>
              </w:rPr>
              <w:t>1.73</w:t>
            </w:r>
          </w:p>
        </w:tc>
        <w:tc>
          <w:tcPr>
            <w:tcW w:w="2268" w:type="dxa"/>
            <w:vAlign w:val="center"/>
          </w:tcPr>
          <w:p w14:paraId="1D0381D5">
            <w:pPr>
              <w:widowControl/>
              <w:jc w:val="center"/>
              <w:rPr>
                <w:rFonts w:ascii="宋体" w:hAnsi="宋体" w:cs="宋体"/>
                <w:sz w:val="24"/>
              </w:rPr>
            </w:pPr>
            <w:r>
              <w:rPr>
                <w:rFonts w:hint="eastAsia" w:ascii="宋体" w:hAnsi="宋体" w:cs="宋体"/>
                <w:sz w:val="24"/>
              </w:rPr>
              <w:t>96.11%</w:t>
            </w:r>
          </w:p>
        </w:tc>
      </w:tr>
      <w:tr w14:paraId="7524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0E97BD8">
            <w:pPr>
              <w:widowControl/>
              <w:jc w:val="left"/>
              <w:rPr>
                <w:rFonts w:ascii="宋体" w:hAnsi="宋体" w:cs="宋体"/>
                <w:kern w:val="0"/>
                <w:sz w:val="24"/>
              </w:rPr>
            </w:pPr>
            <w:r>
              <w:rPr>
                <w:rFonts w:hint="eastAsia" w:ascii="宋体" w:hAnsi="宋体" w:cs="宋体"/>
                <w:sz w:val="24"/>
              </w:rPr>
              <w:t>办公设备购置</w:t>
            </w:r>
          </w:p>
        </w:tc>
        <w:tc>
          <w:tcPr>
            <w:tcW w:w="2268" w:type="dxa"/>
            <w:vAlign w:val="center"/>
          </w:tcPr>
          <w:p w14:paraId="6A3E0AFB">
            <w:pPr>
              <w:widowControl/>
              <w:jc w:val="center"/>
              <w:rPr>
                <w:rFonts w:ascii="宋体" w:hAnsi="宋体" w:cs="宋体"/>
                <w:kern w:val="0"/>
                <w:sz w:val="24"/>
              </w:rPr>
            </w:pPr>
            <w:r>
              <w:rPr>
                <w:rFonts w:hint="eastAsia" w:ascii="宋体" w:hAnsi="宋体" w:cs="宋体"/>
                <w:sz w:val="24"/>
              </w:rPr>
              <w:t>6.5</w:t>
            </w:r>
          </w:p>
        </w:tc>
        <w:tc>
          <w:tcPr>
            <w:tcW w:w="2268" w:type="dxa"/>
            <w:vAlign w:val="center"/>
          </w:tcPr>
          <w:p w14:paraId="501B4A65">
            <w:pPr>
              <w:widowControl/>
              <w:jc w:val="center"/>
              <w:rPr>
                <w:rFonts w:ascii="宋体" w:hAnsi="宋体" w:cs="宋体"/>
                <w:sz w:val="24"/>
              </w:rPr>
            </w:pPr>
            <w:r>
              <w:rPr>
                <w:rFonts w:hint="eastAsia" w:ascii="宋体" w:hAnsi="宋体" w:cs="宋体"/>
                <w:sz w:val="24"/>
              </w:rPr>
              <w:t>0</w:t>
            </w:r>
          </w:p>
        </w:tc>
        <w:tc>
          <w:tcPr>
            <w:tcW w:w="2268" w:type="dxa"/>
            <w:vAlign w:val="center"/>
          </w:tcPr>
          <w:p w14:paraId="40A47AEF">
            <w:pPr>
              <w:widowControl/>
              <w:jc w:val="center"/>
              <w:rPr>
                <w:rFonts w:ascii="宋体" w:hAnsi="宋体" w:cs="宋体"/>
                <w:sz w:val="24"/>
              </w:rPr>
            </w:pPr>
            <w:r>
              <w:rPr>
                <w:rFonts w:hint="eastAsia" w:ascii="宋体" w:hAnsi="宋体" w:cs="宋体"/>
                <w:sz w:val="24"/>
              </w:rPr>
              <w:t>6.5</w:t>
            </w:r>
          </w:p>
        </w:tc>
        <w:tc>
          <w:tcPr>
            <w:tcW w:w="2268" w:type="dxa"/>
            <w:vAlign w:val="center"/>
          </w:tcPr>
          <w:p w14:paraId="22BD53A8">
            <w:pPr>
              <w:widowControl/>
              <w:jc w:val="center"/>
              <w:rPr>
                <w:rFonts w:ascii="宋体" w:hAnsi="宋体" w:cs="宋体"/>
                <w:sz w:val="24"/>
              </w:rPr>
            </w:pPr>
            <w:r>
              <w:rPr>
                <w:rFonts w:hint="eastAsia" w:ascii="宋体" w:hAnsi="宋体" w:cs="宋体"/>
                <w:sz w:val="24"/>
              </w:rPr>
              <w:t>5.58</w:t>
            </w:r>
          </w:p>
        </w:tc>
        <w:tc>
          <w:tcPr>
            <w:tcW w:w="2268" w:type="dxa"/>
            <w:vAlign w:val="center"/>
          </w:tcPr>
          <w:p w14:paraId="01C10BCF">
            <w:pPr>
              <w:widowControl/>
              <w:jc w:val="center"/>
              <w:rPr>
                <w:rFonts w:ascii="宋体" w:hAnsi="宋体" w:cs="宋体"/>
                <w:sz w:val="24"/>
              </w:rPr>
            </w:pPr>
            <w:r>
              <w:rPr>
                <w:rFonts w:hint="eastAsia" w:ascii="宋体" w:hAnsi="宋体" w:cs="宋体"/>
                <w:sz w:val="24"/>
              </w:rPr>
              <w:t>85.85%</w:t>
            </w:r>
          </w:p>
        </w:tc>
      </w:tr>
      <w:tr w14:paraId="6AA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0B1AFB7E">
            <w:pPr>
              <w:widowControl/>
              <w:jc w:val="left"/>
              <w:rPr>
                <w:rFonts w:ascii="宋体" w:hAnsi="宋体" w:cs="宋体"/>
                <w:kern w:val="0"/>
                <w:sz w:val="24"/>
              </w:rPr>
            </w:pPr>
            <w:r>
              <w:rPr>
                <w:rFonts w:hint="eastAsia" w:ascii="宋体" w:hAnsi="宋体" w:cs="宋体"/>
                <w:sz w:val="24"/>
              </w:rPr>
              <w:t>物业管理费</w:t>
            </w:r>
          </w:p>
        </w:tc>
        <w:tc>
          <w:tcPr>
            <w:tcW w:w="2268" w:type="dxa"/>
            <w:vAlign w:val="center"/>
          </w:tcPr>
          <w:p w14:paraId="43273013">
            <w:pPr>
              <w:widowControl/>
              <w:jc w:val="center"/>
              <w:rPr>
                <w:rFonts w:ascii="宋体" w:hAnsi="宋体" w:cs="宋体"/>
                <w:kern w:val="0"/>
                <w:sz w:val="24"/>
              </w:rPr>
            </w:pPr>
            <w:r>
              <w:rPr>
                <w:rFonts w:hint="eastAsia" w:ascii="宋体" w:hAnsi="宋体" w:cs="宋体"/>
                <w:sz w:val="24"/>
              </w:rPr>
              <w:t>21.48</w:t>
            </w:r>
          </w:p>
        </w:tc>
        <w:tc>
          <w:tcPr>
            <w:tcW w:w="2268" w:type="dxa"/>
            <w:vAlign w:val="center"/>
          </w:tcPr>
          <w:p w14:paraId="179D0362">
            <w:pPr>
              <w:widowControl/>
              <w:jc w:val="center"/>
              <w:rPr>
                <w:rFonts w:ascii="宋体" w:hAnsi="宋体" w:cs="宋体"/>
                <w:sz w:val="24"/>
              </w:rPr>
            </w:pPr>
            <w:r>
              <w:rPr>
                <w:rFonts w:hint="eastAsia" w:ascii="宋体" w:hAnsi="宋体" w:cs="宋体"/>
                <w:sz w:val="24"/>
              </w:rPr>
              <w:t>0</w:t>
            </w:r>
          </w:p>
        </w:tc>
        <w:tc>
          <w:tcPr>
            <w:tcW w:w="2268" w:type="dxa"/>
            <w:vAlign w:val="center"/>
          </w:tcPr>
          <w:p w14:paraId="52781402">
            <w:pPr>
              <w:widowControl/>
              <w:jc w:val="center"/>
              <w:rPr>
                <w:rFonts w:ascii="宋体" w:hAnsi="宋体" w:cs="宋体"/>
                <w:sz w:val="24"/>
              </w:rPr>
            </w:pPr>
            <w:r>
              <w:rPr>
                <w:rFonts w:hint="eastAsia" w:ascii="宋体" w:hAnsi="宋体" w:cs="宋体"/>
                <w:sz w:val="24"/>
              </w:rPr>
              <w:t>21.48</w:t>
            </w:r>
          </w:p>
        </w:tc>
        <w:tc>
          <w:tcPr>
            <w:tcW w:w="2268" w:type="dxa"/>
            <w:vAlign w:val="center"/>
          </w:tcPr>
          <w:p w14:paraId="63C017FE">
            <w:pPr>
              <w:widowControl/>
              <w:jc w:val="center"/>
              <w:rPr>
                <w:rFonts w:ascii="宋体" w:hAnsi="宋体" w:cs="宋体"/>
                <w:sz w:val="24"/>
              </w:rPr>
            </w:pPr>
            <w:r>
              <w:rPr>
                <w:rFonts w:hint="eastAsia" w:ascii="宋体" w:hAnsi="宋体" w:cs="宋体"/>
                <w:sz w:val="24"/>
              </w:rPr>
              <w:t>21.47</w:t>
            </w:r>
          </w:p>
        </w:tc>
        <w:tc>
          <w:tcPr>
            <w:tcW w:w="2268" w:type="dxa"/>
            <w:vAlign w:val="center"/>
          </w:tcPr>
          <w:p w14:paraId="2A79C518">
            <w:pPr>
              <w:widowControl/>
              <w:jc w:val="center"/>
              <w:rPr>
                <w:rFonts w:ascii="宋体" w:hAnsi="宋体" w:cs="宋体"/>
                <w:sz w:val="24"/>
              </w:rPr>
            </w:pPr>
            <w:r>
              <w:rPr>
                <w:rFonts w:hint="eastAsia" w:ascii="宋体" w:hAnsi="宋体" w:cs="宋体"/>
                <w:sz w:val="24"/>
              </w:rPr>
              <w:t>99.95%</w:t>
            </w:r>
          </w:p>
        </w:tc>
      </w:tr>
      <w:tr w14:paraId="3EE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102104ED">
            <w:pPr>
              <w:widowControl/>
              <w:jc w:val="left"/>
              <w:rPr>
                <w:rFonts w:ascii="宋体" w:hAnsi="宋体" w:cs="宋体"/>
                <w:kern w:val="0"/>
                <w:sz w:val="24"/>
              </w:rPr>
            </w:pPr>
            <w:r>
              <w:rPr>
                <w:rFonts w:hint="eastAsia" w:ascii="宋体" w:hAnsi="宋体" w:cs="宋体"/>
                <w:sz w:val="24"/>
              </w:rPr>
              <w:t>体检费</w:t>
            </w:r>
          </w:p>
        </w:tc>
        <w:tc>
          <w:tcPr>
            <w:tcW w:w="2268" w:type="dxa"/>
            <w:vAlign w:val="center"/>
          </w:tcPr>
          <w:p w14:paraId="4278F04A">
            <w:pPr>
              <w:widowControl/>
              <w:jc w:val="center"/>
              <w:rPr>
                <w:rFonts w:ascii="宋体" w:hAnsi="宋体" w:cs="宋体"/>
                <w:kern w:val="0"/>
                <w:sz w:val="24"/>
              </w:rPr>
            </w:pPr>
            <w:r>
              <w:rPr>
                <w:rFonts w:hint="eastAsia" w:ascii="宋体" w:hAnsi="宋体" w:cs="宋体"/>
                <w:sz w:val="24"/>
              </w:rPr>
              <w:t>4.32</w:t>
            </w:r>
          </w:p>
        </w:tc>
        <w:tc>
          <w:tcPr>
            <w:tcW w:w="2268" w:type="dxa"/>
            <w:vAlign w:val="center"/>
          </w:tcPr>
          <w:p w14:paraId="55C3BE21">
            <w:pPr>
              <w:widowControl/>
              <w:jc w:val="center"/>
              <w:rPr>
                <w:rFonts w:ascii="宋体" w:hAnsi="宋体" w:cs="宋体"/>
                <w:sz w:val="24"/>
              </w:rPr>
            </w:pPr>
            <w:r>
              <w:rPr>
                <w:rFonts w:hint="eastAsia" w:ascii="宋体" w:hAnsi="宋体" w:cs="宋体"/>
                <w:sz w:val="24"/>
              </w:rPr>
              <w:t>0</w:t>
            </w:r>
          </w:p>
        </w:tc>
        <w:tc>
          <w:tcPr>
            <w:tcW w:w="2268" w:type="dxa"/>
            <w:vAlign w:val="center"/>
          </w:tcPr>
          <w:p w14:paraId="0F87B832">
            <w:pPr>
              <w:widowControl/>
              <w:jc w:val="center"/>
              <w:rPr>
                <w:rFonts w:ascii="宋体" w:hAnsi="宋体" w:cs="宋体"/>
                <w:sz w:val="24"/>
              </w:rPr>
            </w:pPr>
            <w:r>
              <w:rPr>
                <w:rFonts w:hint="eastAsia" w:ascii="宋体" w:hAnsi="宋体" w:cs="宋体"/>
                <w:sz w:val="24"/>
              </w:rPr>
              <w:t>4.32</w:t>
            </w:r>
          </w:p>
        </w:tc>
        <w:tc>
          <w:tcPr>
            <w:tcW w:w="2268" w:type="dxa"/>
            <w:vAlign w:val="center"/>
          </w:tcPr>
          <w:p w14:paraId="39CFDBD4">
            <w:pPr>
              <w:widowControl/>
              <w:jc w:val="center"/>
              <w:rPr>
                <w:rFonts w:ascii="宋体" w:hAnsi="宋体" w:cs="宋体"/>
                <w:sz w:val="24"/>
              </w:rPr>
            </w:pPr>
            <w:r>
              <w:rPr>
                <w:rFonts w:hint="eastAsia" w:ascii="宋体" w:hAnsi="宋体" w:cs="宋体"/>
                <w:sz w:val="24"/>
              </w:rPr>
              <w:t>3.96</w:t>
            </w:r>
          </w:p>
        </w:tc>
        <w:tc>
          <w:tcPr>
            <w:tcW w:w="2268" w:type="dxa"/>
            <w:vAlign w:val="center"/>
          </w:tcPr>
          <w:p w14:paraId="4656F530">
            <w:pPr>
              <w:widowControl/>
              <w:jc w:val="center"/>
              <w:rPr>
                <w:rFonts w:ascii="宋体" w:hAnsi="宋体" w:cs="宋体"/>
                <w:sz w:val="24"/>
              </w:rPr>
            </w:pPr>
            <w:r>
              <w:rPr>
                <w:rFonts w:hint="eastAsia" w:ascii="宋体" w:hAnsi="宋体" w:cs="宋体"/>
                <w:sz w:val="24"/>
              </w:rPr>
              <w:t>91.67%</w:t>
            </w:r>
          </w:p>
        </w:tc>
      </w:tr>
      <w:tr w14:paraId="5D6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26F8358D">
            <w:pPr>
              <w:widowControl/>
              <w:jc w:val="left"/>
              <w:rPr>
                <w:rFonts w:ascii="宋体" w:hAnsi="宋体" w:cs="宋体"/>
                <w:kern w:val="0"/>
                <w:sz w:val="24"/>
              </w:rPr>
            </w:pPr>
            <w:r>
              <w:rPr>
                <w:rFonts w:hint="eastAsia" w:ascii="宋体" w:hAnsi="宋体" w:cs="宋体"/>
                <w:sz w:val="24"/>
              </w:rPr>
              <w:t>伙食经费</w:t>
            </w:r>
          </w:p>
        </w:tc>
        <w:tc>
          <w:tcPr>
            <w:tcW w:w="2268" w:type="dxa"/>
            <w:vAlign w:val="center"/>
          </w:tcPr>
          <w:p w14:paraId="3D7A2AF8">
            <w:pPr>
              <w:widowControl/>
              <w:jc w:val="center"/>
              <w:rPr>
                <w:rFonts w:ascii="宋体" w:hAnsi="宋体" w:cs="宋体"/>
                <w:kern w:val="0"/>
                <w:sz w:val="24"/>
              </w:rPr>
            </w:pPr>
            <w:r>
              <w:rPr>
                <w:rFonts w:hint="eastAsia" w:ascii="宋体" w:hAnsi="宋体" w:cs="宋体"/>
                <w:sz w:val="24"/>
              </w:rPr>
              <w:t>14.31</w:t>
            </w:r>
          </w:p>
        </w:tc>
        <w:tc>
          <w:tcPr>
            <w:tcW w:w="2268" w:type="dxa"/>
            <w:vAlign w:val="center"/>
          </w:tcPr>
          <w:p w14:paraId="0CFC8CE5">
            <w:pPr>
              <w:widowControl/>
              <w:jc w:val="center"/>
              <w:rPr>
                <w:rFonts w:ascii="宋体" w:hAnsi="宋体" w:cs="宋体"/>
                <w:sz w:val="24"/>
              </w:rPr>
            </w:pPr>
            <w:r>
              <w:rPr>
                <w:rFonts w:hint="eastAsia" w:ascii="宋体" w:hAnsi="宋体" w:cs="宋体"/>
                <w:sz w:val="24"/>
              </w:rPr>
              <w:t>0</w:t>
            </w:r>
          </w:p>
        </w:tc>
        <w:tc>
          <w:tcPr>
            <w:tcW w:w="2268" w:type="dxa"/>
            <w:vAlign w:val="center"/>
          </w:tcPr>
          <w:p w14:paraId="2271C945">
            <w:pPr>
              <w:widowControl/>
              <w:jc w:val="center"/>
              <w:rPr>
                <w:rFonts w:ascii="宋体" w:hAnsi="宋体" w:cs="宋体"/>
                <w:sz w:val="24"/>
              </w:rPr>
            </w:pPr>
            <w:r>
              <w:rPr>
                <w:rFonts w:hint="eastAsia" w:ascii="宋体" w:hAnsi="宋体" w:cs="宋体"/>
                <w:sz w:val="24"/>
              </w:rPr>
              <w:t>14.31</w:t>
            </w:r>
          </w:p>
        </w:tc>
        <w:tc>
          <w:tcPr>
            <w:tcW w:w="2268" w:type="dxa"/>
            <w:vAlign w:val="center"/>
          </w:tcPr>
          <w:p w14:paraId="76FC8D7E">
            <w:pPr>
              <w:widowControl/>
              <w:jc w:val="center"/>
              <w:rPr>
                <w:rFonts w:ascii="宋体" w:hAnsi="宋体" w:cs="宋体"/>
                <w:sz w:val="24"/>
              </w:rPr>
            </w:pPr>
            <w:r>
              <w:rPr>
                <w:rFonts w:hint="eastAsia" w:ascii="宋体" w:hAnsi="宋体" w:cs="宋体"/>
                <w:sz w:val="24"/>
              </w:rPr>
              <w:t>13.7</w:t>
            </w:r>
          </w:p>
        </w:tc>
        <w:tc>
          <w:tcPr>
            <w:tcW w:w="2268" w:type="dxa"/>
            <w:vAlign w:val="center"/>
          </w:tcPr>
          <w:p w14:paraId="3DC2BE5C">
            <w:pPr>
              <w:widowControl/>
              <w:jc w:val="center"/>
              <w:rPr>
                <w:rFonts w:ascii="宋体" w:hAnsi="宋体" w:cs="宋体"/>
                <w:sz w:val="24"/>
              </w:rPr>
            </w:pPr>
            <w:r>
              <w:rPr>
                <w:rFonts w:hint="eastAsia" w:ascii="宋体" w:hAnsi="宋体" w:cs="宋体"/>
                <w:sz w:val="24"/>
              </w:rPr>
              <w:t>95.74%</w:t>
            </w:r>
          </w:p>
        </w:tc>
      </w:tr>
      <w:tr w14:paraId="75F1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79" w:type="dxa"/>
            <w:vAlign w:val="center"/>
          </w:tcPr>
          <w:p w14:paraId="35DA22CA">
            <w:pPr>
              <w:widowControl/>
              <w:jc w:val="left"/>
              <w:rPr>
                <w:rFonts w:ascii="宋体" w:hAnsi="宋体" w:cs="宋体"/>
                <w:kern w:val="0"/>
                <w:sz w:val="24"/>
              </w:rPr>
            </w:pPr>
            <w:r>
              <w:rPr>
                <w:rFonts w:hint="eastAsia" w:ascii="宋体" w:hAnsi="宋体" w:cs="宋体"/>
                <w:sz w:val="24"/>
              </w:rPr>
              <w:t>专项委托业务费</w:t>
            </w:r>
          </w:p>
        </w:tc>
        <w:tc>
          <w:tcPr>
            <w:tcW w:w="2268" w:type="dxa"/>
            <w:vAlign w:val="center"/>
          </w:tcPr>
          <w:p w14:paraId="35380827">
            <w:pPr>
              <w:widowControl/>
              <w:jc w:val="center"/>
              <w:rPr>
                <w:rFonts w:ascii="宋体" w:hAnsi="宋体" w:cs="宋体"/>
                <w:kern w:val="0"/>
                <w:sz w:val="24"/>
              </w:rPr>
            </w:pPr>
            <w:r>
              <w:rPr>
                <w:rFonts w:hint="eastAsia" w:ascii="宋体" w:hAnsi="宋体" w:cs="宋体"/>
                <w:sz w:val="24"/>
              </w:rPr>
              <w:t>20.8</w:t>
            </w:r>
          </w:p>
        </w:tc>
        <w:tc>
          <w:tcPr>
            <w:tcW w:w="2268" w:type="dxa"/>
            <w:vAlign w:val="center"/>
          </w:tcPr>
          <w:p w14:paraId="594AD481">
            <w:pPr>
              <w:widowControl/>
              <w:jc w:val="center"/>
              <w:rPr>
                <w:rFonts w:ascii="宋体" w:hAnsi="宋体" w:cs="宋体"/>
                <w:sz w:val="24"/>
              </w:rPr>
            </w:pPr>
            <w:r>
              <w:rPr>
                <w:rFonts w:hint="eastAsia" w:ascii="宋体" w:hAnsi="宋体" w:cs="宋体"/>
                <w:sz w:val="24"/>
              </w:rPr>
              <w:t>0</w:t>
            </w:r>
          </w:p>
        </w:tc>
        <w:tc>
          <w:tcPr>
            <w:tcW w:w="2268" w:type="dxa"/>
            <w:vAlign w:val="center"/>
          </w:tcPr>
          <w:p w14:paraId="29189E06">
            <w:pPr>
              <w:widowControl/>
              <w:jc w:val="center"/>
              <w:rPr>
                <w:rFonts w:ascii="宋体" w:hAnsi="宋体" w:cs="宋体"/>
                <w:sz w:val="24"/>
              </w:rPr>
            </w:pPr>
            <w:r>
              <w:rPr>
                <w:rFonts w:hint="eastAsia" w:ascii="宋体" w:hAnsi="宋体" w:cs="宋体"/>
                <w:sz w:val="24"/>
              </w:rPr>
              <w:t>20.8</w:t>
            </w:r>
          </w:p>
        </w:tc>
        <w:tc>
          <w:tcPr>
            <w:tcW w:w="2268" w:type="dxa"/>
            <w:vAlign w:val="center"/>
          </w:tcPr>
          <w:p w14:paraId="7049F1E2">
            <w:pPr>
              <w:widowControl/>
              <w:jc w:val="center"/>
              <w:rPr>
                <w:rFonts w:ascii="宋体" w:hAnsi="宋体" w:cs="宋体"/>
                <w:sz w:val="24"/>
              </w:rPr>
            </w:pPr>
            <w:r>
              <w:rPr>
                <w:rFonts w:hint="eastAsia" w:ascii="宋体" w:hAnsi="宋体" w:cs="宋体"/>
                <w:sz w:val="24"/>
              </w:rPr>
              <w:t>20.78</w:t>
            </w:r>
          </w:p>
        </w:tc>
        <w:tc>
          <w:tcPr>
            <w:tcW w:w="2268" w:type="dxa"/>
            <w:vAlign w:val="center"/>
          </w:tcPr>
          <w:p w14:paraId="5006A1FF">
            <w:pPr>
              <w:widowControl/>
              <w:jc w:val="center"/>
              <w:rPr>
                <w:rFonts w:ascii="宋体" w:hAnsi="宋体" w:cs="宋体"/>
                <w:sz w:val="24"/>
              </w:rPr>
            </w:pPr>
            <w:r>
              <w:rPr>
                <w:rFonts w:hint="eastAsia" w:ascii="宋体" w:hAnsi="宋体" w:cs="宋体"/>
                <w:sz w:val="24"/>
              </w:rPr>
              <w:t>99.90%</w:t>
            </w:r>
          </w:p>
        </w:tc>
      </w:tr>
    </w:tbl>
    <w:p w14:paraId="761CCD28">
      <w:pPr>
        <w:spacing w:line="360" w:lineRule="auto"/>
        <w:ind w:left="600"/>
        <w:rPr>
          <w:rFonts w:ascii="黑体" w:hAnsi="黑体" w:eastAsia="黑体"/>
          <w:sz w:val="30"/>
        </w:rPr>
      </w:pPr>
    </w:p>
    <w:p w14:paraId="5E428CDF">
      <w:pPr>
        <w:numPr>
          <w:ilvl w:val="0"/>
          <w:numId w:val="1"/>
        </w:numPr>
        <w:spacing w:line="360" w:lineRule="auto"/>
        <w:ind w:left="600"/>
        <w:rPr>
          <w:rFonts w:ascii="黑体" w:hAnsi="黑体" w:eastAsia="黑体"/>
          <w:sz w:val="30"/>
        </w:rPr>
      </w:pPr>
      <w:r>
        <w:rPr>
          <w:rFonts w:hint="eastAsia" w:ascii="黑体" w:hAnsi="黑体" w:eastAsia="黑体"/>
          <w:sz w:val="30"/>
        </w:rPr>
        <w:t>年度重点任务</w:t>
      </w:r>
    </w:p>
    <w:p w14:paraId="124CE0B7">
      <w:pPr>
        <w:spacing w:line="360" w:lineRule="auto"/>
        <w:ind w:left="600"/>
        <w:rPr>
          <w:rFonts w:ascii="黑体" w:hAnsi="黑体" w:eastAsia="黑体"/>
          <w:sz w:val="30"/>
        </w:rPr>
      </w:pPr>
    </w:p>
    <w:tbl>
      <w:tblPr>
        <w:tblStyle w:val="5"/>
        <w:tblW w:w="13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9"/>
        <w:gridCol w:w="3818"/>
        <w:gridCol w:w="6280"/>
      </w:tblGrid>
      <w:tr w14:paraId="5716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419" w:type="dxa"/>
            <w:shd w:val="clear" w:color="000000" w:fill="BFBFBF"/>
            <w:vAlign w:val="center"/>
          </w:tcPr>
          <w:p w14:paraId="5E87849E">
            <w:pPr>
              <w:widowControl/>
              <w:jc w:val="center"/>
              <w:rPr>
                <w:rFonts w:ascii="宋体" w:hAnsi="宋体" w:cs="宋体"/>
                <w:b/>
                <w:bCs/>
                <w:kern w:val="0"/>
                <w:sz w:val="24"/>
              </w:rPr>
            </w:pPr>
          </w:p>
          <w:p w14:paraId="05608F85">
            <w:pPr>
              <w:widowControl/>
              <w:jc w:val="center"/>
              <w:rPr>
                <w:rFonts w:ascii="宋体" w:hAnsi="宋体" w:cs="宋体"/>
                <w:b/>
                <w:bCs/>
                <w:kern w:val="0"/>
                <w:sz w:val="24"/>
              </w:rPr>
            </w:pPr>
            <w:r>
              <w:rPr>
                <w:rFonts w:hint="eastAsia" w:ascii="宋体" w:hAnsi="宋体" w:cs="宋体"/>
                <w:b/>
                <w:bCs/>
                <w:kern w:val="0"/>
                <w:sz w:val="24"/>
              </w:rPr>
              <w:t>对应部门主要职责</w:t>
            </w:r>
          </w:p>
          <w:p w14:paraId="27247AE8">
            <w:pPr>
              <w:widowControl/>
              <w:jc w:val="center"/>
              <w:rPr>
                <w:rFonts w:ascii="宋体" w:hAnsi="宋体" w:cs="宋体"/>
                <w:b/>
                <w:bCs/>
                <w:kern w:val="0"/>
                <w:sz w:val="24"/>
              </w:rPr>
            </w:pPr>
          </w:p>
        </w:tc>
        <w:tc>
          <w:tcPr>
            <w:tcW w:w="3818" w:type="dxa"/>
            <w:shd w:val="clear" w:color="000000" w:fill="BFBFBF"/>
            <w:vAlign w:val="center"/>
          </w:tcPr>
          <w:p w14:paraId="6FF28681">
            <w:pPr>
              <w:widowControl/>
              <w:jc w:val="center"/>
              <w:rPr>
                <w:rFonts w:ascii="宋体" w:hAnsi="宋体" w:cs="宋体"/>
                <w:b/>
                <w:bCs/>
                <w:kern w:val="0"/>
                <w:sz w:val="24"/>
              </w:rPr>
            </w:pPr>
            <w:r>
              <w:rPr>
                <w:rFonts w:hint="eastAsia" w:ascii="宋体" w:hAnsi="宋体" w:cs="宋体"/>
                <w:b/>
                <w:bCs/>
                <w:kern w:val="0"/>
                <w:sz w:val="24"/>
              </w:rPr>
              <w:t>任务名称</w:t>
            </w:r>
          </w:p>
        </w:tc>
        <w:tc>
          <w:tcPr>
            <w:tcW w:w="6280" w:type="dxa"/>
            <w:shd w:val="clear" w:color="000000" w:fill="BFBFBF"/>
            <w:vAlign w:val="center"/>
          </w:tcPr>
          <w:p w14:paraId="7C273D98">
            <w:pPr>
              <w:widowControl/>
              <w:jc w:val="center"/>
              <w:rPr>
                <w:rFonts w:ascii="宋体" w:hAnsi="宋体" w:cs="宋体"/>
                <w:b/>
                <w:bCs/>
                <w:kern w:val="0"/>
                <w:sz w:val="24"/>
              </w:rPr>
            </w:pPr>
            <w:r>
              <w:rPr>
                <w:rFonts w:hint="eastAsia" w:ascii="宋体" w:hAnsi="宋体" w:cs="宋体"/>
                <w:b/>
                <w:bCs/>
                <w:kern w:val="0"/>
                <w:sz w:val="24"/>
              </w:rPr>
              <w:t>完成情况</w:t>
            </w:r>
          </w:p>
        </w:tc>
      </w:tr>
      <w:tr w14:paraId="27E5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5CF5D52C">
            <w:pPr>
              <w:widowControl/>
              <w:jc w:val="center"/>
              <w:rPr>
                <w:rFonts w:ascii="宋体" w:hAnsi="宋体" w:cs="宋体"/>
                <w:kern w:val="0"/>
                <w:sz w:val="24"/>
              </w:rPr>
            </w:pPr>
            <w:r>
              <w:rPr>
                <w:rFonts w:hint="eastAsia" w:ascii="宋体" w:hAnsi="宋体" w:cs="宋体"/>
                <w:sz w:val="24"/>
              </w:rPr>
              <w:t>编制、执行本地区住房公积金归集和使用计划</w:t>
            </w:r>
          </w:p>
        </w:tc>
        <w:tc>
          <w:tcPr>
            <w:tcW w:w="3818" w:type="dxa"/>
            <w:vAlign w:val="center"/>
          </w:tcPr>
          <w:p w14:paraId="64EF7C31">
            <w:pPr>
              <w:widowControl/>
              <w:jc w:val="center"/>
              <w:rPr>
                <w:rFonts w:ascii="宋体" w:hAnsi="宋体" w:cs="宋体"/>
                <w:sz w:val="24"/>
              </w:rPr>
            </w:pPr>
            <w:r>
              <w:rPr>
                <w:rFonts w:hint="eastAsia" w:ascii="宋体" w:hAnsi="宋体" w:cs="宋体"/>
                <w:sz w:val="24"/>
              </w:rPr>
              <w:t>全力保障房地产市场发展</w:t>
            </w:r>
          </w:p>
        </w:tc>
        <w:tc>
          <w:tcPr>
            <w:tcW w:w="6280" w:type="dxa"/>
            <w:vAlign w:val="center"/>
          </w:tcPr>
          <w:p w14:paraId="5072E6D0">
            <w:pPr>
              <w:widowControl/>
              <w:jc w:val="center"/>
              <w:rPr>
                <w:rFonts w:ascii="宋体" w:hAnsi="宋体" w:cs="宋体"/>
                <w:sz w:val="24"/>
              </w:rPr>
            </w:pPr>
            <w:r>
              <w:rPr>
                <w:rFonts w:hint="eastAsia" w:ascii="宋体" w:hAnsi="宋体" w:cs="宋体"/>
                <w:sz w:val="24"/>
              </w:rPr>
              <w:t>上调公积金贷款最高限额、下调贷款利率、跨区域购房享受首套房贷款利率、降低首付比例、加大军人贷款支持力度，拓宽支持范围、助力城市更新，促进房地产市场平稳健康发展。</w:t>
            </w:r>
          </w:p>
        </w:tc>
      </w:tr>
      <w:tr w14:paraId="6584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67094253">
            <w:pPr>
              <w:widowControl/>
              <w:jc w:val="center"/>
              <w:rPr>
                <w:rFonts w:ascii="宋体" w:hAnsi="宋体" w:cs="宋体"/>
                <w:kern w:val="0"/>
                <w:sz w:val="24"/>
              </w:rPr>
            </w:pPr>
          </w:p>
        </w:tc>
        <w:tc>
          <w:tcPr>
            <w:tcW w:w="3818" w:type="dxa"/>
            <w:vAlign w:val="center"/>
          </w:tcPr>
          <w:p w14:paraId="05B142D3">
            <w:pPr>
              <w:widowControl/>
              <w:jc w:val="center"/>
              <w:rPr>
                <w:rFonts w:ascii="宋体" w:hAnsi="宋体" w:cs="宋体"/>
                <w:sz w:val="24"/>
              </w:rPr>
            </w:pPr>
            <w:r>
              <w:rPr>
                <w:rFonts w:hint="eastAsia" w:ascii="宋体" w:hAnsi="宋体" w:cs="宋体"/>
                <w:sz w:val="24"/>
              </w:rPr>
              <w:t>做好年度使用计划指标</w:t>
            </w:r>
          </w:p>
        </w:tc>
        <w:tc>
          <w:tcPr>
            <w:tcW w:w="6280" w:type="dxa"/>
            <w:vAlign w:val="center"/>
          </w:tcPr>
          <w:p w14:paraId="600D1833">
            <w:pPr>
              <w:widowControl/>
              <w:jc w:val="center"/>
              <w:rPr>
                <w:rFonts w:ascii="宋体" w:hAnsi="宋体" w:cs="宋体"/>
                <w:sz w:val="24"/>
              </w:rPr>
            </w:pPr>
            <w:r>
              <w:rPr>
                <w:rFonts w:hint="eastAsia" w:ascii="宋体" w:hAnsi="宋体" w:cs="宋体"/>
                <w:sz w:val="24"/>
              </w:rPr>
              <w:t>年末资金运用率为84.39%，比上年年末上升19.33个百分点；为地方公共租赁住房建设提供补充资金1.28亿元，累计提供3.30亿元支持政府投资公共租赁住房建设。</w:t>
            </w:r>
          </w:p>
        </w:tc>
      </w:tr>
      <w:tr w14:paraId="698B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48BE4BD5">
            <w:pPr>
              <w:widowControl/>
              <w:jc w:val="center"/>
              <w:rPr>
                <w:rFonts w:ascii="宋体" w:hAnsi="宋体" w:cs="宋体"/>
                <w:kern w:val="0"/>
                <w:sz w:val="24"/>
              </w:rPr>
            </w:pPr>
            <w:r>
              <w:rPr>
                <w:rFonts w:hint="eastAsia" w:ascii="宋体" w:hAnsi="宋体" w:cs="宋体"/>
                <w:sz w:val="24"/>
              </w:rPr>
              <w:t>管理和监督住房公积金受托银行开展的住房公积金相关业务</w:t>
            </w:r>
          </w:p>
        </w:tc>
        <w:tc>
          <w:tcPr>
            <w:tcW w:w="3818" w:type="dxa"/>
            <w:vAlign w:val="center"/>
          </w:tcPr>
          <w:p w14:paraId="52A3C6F4">
            <w:pPr>
              <w:widowControl/>
              <w:jc w:val="center"/>
              <w:rPr>
                <w:rFonts w:ascii="宋体" w:hAnsi="宋体" w:cs="宋体"/>
                <w:sz w:val="24"/>
              </w:rPr>
            </w:pPr>
            <w:r>
              <w:rPr>
                <w:rFonts w:hint="eastAsia" w:ascii="宋体" w:hAnsi="宋体" w:cs="宋体"/>
                <w:sz w:val="24"/>
              </w:rPr>
              <w:t>强化与受托银行合作效能</w:t>
            </w:r>
          </w:p>
        </w:tc>
        <w:tc>
          <w:tcPr>
            <w:tcW w:w="6280" w:type="dxa"/>
            <w:vAlign w:val="center"/>
          </w:tcPr>
          <w:p w14:paraId="10E999A7">
            <w:pPr>
              <w:widowControl/>
              <w:jc w:val="center"/>
              <w:rPr>
                <w:rFonts w:ascii="宋体" w:hAnsi="宋体" w:cs="宋体"/>
                <w:sz w:val="24"/>
              </w:rPr>
            </w:pPr>
            <w:r>
              <w:rPr>
                <w:rFonts w:hint="eastAsia" w:ascii="宋体" w:hAnsi="宋体" w:cs="宋体"/>
                <w:sz w:val="24"/>
              </w:rPr>
              <w:t>加大对委托银行的考核督导，完善委托协议和考核办法，落实正向激励和负面清单，激发受托银行工作热情，提高服务水平。</w:t>
            </w:r>
          </w:p>
        </w:tc>
      </w:tr>
      <w:tr w14:paraId="700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6C5E3025">
            <w:pPr>
              <w:widowControl/>
              <w:jc w:val="center"/>
              <w:rPr>
                <w:rFonts w:ascii="宋体" w:hAnsi="宋体" w:cs="宋体"/>
                <w:kern w:val="0"/>
                <w:sz w:val="24"/>
              </w:rPr>
            </w:pPr>
            <w:r>
              <w:rPr>
                <w:rFonts w:hint="eastAsia" w:ascii="宋体" w:hAnsi="宋体" w:cs="宋体"/>
                <w:sz w:val="24"/>
              </w:rPr>
              <w:t>监督检查本地区住房公积金法律法规和政策措施的落实</w:t>
            </w:r>
          </w:p>
        </w:tc>
        <w:tc>
          <w:tcPr>
            <w:tcW w:w="3818" w:type="dxa"/>
            <w:vAlign w:val="center"/>
          </w:tcPr>
          <w:p w14:paraId="0A746AF4">
            <w:pPr>
              <w:widowControl/>
              <w:jc w:val="center"/>
              <w:rPr>
                <w:rFonts w:ascii="宋体" w:hAnsi="宋体" w:cs="宋体"/>
                <w:sz w:val="24"/>
              </w:rPr>
            </w:pPr>
            <w:r>
              <w:rPr>
                <w:rFonts w:hint="eastAsia" w:ascii="宋体" w:hAnsi="宋体" w:cs="宋体"/>
                <w:sz w:val="24"/>
              </w:rPr>
              <w:t>完善行政执法体系建设</w:t>
            </w:r>
          </w:p>
        </w:tc>
        <w:tc>
          <w:tcPr>
            <w:tcW w:w="6280" w:type="dxa"/>
            <w:vAlign w:val="center"/>
          </w:tcPr>
          <w:p w14:paraId="55B1BE25">
            <w:pPr>
              <w:widowControl/>
              <w:jc w:val="center"/>
              <w:rPr>
                <w:rFonts w:ascii="宋体" w:hAnsi="宋体" w:cs="宋体"/>
                <w:sz w:val="24"/>
              </w:rPr>
            </w:pPr>
            <w:r>
              <w:rPr>
                <w:rFonts w:hint="eastAsia" w:ascii="宋体" w:hAnsi="宋体" w:cs="宋体"/>
                <w:sz w:val="24"/>
              </w:rPr>
              <w:t>对标“规范建设年”总体要求，确保各项内部管理制度精准、持续地执行，以制度的刚性约束推动工作的规范化、高效化开展。</w:t>
            </w:r>
          </w:p>
        </w:tc>
      </w:tr>
      <w:tr w14:paraId="5C84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2B7D7354">
            <w:pPr>
              <w:widowControl/>
              <w:jc w:val="center"/>
              <w:rPr>
                <w:rFonts w:ascii="宋体" w:hAnsi="宋体" w:cs="宋体"/>
                <w:kern w:val="0"/>
                <w:sz w:val="24"/>
              </w:rPr>
            </w:pPr>
          </w:p>
        </w:tc>
        <w:tc>
          <w:tcPr>
            <w:tcW w:w="3818" w:type="dxa"/>
            <w:vAlign w:val="center"/>
          </w:tcPr>
          <w:p w14:paraId="306EDA98">
            <w:pPr>
              <w:widowControl/>
              <w:jc w:val="center"/>
              <w:rPr>
                <w:rFonts w:ascii="宋体" w:hAnsi="宋体" w:cs="宋体"/>
                <w:sz w:val="24"/>
              </w:rPr>
            </w:pPr>
            <w:r>
              <w:rPr>
                <w:rFonts w:hint="eastAsia" w:ascii="宋体" w:hAnsi="宋体" w:cs="宋体"/>
                <w:sz w:val="24"/>
              </w:rPr>
              <w:t>妥善化解矛盾纠纷</w:t>
            </w:r>
          </w:p>
        </w:tc>
        <w:tc>
          <w:tcPr>
            <w:tcW w:w="6280" w:type="dxa"/>
            <w:vAlign w:val="center"/>
          </w:tcPr>
          <w:p w14:paraId="7DD5FDF9">
            <w:pPr>
              <w:widowControl/>
              <w:jc w:val="center"/>
              <w:rPr>
                <w:rFonts w:ascii="宋体" w:hAnsi="宋体" w:cs="宋体"/>
                <w:sz w:val="24"/>
              </w:rPr>
            </w:pPr>
            <w:r>
              <w:rPr>
                <w:rFonts w:hint="eastAsia" w:ascii="宋体" w:hAnsi="宋体" w:cs="宋体"/>
                <w:sz w:val="24"/>
              </w:rPr>
              <w:t>吴江分中心通过行政调解方式进行，当好“老娘舅”。在处理过程中讲究方式方法，做到态度不错，引用的法律条文不错，执法流程不错。注重时效性，及时沟通处理。全程跟进，建立调解机制，确保能正确解决。全年受理投诉984件，处理880件，补缴556.64万元。其中涉及集体投诉22起，国家信访平台64起。</w:t>
            </w:r>
          </w:p>
        </w:tc>
      </w:tr>
      <w:tr w14:paraId="643F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589E19CF">
            <w:pPr>
              <w:widowControl/>
              <w:jc w:val="center"/>
              <w:rPr>
                <w:rFonts w:ascii="宋体" w:hAnsi="宋体" w:cs="宋体"/>
                <w:kern w:val="0"/>
                <w:sz w:val="24"/>
              </w:rPr>
            </w:pPr>
            <w:r>
              <w:rPr>
                <w:rFonts w:hint="eastAsia" w:ascii="宋体" w:hAnsi="宋体" w:cs="宋体"/>
                <w:sz w:val="24"/>
              </w:rPr>
              <w:t>开展住房公积金政策宣传</w:t>
            </w:r>
          </w:p>
        </w:tc>
        <w:tc>
          <w:tcPr>
            <w:tcW w:w="3818" w:type="dxa"/>
            <w:vAlign w:val="center"/>
          </w:tcPr>
          <w:p w14:paraId="59BF4426">
            <w:pPr>
              <w:widowControl/>
              <w:jc w:val="center"/>
              <w:rPr>
                <w:rFonts w:ascii="宋体" w:hAnsi="宋体" w:cs="宋体"/>
                <w:sz w:val="24"/>
              </w:rPr>
            </w:pPr>
            <w:r>
              <w:rPr>
                <w:rFonts w:hint="eastAsia" w:ascii="宋体" w:hAnsi="宋体" w:cs="宋体"/>
                <w:sz w:val="24"/>
              </w:rPr>
              <w:t>开展政策宣传，提升服务品牌影响力</w:t>
            </w:r>
          </w:p>
        </w:tc>
        <w:tc>
          <w:tcPr>
            <w:tcW w:w="6280" w:type="dxa"/>
            <w:vAlign w:val="center"/>
          </w:tcPr>
          <w:p w14:paraId="2E75C1F3">
            <w:pPr>
              <w:widowControl/>
              <w:jc w:val="center"/>
              <w:rPr>
                <w:rFonts w:ascii="宋体" w:hAnsi="宋体" w:cs="宋体"/>
                <w:sz w:val="24"/>
              </w:rPr>
            </w:pPr>
            <w:r>
              <w:rPr>
                <w:rFonts w:hint="eastAsia" w:ascii="宋体" w:hAnsi="宋体" w:cs="宋体"/>
                <w:sz w:val="24"/>
              </w:rPr>
              <w:t>搭建“住行食玩”四维公积金宣传矩阵，“住”以惠民制度为根本、“行”以电台口播为指引、“食”以麦果联名为铺垫、“玩”以映前广告为延伸，融入更多年轻元素，将公积金惠民利民优质政策通过多元化、多层次、多角度化方式广而告之。</w:t>
            </w:r>
          </w:p>
        </w:tc>
      </w:tr>
      <w:tr w14:paraId="44FB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Align w:val="center"/>
          </w:tcPr>
          <w:p w14:paraId="03D64247">
            <w:pPr>
              <w:widowControl/>
              <w:jc w:val="center"/>
              <w:rPr>
                <w:rFonts w:ascii="宋体" w:hAnsi="宋体" w:cs="宋体"/>
                <w:kern w:val="0"/>
                <w:sz w:val="24"/>
              </w:rPr>
            </w:pPr>
            <w:r>
              <w:rPr>
                <w:rFonts w:hint="eastAsia" w:ascii="宋体" w:hAnsi="宋体" w:cs="宋体"/>
                <w:sz w:val="24"/>
              </w:rPr>
              <w:t>面向社会提供住房公积金业务办理服务</w:t>
            </w:r>
          </w:p>
        </w:tc>
        <w:tc>
          <w:tcPr>
            <w:tcW w:w="3818" w:type="dxa"/>
            <w:vAlign w:val="center"/>
          </w:tcPr>
          <w:p w14:paraId="406628A2">
            <w:pPr>
              <w:widowControl/>
              <w:jc w:val="center"/>
              <w:rPr>
                <w:rFonts w:ascii="宋体" w:hAnsi="宋体" w:cs="宋体"/>
                <w:sz w:val="24"/>
              </w:rPr>
            </w:pPr>
            <w:r>
              <w:rPr>
                <w:rFonts w:hint="eastAsia" w:ascii="宋体" w:hAnsi="宋体" w:cs="宋体"/>
                <w:sz w:val="24"/>
              </w:rPr>
              <w:t>提升一体化服务水平</w:t>
            </w:r>
          </w:p>
        </w:tc>
        <w:tc>
          <w:tcPr>
            <w:tcW w:w="6280" w:type="dxa"/>
            <w:vAlign w:val="center"/>
          </w:tcPr>
          <w:p w14:paraId="06D61319">
            <w:pPr>
              <w:widowControl/>
              <w:jc w:val="center"/>
              <w:rPr>
                <w:rFonts w:ascii="宋体" w:hAnsi="宋体" w:cs="宋体"/>
                <w:sz w:val="24"/>
              </w:rPr>
            </w:pPr>
            <w:r>
              <w:rPr>
                <w:rFonts w:hint="eastAsia" w:ascii="宋体" w:hAnsi="宋体" w:cs="宋体"/>
                <w:sz w:val="24"/>
              </w:rPr>
              <w:t>充分发挥长三角生态绿色一体化发展示范区引领作用，打造规范服务、创新服务的“长三角示范区住房公积金一体化”服务品牌，塑造住房公积金行业“长三角示范区样板”。</w:t>
            </w:r>
          </w:p>
        </w:tc>
      </w:tr>
      <w:tr w14:paraId="5BF9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restart"/>
            <w:vAlign w:val="center"/>
          </w:tcPr>
          <w:p w14:paraId="01A0AE4B">
            <w:pPr>
              <w:widowControl/>
              <w:jc w:val="center"/>
              <w:rPr>
                <w:rFonts w:ascii="宋体" w:hAnsi="宋体" w:cs="宋体"/>
                <w:kern w:val="0"/>
                <w:sz w:val="24"/>
              </w:rPr>
            </w:pPr>
            <w:r>
              <w:rPr>
                <w:rFonts w:hint="eastAsia" w:ascii="宋体" w:hAnsi="宋体" w:cs="宋体"/>
                <w:sz w:val="24"/>
              </w:rPr>
              <w:t>实施本地区住房公积金归集扩面工作和使用管理的政策措施和操作规程，推进本地区住房公积金归集扩面工作</w:t>
            </w:r>
          </w:p>
        </w:tc>
        <w:tc>
          <w:tcPr>
            <w:tcW w:w="3818" w:type="dxa"/>
            <w:vAlign w:val="center"/>
          </w:tcPr>
          <w:p w14:paraId="1484E966">
            <w:pPr>
              <w:widowControl/>
              <w:jc w:val="center"/>
              <w:rPr>
                <w:rFonts w:ascii="宋体" w:hAnsi="宋体" w:cs="宋体"/>
                <w:sz w:val="24"/>
              </w:rPr>
            </w:pPr>
            <w:r>
              <w:rPr>
                <w:rFonts w:hint="eastAsia" w:ascii="宋体" w:hAnsi="宋体" w:cs="宋体"/>
                <w:sz w:val="24"/>
              </w:rPr>
              <w:t>持续精准扩面建制，建立非公企业差异化缴存机制。</w:t>
            </w:r>
          </w:p>
        </w:tc>
        <w:tc>
          <w:tcPr>
            <w:tcW w:w="6280" w:type="dxa"/>
            <w:vAlign w:val="center"/>
          </w:tcPr>
          <w:p w14:paraId="184B3E8E">
            <w:pPr>
              <w:widowControl/>
              <w:jc w:val="center"/>
              <w:rPr>
                <w:rFonts w:ascii="宋体" w:hAnsi="宋体" w:cs="宋体"/>
                <w:sz w:val="24"/>
              </w:rPr>
            </w:pPr>
            <w:r>
              <w:rPr>
                <w:rFonts w:hint="eastAsia" w:ascii="宋体" w:hAnsi="宋体" w:cs="宋体"/>
                <w:sz w:val="24"/>
              </w:rPr>
              <w:t>根据年度目标任务，按镇区、街道制定扩面计划，以区政府住房公积金扩面重点部署会为抓手，分解任务、落实责任，因地制宜，不断提高住房公积金覆盖面。通过走访对接，落实新开户企业在社保开户的同时做好公积金开户。</w:t>
            </w:r>
          </w:p>
        </w:tc>
      </w:tr>
      <w:tr w14:paraId="5F4D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601B8ECB">
            <w:pPr>
              <w:widowControl/>
              <w:jc w:val="center"/>
              <w:rPr>
                <w:rFonts w:ascii="宋体" w:hAnsi="宋体" w:cs="宋体"/>
                <w:kern w:val="0"/>
                <w:sz w:val="24"/>
              </w:rPr>
            </w:pPr>
          </w:p>
        </w:tc>
        <w:tc>
          <w:tcPr>
            <w:tcW w:w="3818" w:type="dxa"/>
            <w:vAlign w:val="center"/>
          </w:tcPr>
          <w:p w14:paraId="3978B592">
            <w:pPr>
              <w:widowControl/>
              <w:jc w:val="center"/>
              <w:rPr>
                <w:rFonts w:ascii="宋体" w:hAnsi="宋体" w:cs="宋体"/>
                <w:sz w:val="24"/>
              </w:rPr>
            </w:pPr>
            <w:r>
              <w:rPr>
                <w:rFonts w:hint="eastAsia" w:ascii="宋体" w:hAnsi="宋体" w:cs="宋体"/>
                <w:sz w:val="24"/>
              </w:rPr>
              <w:t>提高灵活就业人员参缴实缴率</w:t>
            </w:r>
          </w:p>
        </w:tc>
        <w:tc>
          <w:tcPr>
            <w:tcW w:w="6280" w:type="dxa"/>
            <w:vAlign w:val="center"/>
          </w:tcPr>
          <w:p w14:paraId="78C18D47">
            <w:pPr>
              <w:widowControl/>
              <w:jc w:val="center"/>
              <w:rPr>
                <w:rFonts w:ascii="宋体" w:hAnsi="宋体" w:cs="宋体"/>
                <w:sz w:val="24"/>
              </w:rPr>
            </w:pPr>
            <w:r>
              <w:rPr>
                <w:rFonts w:hint="eastAsia" w:ascii="宋体" w:hAnsi="宋体" w:cs="宋体"/>
                <w:sz w:val="24"/>
              </w:rPr>
              <w:t>主动参与苏州市灵活就业人员参加住房公积金制度试点，用好“六大利好”“八项突破”有力举措，深入宣传、精准推动、靠前服务，支持和保障新业态就业群体安居乐居。秉承“客户为先”的服务理念，以技术驱动为内核，携手农商行成功上线银行直连办理的苏州市灵活就业人员住房公积金个人账户开户和缴存功能，护航苏州人民“乐居苏城”的美好生活。</w:t>
            </w:r>
          </w:p>
        </w:tc>
      </w:tr>
      <w:tr w14:paraId="1C6C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19" w:type="dxa"/>
            <w:vMerge w:val="continue"/>
            <w:vAlign w:val="center"/>
          </w:tcPr>
          <w:p w14:paraId="5172D278">
            <w:pPr>
              <w:widowControl/>
              <w:jc w:val="center"/>
              <w:rPr>
                <w:rFonts w:ascii="宋体" w:hAnsi="宋体" w:cs="宋体"/>
                <w:kern w:val="0"/>
                <w:sz w:val="24"/>
              </w:rPr>
            </w:pPr>
          </w:p>
        </w:tc>
        <w:tc>
          <w:tcPr>
            <w:tcW w:w="3818" w:type="dxa"/>
            <w:vAlign w:val="center"/>
          </w:tcPr>
          <w:p w14:paraId="13015BD6">
            <w:pPr>
              <w:widowControl/>
              <w:jc w:val="center"/>
              <w:rPr>
                <w:rFonts w:ascii="宋体" w:hAnsi="宋体" w:cs="宋体"/>
                <w:sz w:val="24"/>
              </w:rPr>
            </w:pPr>
            <w:r>
              <w:rPr>
                <w:rFonts w:hint="eastAsia" w:ascii="宋体" w:hAnsi="宋体" w:cs="宋体"/>
                <w:sz w:val="24"/>
              </w:rPr>
              <w:t>提升个人基数调整率</w:t>
            </w:r>
          </w:p>
        </w:tc>
        <w:tc>
          <w:tcPr>
            <w:tcW w:w="6280" w:type="dxa"/>
            <w:vAlign w:val="center"/>
          </w:tcPr>
          <w:p w14:paraId="2B60CCE8">
            <w:pPr>
              <w:widowControl/>
              <w:jc w:val="center"/>
              <w:rPr>
                <w:rFonts w:ascii="宋体" w:hAnsi="宋体" w:cs="宋体"/>
                <w:sz w:val="24"/>
              </w:rPr>
            </w:pPr>
            <w:r>
              <w:rPr>
                <w:rFonts w:hint="eastAsia" w:ascii="宋体" w:hAnsi="宋体" w:cs="宋体"/>
                <w:sz w:val="24"/>
              </w:rPr>
              <w:t>组织开展基数调整培训会，共计约500余家单位参加培训，同时邀请顾问律师开展普法宣讲，督促企业依法缴存。</w:t>
            </w:r>
          </w:p>
        </w:tc>
      </w:tr>
    </w:tbl>
    <w:p w14:paraId="64F4AE51">
      <w:pPr>
        <w:spacing w:line="360" w:lineRule="auto"/>
        <w:ind w:left="600"/>
        <w:rPr>
          <w:rFonts w:ascii="黑体" w:hAnsi="黑体" w:eastAsia="黑体"/>
          <w:sz w:val="30"/>
        </w:rPr>
      </w:pPr>
    </w:p>
    <w:p w14:paraId="6407ACA0">
      <w:pPr>
        <w:spacing w:line="360" w:lineRule="auto"/>
        <w:ind w:left="600"/>
        <w:rPr>
          <w:rFonts w:ascii="黑体" w:hAnsi="黑体" w:eastAsia="黑体"/>
          <w:sz w:val="30"/>
        </w:rPr>
      </w:pPr>
    </w:p>
    <w:p w14:paraId="74BD1C71">
      <w:pPr>
        <w:numPr>
          <w:ilvl w:val="0"/>
          <w:numId w:val="1"/>
        </w:numPr>
        <w:spacing w:line="360" w:lineRule="auto"/>
        <w:ind w:left="600"/>
        <w:rPr>
          <w:rFonts w:ascii="黑体" w:hAnsi="黑体" w:eastAsia="黑体"/>
          <w:sz w:val="30"/>
        </w:rPr>
      </w:pPr>
      <w:r>
        <w:rPr>
          <w:rFonts w:hint="eastAsia" w:ascii="黑体" w:hAnsi="黑体" w:eastAsia="黑体"/>
          <w:sz w:val="30"/>
        </w:rPr>
        <w:t>部门整体自评表</w:t>
      </w:r>
    </w:p>
    <w:tbl>
      <w:tblPr>
        <w:tblStyle w:val="5"/>
        <w:tblpPr w:leftFromText="180" w:rightFromText="180" w:vertAnchor="text" w:horzAnchor="page" w:tblpX="1656" w:tblpY="127"/>
        <w:tblOverlap w:val="never"/>
        <w:tblW w:w="14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2051"/>
        <w:gridCol w:w="2061"/>
        <w:gridCol w:w="1987"/>
        <w:gridCol w:w="1799"/>
        <w:gridCol w:w="1866"/>
        <w:gridCol w:w="1787"/>
        <w:gridCol w:w="1071"/>
      </w:tblGrid>
      <w:tr w14:paraId="0637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67" w:type="dxa"/>
            <w:shd w:val="clear" w:color="000000" w:fill="BFBFBF"/>
            <w:vAlign w:val="center"/>
          </w:tcPr>
          <w:p w14:paraId="5DF69891">
            <w:pPr>
              <w:widowControl/>
              <w:jc w:val="center"/>
              <w:rPr>
                <w:rFonts w:ascii="宋体" w:hAnsi="宋体" w:cs="宋体"/>
                <w:b/>
                <w:bCs/>
                <w:kern w:val="0"/>
                <w:sz w:val="24"/>
              </w:rPr>
            </w:pPr>
          </w:p>
        </w:tc>
        <w:tc>
          <w:tcPr>
            <w:tcW w:w="2051" w:type="dxa"/>
            <w:shd w:val="clear" w:color="000000" w:fill="BFBFBF"/>
            <w:vAlign w:val="center"/>
          </w:tcPr>
          <w:p w14:paraId="48F44F24">
            <w:pPr>
              <w:widowControl/>
              <w:jc w:val="center"/>
              <w:rPr>
                <w:rFonts w:ascii="宋体" w:hAnsi="宋体" w:cs="宋体"/>
                <w:b/>
                <w:bCs/>
                <w:kern w:val="0"/>
                <w:sz w:val="24"/>
              </w:rPr>
            </w:pPr>
            <w:r>
              <w:rPr>
                <w:rFonts w:hint="eastAsia" w:ascii="宋体" w:hAnsi="宋体" w:cs="宋体"/>
                <w:b/>
                <w:bCs/>
                <w:sz w:val="24"/>
              </w:rPr>
              <w:t>类别</w:t>
            </w:r>
          </w:p>
        </w:tc>
        <w:tc>
          <w:tcPr>
            <w:tcW w:w="2061" w:type="dxa"/>
            <w:shd w:val="clear" w:color="000000" w:fill="BFBFBF"/>
            <w:vAlign w:val="center"/>
          </w:tcPr>
          <w:p w14:paraId="657808A6">
            <w:pPr>
              <w:widowControl/>
              <w:jc w:val="center"/>
              <w:rPr>
                <w:rFonts w:ascii="宋体" w:hAnsi="宋体" w:cs="宋体"/>
                <w:b/>
                <w:bCs/>
                <w:kern w:val="0"/>
                <w:sz w:val="24"/>
              </w:rPr>
            </w:pPr>
            <w:r>
              <w:rPr>
                <w:rFonts w:hint="eastAsia" w:ascii="宋体" w:hAnsi="宋体" w:cs="宋体"/>
                <w:b/>
                <w:bCs/>
                <w:sz w:val="24"/>
              </w:rPr>
              <w:t>指标名称</w:t>
            </w:r>
          </w:p>
        </w:tc>
        <w:tc>
          <w:tcPr>
            <w:tcW w:w="1987" w:type="dxa"/>
            <w:shd w:val="clear" w:color="000000" w:fill="BFBFBF"/>
            <w:vAlign w:val="center"/>
          </w:tcPr>
          <w:p w14:paraId="31239E35">
            <w:pPr>
              <w:widowControl/>
              <w:jc w:val="center"/>
              <w:rPr>
                <w:rFonts w:ascii="宋体" w:hAnsi="宋体" w:cs="宋体"/>
                <w:b/>
                <w:bCs/>
                <w:kern w:val="0"/>
                <w:sz w:val="24"/>
              </w:rPr>
            </w:pPr>
            <w:r>
              <w:rPr>
                <w:rFonts w:hint="eastAsia" w:ascii="宋体" w:hAnsi="宋体" w:cs="宋体"/>
                <w:b/>
                <w:bCs/>
                <w:sz w:val="24"/>
              </w:rPr>
              <w:t>指标目标值</w:t>
            </w:r>
          </w:p>
        </w:tc>
        <w:tc>
          <w:tcPr>
            <w:tcW w:w="1799" w:type="dxa"/>
            <w:shd w:val="clear" w:color="000000" w:fill="BFBFBF"/>
            <w:vAlign w:val="center"/>
          </w:tcPr>
          <w:p w14:paraId="64358B35">
            <w:pPr>
              <w:widowControl/>
              <w:jc w:val="center"/>
              <w:rPr>
                <w:rFonts w:ascii="宋体" w:hAnsi="宋体" w:cs="宋体"/>
                <w:b/>
                <w:bCs/>
                <w:kern w:val="0"/>
                <w:sz w:val="24"/>
              </w:rPr>
            </w:pPr>
            <w:r>
              <w:rPr>
                <w:rFonts w:hint="eastAsia" w:ascii="宋体" w:hAnsi="宋体" w:cs="宋体"/>
                <w:b/>
                <w:bCs/>
                <w:sz w:val="24"/>
              </w:rPr>
              <w:t>指标完成值</w:t>
            </w:r>
          </w:p>
        </w:tc>
        <w:tc>
          <w:tcPr>
            <w:tcW w:w="1866" w:type="dxa"/>
            <w:shd w:val="clear" w:color="000000" w:fill="BFBFBF"/>
            <w:vAlign w:val="center"/>
          </w:tcPr>
          <w:p w14:paraId="15B8E6E2">
            <w:pPr>
              <w:widowControl/>
              <w:jc w:val="center"/>
              <w:rPr>
                <w:rFonts w:ascii="宋体" w:hAnsi="宋体" w:cs="宋体"/>
                <w:b/>
                <w:bCs/>
                <w:kern w:val="0"/>
                <w:sz w:val="24"/>
              </w:rPr>
            </w:pPr>
            <w:r>
              <w:rPr>
                <w:rFonts w:hint="eastAsia" w:ascii="宋体" w:hAnsi="宋体" w:cs="宋体"/>
                <w:b/>
                <w:bCs/>
                <w:sz w:val="24"/>
              </w:rPr>
              <w:t>完成值来源</w:t>
            </w:r>
          </w:p>
        </w:tc>
        <w:tc>
          <w:tcPr>
            <w:tcW w:w="1787" w:type="dxa"/>
            <w:shd w:val="clear" w:color="000000" w:fill="BFBFBF"/>
            <w:vAlign w:val="center"/>
          </w:tcPr>
          <w:p w14:paraId="02DD0A65">
            <w:pPr>
              <w:widowControl/>
              <w:jc w:val="center"/>
              <w:rPr>
                <w:rFonts w:ascii="宋体" w:hAnsi="宋体" w:cs="宋体"/>
                <w:b/>
                <w:bCs/>
                <w:sz w:val="24"/>
              </w:rPr>
            </w:pPr>
            <w:r>
              <w:rPr>
                <w:rFonts w:hint="eastAsia" w:ascii="宋体" w:hAnsi="宋体" w:cs="宋体"/>
                <w:b/>
                <w:bCs/>
                <w:sz w:val="24"/>
              </w:rPr>
              <w:t>偏差情况</w:t>
            </w:r>
          </w:p>
        </w:tc>
        <w:tc>
          <w:tcPr>
            <w:tcW w:w="1071" w:type="dxa"/>
            <w:shd w:val="clear" w:color="000000" w:fill="BFBFBF"/>
          </w:tcPr>
          <w:p w14:paraId="49DE1E61">
            <w:pPr>
              <w:widowControl/>
              <w:jc w:val="center"/>
              <w:rPr>
                <w:rFonts w:ascii="黑体" w:hAnsi="黑体" w:eastAsia="黑体"/>
                <w:sz w:val="30"/>
              </w:rPr>
            </w:pPr>
            <w:r>
              <w:rPr>
                <w:rFonts w:hint="eastAsia" w:ascii="宋体" w:hAnsi="宋体" w:cs="宋体"/>
                <w:b/>
                <w:bCs/>
                <w:sz w:val="24"/>
              </w:rPr>
              <w:t>原因分析</w:t>
            </w:r>
          </w:p>
        </w:tc>
      </w:tr>
      <w:tr w14:paraId="524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restart"/>
            <w:vAlign w:val="center"/>
          </w:tcPr>
          <w:p w14:paraId="3E0FD091">
            <w:pPr>
              <w:spacing w:line="360" w:lineRule="auto"/>
              <w:jc w:val="center"/>
              <w:rPr>
                <w:rFonts w:ascii="宋体" w:hAnsi="宋体" w:cs="宋体"/>
                <w:kern w:val="0"/>
                <w:sz w:val="24"/>
              </w:rPr>
            </w:pPr>
            <w:r>
              <w:rPr>
                <w:rFonts w:hint="eastAsia" w:ascii="宋体" w:hAnsi="宋体" w:cs="宋体"/>
                <w:sz w:val="24"/>
              </w:rPr>
              <w:t>分解目标</w:t>
            </w:r>
          </w:p>
        </w:tc>
        <w:tc>
          <w:tcPr>
            <w:tcW w:w="2051" w:type="dxa"/>
            <w:vMerge w:val="restart"/>
            <w:vAlign w:val="center"/>
          </w:tcPr>
          <w:p w14:paraId="6A3BEE31">
            <w:pPr>
              <w:spacing w:line="360" w:lineRule="auto"/>
              <w:jc w:val="center"/>
              <w:rPr>
                <w:rFonts w:ascii="宋体" w:hAnsi="宋体" w:cs="宋体"/>
                <w:kern w:val="0"/>
                <w:sz w:val="24"/>
              </w:rPr>
            </w:pPr>
            <w:r>
              <w:rPr>
                <w:rFonts w:hint="eastAsia" w:ascii="宋体" w:hAnsi="宋体" w:cs="宋体"/>
                <w:sz w:val="24"/>
              </w:rPr>
              <w:t>决策</w:t>
            </w:r>
          </w:p>
        </w:tc>
        <w:tc>
          <w:tcPr>
            <w:tcW w:w="2061" w:type="dxa"/>
            <w:vAlign w:val="center"/>
          </w:tcPr>
          <w:p w14:paraId="645E6B55">
            <w:pPr>
              <w:spacing w:line="360" w:lineRule="auto"/>
              <w:jc w:val="center"/>
              <w:rPr>
                <w:rFonts w:ascii="宋体" w:hAnsi="宋体" w:cs="宋体"/>
                <w:kern w:val="0"/>
                <w:sz w:val="24"/>
              </w:rPr>
            </w:pPr>
            <w:r>
              <w:rPr>
                <w:rFonts w:hint="eastAsia" w:ascii="宋体" w:hAnsi="宋体" w:cs="宋体"/>
                <w:sz w:val="24"/>
              </w:rPr>
              <w:t>工作计划制定健全性</w:t>
            </w:r>
          </w:p>
        </w:tc>
        <w:tc>
          <w:tcPr>
            <w:tcW w:w="1987" w:type="dxa"/>
            <w:vAlign w:val="center"/>
          </w:tcPr>
          <w:p w14:paraId="36347CDE">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BE07E90">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332450E">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486CE5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C2E7BAA">
            <w:pPr>
              <w:spacing w:line="360" w:lineRule="auto"/>
              <w:rPr>
                <w:rFonts w:ascii="宋体" w:hAnsi="宋体" w:cs="宋体"/>
                <w:kern w:val="0"/>
                <w:sz w:val="22"/>
              </w:rPr>
            </w:pPr>
          </w:p>
        </w:tc>
      </w:tr>
      <w:tr w14:paraId="514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9286BC9">
            <w:pPr>
              <w:spacing w:line="360" w:lineRule="auto"/>
              <w:jc w:val="center"/>
              <w:rPr>
                <w:rFonts w:ascii="宋体" w:hAnsi="宋体" w:cs="宋体"/>
                <w:kern w:val="0"/>
                <w:sz w:val="24"/>
              </w:rPr>
            </w:pPr>
          </w:p>
        </w:tc>
        <w:tc>
          <w:tcPr>
            <w:tcW w:w="2051" w:type="dxa"/>
            <w:vMerge w:val="continue"/>
            <w:vAlign w:val="center"/>
          </w:tcPr>
          <w:p w14:paraId="14C5AB59">
            <w:pPr>
              <w:spacing w:line="360" w:lineRule="auto"/>
              <w:jc w:val="center"/>
              <w:rPr>
                <w:rFonts w:ascii="宋体" w:hAnsi="宋体" w:cs="宋体"/>
                <w:kern w:val="0"/>
                <w:sz w:val="24"/>
              </w:rPr>
            </w:pPr>
          </w:p>
        </w:tc>
        <w:tc>
          <w:tcPr>
            <w:tcW w:w="2061" w:type="dxa"/>
            <w:vAlign w:val="center"/>
          </w:tcPr>
          <w:p w14:paraId="50063919">
            <w:pPr>
              <w:spacing w:line="360" w:lineRule="auto"/>
              <w:jc w:val="center"/>
              <w:rPr>
                <w:rFonts w:ascii="宋体" w:hAnsi="宋体" w:cs="宋体"/>
                <w:kern w:val="0"/>
                <w:sz w:val="24"/>
              </w:rPr>
            </w:pPr>
            <w:r>
              <w:rPr>
                <w:rFonts w:hint="eastAsia" w:ascii="宋体" w:hAnsi="宋体" w:cs="宋体"/>
                <w:sz w:val="24"/>
              </w:rPr>
              <w:t>中长期规划制定健全性</w:t>
            </w:r>
          </w:p>
        </w:tc>
        <w:tc>
          <w:tcPr>
            <w:tcW w:w="1987" w:type="dxa"/>
            <w:vAlign w:val="center"/>
          </w:tcPr>
          <w:p w14:paraId="11AC50B5">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454673C9">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665D2EA9">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349B7F56">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ECF2321">
            <w:pPr>
              <w:spacing w:line="360" w:lineRule="auto"/>
              <w:rPr>
                <w:rFonts w:ascii="宋体" w:hAnsi="宋体" w:cs="宋体"/>
                <w:kern w:val="0"/>
                <w:sz w:val="22"/>
              </w:rPr>
            </w:pPr>
          </w:p>
        </w:tc>
      </w:tr>
      <w:tr w14:paraId="4718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4CB646D">
            <w:pPr>
              <w:spacing w:line="360" w:lineRule="auto"/>
              <w:jc w:val="center"/>
              <w:rPr>
                <w:rFonts w:ascii="宋体" w:hAnsi="宋体" w:cs="宋体"/>
                <w:kern w:val="0"/>
                <w:sz w:val="24"/>
              </w:rPr>
            </w:pPr>
          </w:p>
        </w:tc>
        <w:tc>
          <w:tcPr>
            <w:tcW w:w="2051" w:type="dxa"/>
            <w:vMerge w:val="continue"/>
            <w:vAlign w:val="center"/>
          </w:tcPr>
          <w:p w14:paraId="3F8A66DC">
            <w:pPr>
              <w:spacing w:line="360" w:lineRule="auto"/>
              <w:jc w:val="center"/>
              <w:rPr>
                <w:rFonts w:ascii="宋体" w:hAnsi="宋体" w:cs="宋体"/>
                <w:kern w:val="0"/>
                <w:sz w:val="24"/>
              </w:rPr>
            </w:pPr>
          </w:p>
        </w:tc>
        <w:tc>
          <w:tcPr>
            <w:tcW w:w="2061" w:type="dxa"/>
            <w:vAlign w:val="center"/>
          </w:tcPr>
          <w:p w14:paraId="0B003C37">
            <w:pPr>
              <w:spacing w:line="360" w:lineRule="auto"/>
              <w:jc w:val="center"/>
              <w:rPr>
                <w:rFonts w:ascii="宋体" w:hAnsi="宋体" w:cs="宋体"/>
                <w:kern w:val="0"/>
                <w:sz w:val="24"/>
              </w:rPr>
            </w:pPr>
            <w:r>
              <w:rPr>
                <w:rFonts w:hint="eastAsia" w:ascii="宋体" w:hAnsi="宋体" w:cs="宋体"/>
                <w:sz w:val="24"/>
              </w:rPr>
              <w:t>绩效目标合理性</w:t>
            </w:r>
          </w:p>
        </w:tc>
        <w:tc>
          <w:tcPr>
            <w:tcW w:w="1987" w:type="dxa"/>
            <w:vAlign w:val="center"/>
          </w:tcPr>
          <w:p w14:paraId="5BA734F7">
            <w:pPr>
              <w:spacing w:line="360" w:lineRule="auto"/>
              <w:jc w:val="center"/>
              <w:rPr>
                <w:rFonts w:ascii="宋体" w:hAnsi="宋体" w:cs="宋体"/>
                <w:kern w:val="0"/>
                <w:sz w:val="24"/>
              </w:rPr>
            </w:pPr>
            <w:r>
              <w:rPr>
                <w:rFonts w:hint="eastAsia" w:ascii="宋体" w:hAnsi="宋体" w:cs="宋体"/>
                <w:sz w:val="24"/>
              </w:rPr>
              <w:t>合理</w:t>
            </w:r>
          </w:p>
        </w:tc>
        <w:tc>
          <w:tcPr>
            <w:tcW w:w="1799" w:type="dxa"/>
            <w:vAlign w:val="center"/>
          </w:tcPr>
          <w:p w14:paraId="1DEEEA30">
            <w:pPr>
              <w:spacing w:line="360" w:lineRule="auto"/>
              <w:jc w:val="center"/>
              <w:rPr>
                <w:rFonts w:ascii="宋体" w:hAnsi="宋体" w:cs="宋体"/>
                <w:kern w:val="0"/>
                <w:sz w:val="24"/>
              </w:rPr>
            </w:pPr>
            <w:r>
              <w:rPr>
                <w:rFonts w:hint="eastAsia" w:ascii="宋体" w:hAnsi="宋体" w:cs="宋体"/>
                <w:sz w:val="24"/>
              </w:rPr>
              <w:t>合理</w:t>
            </w:r>
          </w:p>
        </w:tc>
        <w:tc>
          <w:tcPr>
            <w:tcW w:w="1866" w:type="dxa"/>
            <w:vAlign w:val="center"/>
          </w:tcPr>
          <w:p w14:paraId="56EE0706">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CD9F7C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18A15B">
            <w:pPr>
              <w:spacing w:line="360" w:lineRule="auto"/>
              <w:rPr>
                <w:rFonts w:ascii="宋体" w:hAnsi="宋体" w:cs="宋体"/>
                <w:kern w:val="0"/>
                <w:sz w:val="22"/>
              </w:rPr>
            </w:pPr>
          </w:p>
        </w:tc>
      </w:tr>
      <w:tr w14:paraId="5B39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96455EF">
            <w:pPr>
              <w:spacing w:line="360" w:lineRule="auto"/>
              <w:jc w:val="center"/>
              <w:rPr>
                <w:rFonts w:ascii="宋体" w:hAnsi="宋体" w:cs="宋体"/>
                <w:kern w:val="0"/>
                <w:sz w:val="24"/>
              </w:rPr>
            </w:pPr>
          </w:p>
        </w:tc>
        <w:tc>
          <w:tcPr>
            <w:tcW w:w="2051" w:type="dxa"/>
            <w:vMerge w:val="continue"/>
            <w:vAlign w:val="center"/>
          </w:tcPr>
          <w:p w14:paraId="58EA5E4B">
            <w:pPr>
              <w:spacing w:line="360" w:lineRule="auto"/>
              <w:jc w:val="center"/>
              <w:rPr>
                <w:rFonts w:ascii="宋体" w:hAnsi="宋体" w:cs="宋体"/>
                <w:kern w:val="0"/>
                <w:sz w:val="24"/>
              </w:rPr>
            </w:pPr>
          </w:p>
        </w:tc>
        <w:tc>
          <w:tcPr>
            <w:tcW w:w="2061" w:type="dxa"/>
            <w:vAlign w:val="center"/>
          </w:tcPr>
          <w:p w14:paraId="7628B4B1">
            <w:pPr>
              <w:spacing w:line="360" w:lineRule="auto"/>
              <w:jc w:val="center"/>
              <w:rPr>
                <w:rFonts w:ascii="宋体" w:hAnsi="宋体" w:cs="宋体"/>
                <w:kern w:val="0"/>
                <w:sz w:val="24"/>
              </w:rPr>
            </w:pPr>
            <w:r>
              <w:rPr>
                <w:rFonts w:hint="eastAsia" w:ascii="宋体" w:hAnsi="宋体" w:cs="宋体"/>
                <w:sz w:val="24"/>
              </w:rPr>
              <w:t>绩效指标明确性</w:t>
            </w:r>
          </w:p>
        </w:tc>
        <w:tc>
          <w:tcPr>
            <w:tcW w:w="1987" w:type="dxa"/>
            <w:vAlign w:val="center"/>
          </w:tcPr>
          <w:p w14:paraId="7FBC0674">
            <w:pPr>
              <w:spacing w:line="360" w:lineRule="auto"/>
              <w:jc w:val="center"/>
              <w:rPr>
                <w:rFonts w:ascii="宋体" w:hAnsi="宋体" w:cs="宋体"/>
                <w:kern w:val="0"/>
                <w:sz w:val="24"/>
              </w:rPr>
            </w:pPr>
            <w:r>
              <w:rPr>
                <w:rFonts w:hint="eastAsia" w:ascii="宋体" w:hAnsi="宋体" w:cs="宋体"/>
                <w:sz w:val="24"/>
              </w:rPr>
              <w:t>明确</w:t>
            </w:r>
          </w:p>
        </w:tc>
        <w:tc>
          <w:tcPr>
            <w:tcW w:w="1799" w:type="dxa"/>
            <w:vAlign w:val="center"/>
          </w:tcPr>
          <w:p w14:paraId="660B9FC5">
            <w:pPr>
              <w:spacing w:line="360" w:lineRule="auto"/>
              <w:jc w:val="center"/>
              <w:rPr>
                <w:rFonts w:ascii="宋体" w:hAnsi="宋体" w:cs="宋体"/>
                <w:kern w:val="0"/>
                <w:sz w:val="24"/>
              </w:rPr>
            </w:pPr>
            <w:r>
              <w:rPr>
                <w:rFonts w:hint="eastAsia" w:ascii="宋体" w:hAnsi="宋体" w:cs="宋体"/>
                <w:sz w:val="24"/>
              </w:rPr>
              <w:t>明确</w:t>
            </w:r>
          </w:p>
        </w:tc>
        <w:tc>
          <w:tcPr>
            <w:tcW w:w="1866" w:type="dxa"/>
            <w:vAlign w:val="center"/>
          </w:tcPr>
          <w:p w14:paraId="18646AB4">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338AB38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60AA5F0">
            <w:pPr>
              <w:spacing w:line="360" w:lineRule="auto"/>
              <w:rPr>
                <w:rFonts w:ascii="宋体" w:hAnsi="宋体" w:cs="宋体"/>
                <w:kern w:val="0"/>
                <w:sz w:val="22"/>
              </w:rPr>
            </w:pPr>
          </w:p>
        </w:tc>
      </w:tr>
      <w:tr w14:paraId="4420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342B5AB">
            <w:pPr>
              <w:spacing w:line="360" w:lineRule="auto"/>
              <w:jc w:val="center"/>
              <w:rPr>
                <w:rFonts w:ascii="宋体" w:hAnsi="宋体" w:cs="宋体"/>
                <w:kern w:val="0"/>
                <w:sz w:val="24"/>
              </w:rPr>
            </w:pPr>
          </w:p>
        </w:tc>
        <w:tc>
          <w:tcPr>
            <w:tcW w:w="2051" w:type="dxa"/>
            <w:vMerge w:val="continue"/>
            <w:vAlign w:val="center"/>
          </w:tcPr>
          <w:p w14:paraId="3E5FE199">
            <w:pPr>
              <w:spacing w:line="360" w:lineRule="auto"/>
              <w:jc w:val="center"/>
              <w:rPr>
                <w:rFonts w:ascii="宋体" w:hAnsi="宋体" w:cs="宋体"/>
                <w:kern w:val="0"/>
                <w:sz w:val="24"/>
              </w:rPr>
            </w:pPr>
          </w:p>
        </w:tc>
        <w:tc>
          <w:tcPr>
            <w:tcW w:w="2061" w:type="dxa"/>
            <w:vAlign w:val="center"/>
          </w:tcPr>
          <w:p w14:paraId="1FE22BF2">
            <w:pPr>
              <w:spacing w:line="360" w:lineRule="auto"/>
              <w:jc w:val="center"/>
              <w:rPr>
                <w:rFonts w:ascii="宋体" w:hAnsi="宋体" w:cs="宋体"/>
                <w:kern w:val="0"/>
                <w:sz w:val="24"/>
              </w:rPr>
            </w:pPr>
            <w:r>
              <w:rPr>
                <w:rFonts w:hint="eastAsia" w:ascii="宋体" w:hAnsi="宋体" w:cs="宋体"/>
                <w:sz w:val="24"/>
              </w:rPr>
              <w:t>预算编制科学性</w:t>
            </w:r>
          </w:p>
        </w:tc>
        <w:tc>
          <w:tcPr>
            <w:tcW w:w="1987" w:type="dxa"/>
            <w:vAlign w:val="center"/>
          </w:tcPr>
          <w:p w14:paraId="0D8AB394">
            <w:pPr>
              <w:spacing w:line="360" w:lineRule="auto"/>
              <w:jc w:val="center"/>
              <w:rPr>
                <w:rFonts w:ascii="宋体" w:hAnsi="宋体" w:cs="宋体"/>
                <w:kern w:val="0"/>
                <w:sz w:val="24"/>
              </w:rPr>
            </w:pPr>
            <w:r>
              <w:rPr>
                <w:rFonts w:hint="eastAsia" w:ascii="宋体" w:hAnsi="宋体" w:cs="宋体"/>
                <w:sz w:val="24"/>
              </w:rPr>
              <w:t>科学</w:t>
            </w:r>
          </w:p>
        </w:tc>
        <w:tc>
          <w:tcPr>
            <w:tcW w:w="1799" w:type="dxa"/>
            <w:vAlign w:val="center"/>
          </w:tcPr>
          <w:p w14:paraId="0CEC5489">
            <w:pPr>
              <w:spacing w:line="360" w:lineRule="auto"/>
              <w:jc w:val="center"/>
              <w:rPr>
                <w:rFonts w:ascii="宋体" w:hAnsi="宋体" w:cs="宋体"/>
                <w:kern w:val="0"/>
                <w:sz w:val="24"/>
              </w:rPr>
            </w:pPr>
            <w:r>
              <w:rPr>
                <w:rFonts w:hint="eastAsia" w:ascii="宋体" w:hAnsi="宋体" w:cs="宋体"/>
                <w:sz w:val="24"/>
              </w:rPr>
              <w:t>科学</w:t>
            </w:r>
          </w:p>
        </w:tc>
        <w:tc>
          <w:tcPr>
            <w:tcW w:w="1866" w:type="dxa"/>
            <w:vAlign w:val="center"/>
          </w:tcPr>
          <w:p w14:paraId="5A6F9E26">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7891CED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692CDDF">
            <w:pPr>
              <w:spacing w:line="360" w:lineRule="auto"/>
              <w:rPr>
                <w:rFonts w:ascii="宋体" w:hAnsi="宋体" w:cs="宋体"/>
                <w:kern w:val="0"/>
                <w:sz w:val="22"/>
              </w:rPr>
            </w:pPr>
          </w:p>
        </w:tc>
      </w:tr>
      <w:tr w14:paraId="2E09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248D9BD">
            <w:pPr>
              <w:spacing w:line="360" w:lineRule="auto"/>
              <w:jc w:val="center"/>
              <w:rPr>
                <w:rFonts w:ascii="宋体" w:hAnsi="宋体" w:cs="宋体"/>
                <w:kern w:val="0"/>
                <w:sz w:val="24"/>
              </w:rPr>
            </w:pPr>
          </w:p>
        </w:tc>
        <w:tc>
          <w:tcPr>
            <w:tcW w:w="2051" w:type="dxa"/>
            <w:vMerge w:val="continue"/>
            <w:vAlign w:val="center"/>
          </w:tcPr>
          <w:p w14:paraId="6F51FCF8">
            <w:pPr>
              <w:spacing w:line="360" w:lineRule="auto"/>
              <w:jc w:val="center"/>
              <w:rPr>
                <w:rFonts w:ascii="宋体" w:hAnsi="宋体" w:cs="宋体"/>
                <w:kern w:val="0"/>
                <w:sz w:val="24"/>
              </w:rPr>
            </w:pPr>
          </w:p>
        </w:tc>
        <w:tc>
          <w:tcPr>
            <w:tcW w:w="2061" w:type="dxa"/>
            <w:vAlign w:val="center"/>
          </w:tcPr>
          <w:p w14:paraId="18E53345">
            <w:pPr>
              <w:spacing w:line="360" w:lineRule="auto"/>
              <w:jc w:val="center"/>
              <w:rPr>
                <w:rFonts w:ascii="宋体" w:hAnsi="宋体" w:cs="宋体"/>
                <w:kern w:val="0"/>
                <w:sz w:val="24"/>
              </w:rPr>
            </w:pPr>
            <w:r>
              <w:rPr>
                <w:rFonts w:hint="eastAsia" w:ascii="宋体" w:hAnsi="宋体" w:cs="宋体"/>
                <w:sz w:val="24"/>
              </w:rPr>
              <w:t>预算编制规范性</w:t>
            </w:r>
          </w:p>
        </w:tc>
        <w:tc>
          <w:tcPr>
            <w:tcW w:w="1987" w:type="dxa"/>
            <w:vAlign w:val="center"/>
          </w:tcPr>
          <w:p w14:paraId="515869B3">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62B5B381">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13F11824">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39FFCB6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1A2013B">
            <w:pPr>
              <w:spacing w:line="360" w:lineRule="auto"/>
              <w:rPr>
                <w:rFonts w:ascii="宋体" w:hAnsi="宋体" w:cs="宋体"/>
                <w:kern w:val="0"/>
                <w:sz w:val="22"/>
              </w:rPr>
            </w:pPr>
          </w:p>
        </w:tc>
      </w:tr>
      <w:tr w14:paraId="412A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E4B5287">
            <w:pPr>
              <w:spacing w:line="360" w:lineRule="auto"/>
              <w:jc w:val="center"/>
              <w:rPr>
                <w:rFonts w:ascii="宋体" w:hAnsi="宋体" w:cs="宋体"/>
                <w:kern w:val="0"/>
                <w:sz w:val="24"/>
              </w:rPr>
            </w:pPr>
          </w:p>
        </w:tc>
        <w:tc>
          <w:tcPr>
            <w:tcW w:w="2051" w:type="dxa"/>
            <w:vMerge w:val="restart"/>
            <w:vAlign w:val="center"/>
          </w:tcPr>
          <w:p w14:paraId="08EAC64E">
            <w:pPr>
              <w:spacing w:line="360" w:lineRule="auto"/>
              <w:jc w:val="center"/>
              <w:rPr>
                <w:rFonts w:ascii="宋体" w:hAnsi="宋体" w:cs="宋体"/>
                <w:kern w:val="0"/>
                <w:sz w:val="24"/>
              </w:rPr>
            </w:pPr>
            <w:r>
              <w:rPr>
                <w:rFonts w:hint="eastAsia" w:ascii="宋体" w:hAnsi="宋体" w:cs="宋体"/>
                <w:sz w:val="24"/>
              </w:rPr>
              <w:t>过程</w:t>
            </w:r>
          </w:p>
        </w:tc>
        <w:tc>
          <w:tcPr>
            <w:tcW w:w="2061" w:type="dxa"/>
            <w:vAlign w:val="center"/>
          </w:tcPr>
          <w:p w14:paraId="2282A15D">
            <w:pPr>
              <w:spacing w:line="360" w:lineRule="auto"/>
              <w:jc w:val="center"/>
              <w:rPr>
                <w:rFonts w:ascii="宋体" w:hAnsi="宋体" w:cs="宋体"/>
                <w:kern w:val="0"/>
                <w:sz w:val="24"/>
              </w:rPr>
            </w:pPr>
            <w:r>
              <w:rPr>
                <w:rFonts w:hint="eastAsia" w:ascii="宋体" w:hAnsi="宋体" w:cs="宋体"/>
                <w:sz w:val="24"/>
              </w:rPr>
              <w:t>预决算信息公开度</w:t>
            </w:r>
          </w:p>
        </w:tc>
        <w:tc>
          <w:tcPr>
            <w:tcW w:w="1987" w:type="dxa"/>
            <w:vAlign w:val="center"/>
          </w:tcPr>
          <w:p w14:paraId="1A92425D">
            <w:pPr>
              <w:spacing w:line="360" w:lineRule="auto"/>
              <w:jc w:val="center"/>
              <w:rPr>
                <w:rFonts w:ascii="宋体" w:hAnsi="宋体" w:cs="宋体"/>
                <w:kern w:val="0"/>
                <w:sz w:val="24"/>
              </w:rPr>
            </w:pPr>
            <w:r>
              <w:rPr>
                <w:rFonts w:hint="eastAsia" w:ascii="宋体" w:hAnsi="宋体" w:cs="宋体"/>
                <w:sz w:val="24"/>
              </w:rPr>
              <w:t>公开</w:t>
            </w:r>
          </w:p>
        </w:tc>
        <w:tc>
          <w:tcPr>
            <w:tcW w:w="1799" w:type="dxa"/>
            <w:vAlign w:val="center"/>
          </w:tcPr>
          <w:p w14:paraId="002F912F">
            <w:pPr>
              <w:spacing w:line="360" w:lineRule="auto"/>
              <w:jc w:val="center"/>
              <w:rPr>
                <w:rFonts w:ascii="宋体" w:hAnsi="宋体" w:cs="宋体"/>
                <w:kern w:val="0"/>
                <w:sz w:val="24"/>
              </w:rPr>
            </w:pPr>
            <w:r>
              <w:rPr>
                <w:rFonts w:hint="eastAsia" w:ascii="宋体" w:hAnsi="宋体" w:cs="宋体"/>
                <w:sz w:val="24"/>
              </w:rPr>
              <w:t>公开</w:t>
            </w:r>
          </w:p>
        </w:tc>
        <w:tc>
          <w:tcPr>
            <w:tcW w:w="1866" w:type="dxa"/>
            <w:vAlign w:val="center"/>
          </w:tcPr>
          <w:p w14:paraId="4F074E51">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0DE61E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C086A63">
            <w:pPr>
              <w:spacing w:line="360" w:lineRule="auto"/>
              <w:rPr>
                <w:rFonts w:ascii="宋体" w:hAnsi="宋体" w:cs="宋体"/>
                <w:kern w:val="0"/>
                <w:sz w:val="22"/>
              </w:rPr>
            </w:pPr>
          </w:p>
        </w:tc>
      </w:tr>
      <w:tr w14:paraId="6E8D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443C4A7">
            <w:pPr>
              <w:spacing w:line="360" w:lineRule="auto"/>
              <w:jc w:val="center"/>
              <w:rPr>
                <w:rFonts w:ascii="宋体" w:hAnsi="宋体" w:cs="宋体"/>
                <w:kern w:val="0"/>
                <w:sz w:val="24"/>
              </w:rPr>
            </w:pPr>
          </w:p>
        </w:tc>
        <w:tc>
          <w:tcPr>
            <w:tcW w:w="2051" w:type="dxa"/>
            <w:vMerge w:val="continue"/>
            <w:vAlign w:val="center"/>
          </w:tcPr>
          <w:p w14:paraId="79855FB7">
            <w:pPr>
              <w:spacing w:line="360" w:lineRule="auto"/>
              <w:jc w:val="center"/>
              <w:rPr>
                <w:rFonts w:ascii="宋体" w:hAnsi="宋体" w:cs="宋体"/>
                <w:kern w:val="0"/>
                <w:sz w:val="24"/>
              </w:rPr>
            </w:pPr>
          </w:p>
        </w:tc>
        <w:tc>
          <w:tcPr>
            <w:tcW w:w="2061" w:type="dxa"/>
            <w:vAlign w:val="center"/>
          </w:tcPr>
          <w:p w14:paraId="2CA3750F">
            <w:pPr>
              <w:spacing w:line="360" w:lineRule="auto"/>
              <w:jc w:val="center"/>
              <w:rPr>
                <w:rFonts w:ascii="宋体" w:hAnsi="宋体" w:cs="宋体"/>
                <w:kern w:val="0"/>
                <w:sz w:val="24"/>
              </w:rPr>
            </w:pPr>
            <w:r>
              <w:rPr>
                <w:rFonts w:hint="eastAsia" w:ascii="宋体" w:hAnsi="宋体" w:cs="宋体"/>
                <w:sz w:val="24"/>
              </w:rPr>
              <w:t>资金使用合规性</w:t>
            </w:r>
          </w:p>
        </w:tc>
        <w:tc>
          <w:tcPr>
            <w:tcW w:w="1987" w:type="dxa"/>
            <w:vAlign w:val="center"/>
          </w:tcPr>
          <w:p w14:paraId="3F7AE5F3">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62D9676A">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4B311F04">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E7F301C">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300AB5F">
            <w:pPr>
              <w:spacing w:line="360" w:lineRule="auto"/>
              <w:rPr>
                <w:rFonts w:ascii="宋体" w:hAnsi="宋体" w:cs="宋体"/>
                <w:kern w:val="0"/>
                <w:sz w:val="22"/>
              </w:rPr>
            </w:pPr>
          </w:p>
        </w:tc>
      </w:tr>
      <w:tr w14:paraId="43D2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C09C807">
            <w:pPr>
              <w:spacing w:line="360" w:lineRule="auto"/>
              <w:jc w:val="center"/>
              <w:rPr>
                <w:rFonts w:ascii="宋体" w:hAnsi="宋体" w:cs="宋体"/>
                <w:kern w:val="0"/>
                <w:sz w:val="24"/>
              </w:rPr>
            </w:pPr>
          </w:p>
        </w:tc>
        <w:tc>
          <w:tcPr>
            <w:tcW w:w="2051" w:type="dxa"/>
            <w:vMerge w:val="continue"/>
            <w:vAlign w:val="center"/>
          </w:tcPr>
          <w:p w14:paraId="295D350E">
            <w:pPr>
              <w:spacing w:line="360" w:lineRule="auto"/>
              <w:jc w:val="center"/>
              <w:rPr>
                <w:rFonts w:ascii="宋体" w:hAnsi="宋体" w:cs="宋体"/>
                <w:kern w:val="0"/>
                <w:sz w:val="24"/>
              </w:rPr>
            </w:pPr>
          </w:p>
        </w:tc>
        <w:tc>
          <w:tcPr>
            <w:tcW w:w="2061" w:type="dxa"/>
            <w:vAlign w:val="center"/>
          </w:tcPr>
          <w:p w14:paraId="57CE6B6B">
            <w:pPr>
              <w:spacing w:line="360" w:lineRule="auto"/>
              <w:jc w:val="center"/>
              <w:rPr>
                <w:rFonts w:ascii="宋体" w:hAnsi="宋体" w:cs="宋体"/>
                <w:kern w:val="0"/>
                <w:sz w:val="24"/>
              </w:rPr>
            </w:pPr>
            <w:r>
              <w:rPr>
                <w:rFonts w:hint="eastAsia" w:ascii="宋体" w:hAnsi="宋体" w:cs="宋体"/>
                <w:sz w:val="24"/>
              </w:rPr>
              <w:t>基础信息完善性</w:t>
            </w:r>
          </w:p>
        </w:tc>
        <w:tc>
          <w:tcPr>
            <w:tcW w:w="1987" w:type="dxa"/>
            <w:vAlign w:val="center"/>
          </w:tcPr>
          <w:p w14:paraId="6C390D31">
            <w:pPr>
              <w:spacing w:line="360" w:lineRule="auto"/>
              <w:jc w:val="center"/>
              <w:rPr>
                <w:rFonts w:ascii="宋体" w:hAnsi="宋体" w:cs="宋体"/>
                <w:kern w:val="0"/>
                <w:sz w:val="24"/>
              </w:rPr>
            </w:pPr>
            <w:r>
              <w:rPr>
                <w:rFonts w:hint="eastAsia" w:ascii="宋体" w:hAnsi="宋体" w:cs="宋体"/>
                <w:sz w:val="24"/>
              </w:rPr>
              <w:t>完善</w:t>
            </w:r>
          </w:p>
        </w:tc>
        <w:tc>
          <w:tcPr>
            <w:tcW w:w="1799" w:type="dxa"/>
            <w:vAlign w:val="center"/>
          </w:tcPr>
          <w:p w14:paraId="77FC754C">
            <w:pPr>
              <w:spacing w:line="360" w:lineRule="auto"/>
              <w:jc w:val="center"/>
              <w:rPr>
                <w:rFonts w:ascii="宋体" w:hAnsi="宋体" w:cs="宋体"/>
                <w:kern w:val="0"/>
                <w:sz w:val="24"/>
              </w:rPr>
            </w:pPr>
            <w:r>
              <w:rPr>
                <w:rFonts w:hint="eastAsia" w:ascii="宋体" w:hAnsi="宋体" w:cs="宋体"/>
                <w:sz w:val="24"/>
              </w:rPr>
              <w:t>完善</w:t>
            </w:r>
          </w:p>
        </w:tc>
        <w:tc>
          <w:tcPr>
            <w:tcW w:w="1866" w:type="dxa"/>
            <w:vAlign w:val="center"/>
          </w:tcPr>
          <w:p w14:paraId="427C7950">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229AA49C">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F12822F">
            <w:pPr>
              <w:spacing w:line="360" w:lineRule="auto"/>
              <w:rPr>
                <w:rFonts w:ascii="宋体" w:hAnsi="宋体" w:cs="宋体"/>
                <w:kern w:val="0"/>
                <w:sz w:val="22"/>
              </w:rPr>
            </w:pPr>
          </w:p>
        </w:tc>
      </w:tr>
      <w:tr w14:paraId="1B6B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9907964">
            <w:pPr>
              <w:spacing w:line="360" w:lineRule="auto"/>
              <w:jc w:val="center"/>
              <w:rPr>
                <w:rFonts w:ascii="宋体" w:hAnsi="宋体" w:cs="宋体"/>
                <w:kern w:val="0"/>
                <w:sz w:val="24"/>
              </w:rPr>
            </w:pPr>
          </w:p>
        </w:tc>
        <w:tc>
          <w:tcPr>
            <w:tcW w:w="2051" w:type="dxa"/>
            <w:vMerge w:val="continue"/>
            <w:vAlign w:val="center"/>
          </w:tcPr>
          <w:p w14:paraId="53BD8682">
            <w:pPr>
              <w:spacing w:line="360" w:lineRule="auto"/>
              <w:jc w:val="center"/>
              <w:rPr>
                <w:rFonts w:ascii="宋体" w:hAnsi="宋体" w:cs="宋体"/>
                <w:kern w:val="0"/>
                <w:sz w:val="24"/>
              </w:rPr>
            </w:pPr>
          </w:p>
        </w:tc>
        <w:tc>
          <w:tcPr>
            <w:tcW w:w="2061" w:type="dxa"/>
            <w:vAlign w:val="center"/>
          </w:tcPr>
          <w:p w14:paraId="571DFFE8">
            <w:pPr>
              <w:spacing w:line="360" w:lineRule="auto"/>
              <w:jc w:val="center"/>
              <w:rPr>
                <w:rFonts w:ascii="宋体" w:hAnsi="宋体" w:cs="宋体"/>
                <w:kern w:val="0"/>
                <w:sz w:val="24"/>
              </w:rPr>
            </w:pPr>
            <w:r>
              <w:rPr>
                <w:rFonts w:hint="eastAsia" w:ascii="宋体" w:hAnsi="宋体" w:cs="宋体"/>
                <w:sz w:val="24"/>
              </w:rPr>
              <w:t>预算管理制度健全性</w:t>
            </w:r>
          </w:p>
        </w:tc>
        <w:tc>
          <w:tcPr>
            <w:tcW w:w="1987" w:type="dxa"/>
            <w:vAlign w:val="center"/>
          </w:tcPr>
          <w:p w14:paraId="2A480EA3">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41E39290">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382C4C73">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269B3FF6">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6F189F6">
            <w:pPr>
              <w:spacing w:line="360" w:lineRule="auto"/>
              <w:rPr>
                <w:rFonts w:ascii="宋体" w:hAnsi="宋体" w:cs="宋体"/>
                <w:kern w:val="0"/>
                <w:sz w:val="22"/>
              </w:rPr>
            </w:pPr>
          </w:p>
        </w:tc>
      </w:tr>
      <w:tr w14:paraId="4D8E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5A4D920">
            <w:pPr>
              <w:spacing w:line="360" w:lineRule="auto"/>
              <w:jc w:val="center"/>
              <w:rPr>
                <w:rFonts w:ascii="宋体" w:hAnsi="宋体" w:cs="宋体"/>
                <w:kern w:val="0"/>
                <w:sz w:val="24"/>
              </w:rPr>
            </w:pPr>
          </w:p>
        </w:tc>
        <w:tc>
          <w:tcPr>
            <w:tcW w:w="2051" w:type="dxa"/>
            <w:vMerge w:val="continue"/>
            <w:vAlign w:val="center"/>
          </w:tcPr>
          <w:p w14:paraId="291202F7">
            <w:pPr>
              <w:spacing w:line="360" w:lineRule="auto"/>
              <w:jc w:val="center"/>
              <w:rPr>
                <w:rFonts w:ascii="宋体" w:hAnsi="宋体" w:cs="宋体"/>
                <w:kern w:val="0"/>
                <w:sz w:val="24"/>
              </w:rPr>
            </w:pPr>
          </w:p>
        </w:tc>
        <w:tc>
          <w:tcPr>
            <w:tcW w:w="2061" w:type="dxa"/>
            <w:vAlign w:val="center"/>
          </w:tcPr>
          <w:p w14:paraId="5BB64427">
            <w:pPr>
              <w:spacing w:line="360" w:lineRule="auto"/>
              <w:jc w:val="center"/>
              <w:rPr>
                <w:rFonts w:ascii="宋体" w:hAnsi="宋体" w:cs="宋体"/>
                <w:kern w:val="0"/>
                <w:sz w:val="24"/>
              </w:rPr>
            </w:pPr>
            <w:r>
              <w:rPr>
                <w:rFonts w:hint="eastAsia" w:ascii="宋体" w:hAnsi="宋体" w:cs="宋体"/>
                <w:sz w:val="24"/>
              </w:rPr>
              <w:t>绩效管理覆盖率</w:t>
            </w:r>
          </w:p>
        </w:tc>
        <w:tc>
          <w:tcPr>
            <w:tcW w:w="1987" w:type="dxa"/>
            <w:vAlign w:val="center"/>
          </w:tcPr>
          <w:p w14:paraId="31308C2D">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BC12D75">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37F27B4">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7C0AB4D1">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BE37832">
            <w:pPr>
              <w:spacing w:line="360" w:lineRule="auto"/>
              <w:rPr>
                <w:rFonts w:ascii="宋体" w:hAnsi="宋体" w:cs="宋体"/>
                <w:kern w:val="0"/>
                <w:sz w:val="22"/>
              </w:rPr>
            </w:pPr>
          </w:p>
        </w:tc>
      </w:tr>
      <w:tr w14:paraId="1054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539BE46">
            <w:pPr>
              <w:spacing w:line="360" w:lineRule="auto"/>
              <w:jc w:val="center"/>
              <w:rPr>
                <w:rFonts w:ascii="宋体" w:hAnsi="宋体" w:cs="宋体"/>
                <w:kern w:val="0"/>
                <w:sz w:val="24"/>
              </w:rPr>
            </w:pPr>
          </w:p>
        </w:tc>
        <w:tc>
          <w:tcPr>
            <w:tcW w:w="2051" w:type="dxa"/>
            <w:vMerge w:val="continue"/>
            <w:vAlign w:val="center"/>
          </w:tcPr>
          <w:p w14:paraId="0B42BB42">
            <w:pPr>
              <w:spacing w:line="360" w:lineRule="auto"/>
              <w:jc w:val="center"/>
              <w:rPr>
                <w:rFonts w:ascii="宋体" w:hAnsi="宋体" w:cs="宋体"/>
                <w:kern w:val="0"/>
                <w:sz w:val="24"/>
              </w:rPr>
            </w:pPr>
          </w:p>
        </w:tc>
        <w:tc>
          <w:tcPr>
            <w:tcW w:w="2061" w:type="dxa"/>
            <w:vAlign w:val="center"/>
          </w:tcPr>
          <w:p w14:paraId="3C61030B">
            <w:pPr>
              <w:spacing w:line="360" w:lineRule="auto"/>
              <w:jc w:val="center"/>
              <w:rPr>
                <w:rFonts w:ascii="宋体" w:hAnsi="宋体" w:cs="宋体"/>
                <w:kern w:val="0"/>
                <w:sz w:val="24"/>
              </w:rPr>
            </w:pPr>
            <w:r>
              <w:rPr>
                <w:rFonts w:hint="eastAsia" w:ascii="宋体" w:hAnsi="宋体" w:cs="宋体"/>
                <w:sz w:val="24"/>
              </w:rPr>
              <w:t>非税收入管理合规性</w:t>
            </w:r>
          </w:p>
        </w:tc>
        <w:tc>
          <w:tcPr>
            <w:tcW w:w="1987" w:type="dxa"/>
            <w:vAlign w:val="center"/>
          </w:tcPr>
          <w:p w14:paraId="472336F2">
            <w:pPr>
              <w:spacing w:line="360" w:lineRule="auto"/>
              <w:jc w:val="center"/>
              <w:rPr>
                <w:rFonts w:ascii="宋体" w:hAnsi="宋体" w:cs="宋体"/>
                <w:kern w:val="0"/>
                <w:sz w:val="24"/>
              </w:rPr>
            </w:pPr>
            <w:r>
              <w:rPr>
                <w:rFonts w:hint="eastAsia" w:ascii="宋体" w:hAnsi="宋体" w:cs="宋体"/>
                <w:sz w:val="24"/>
              </w:rPr>
              <w:t>合规</w:t>
            </w:r>
          </w:p>
        </w:tc>
        <w:tc>
          <w:tcPr>
            <w:tcW w:w="1799" w:type="dxa"/>
            <w:vAlign w:val="center"/>
          </w:tcPr>
          <w:p w14:paraId="2E6A8D26">
            <w:pPr>
              <w:spacing w:line="360" w:lineRule="auto"/>
              <w:jc w:val="center"/>
              <w:rPr>
                <w:rFonts w:ascii="宋体" w:hAnsi="宋体" w:cs="宋体"/>
                <w:kern w:val="0"/>
                <w:sz w:val="24"/>
              </w:rPr>
            </w:pPr>
            <w:r>
              <w:rPr>
                <w:rFonts w:hint="eastAsia" w:ascii="宋体" w:hAnsi="宋体" w:cs="宋体"/>
                <w:sz w:val="24"/>
              </w:rPr>
              <w:t>合规</w:t>
            </w:r>
          </w:p>
        </w:tc>
        <w:tc>
          <w:tcPr>
            <w:tcW w:w="1866" w:type="dxa"/>
            <w:vAlign w:val="center"/>
          </w:tcPr>
          <w:p w14:paraId="17329507">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75462D2">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4E9EF5E">
            <w:pPr>
              <w:spacing w:line="360" w:lineRule="auto"/>
              <w:rPr>
                <w:rFonts w:ascii="宋体" w:hAnsi="宋体" w:cs="宋体"/>
                <w:kern w:val="0"/>
                <w:sz w:val="22"/>
              </w:rPr>
            </w:pPr>
          </w:p>
        </w:tc>
      </w:tr>
      <w:tr w14:paraId="06A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1234B51">
            <w:pPr>
              <w:spacing w:line="360" w:lineRule="auto"/>
              <w:jc w:val="center"/>
              <w:rPr>
                <w:rFonts w:ascii="宋体" w:hAnsi="宋体" w:cs="宋体"/>
                <w:kern w:val="0"/>
                <w:sz w:val="24"/>
              </w:rPr>
            </w:pPr>
          </w:p>
        </w:tc>
        <w:tc>
          <w:tcPr>
            <w:tcW w:w="2051" w:type="dxa"/>
            <w:vMerge w:val="continue"/>
            <w:vAlign w:val="center"/>
          </w:tcPr>
          <w:p w14:paraId="0EBF54FC">
            <w:pPr>
              <w:spacing w:line="360" w:lineRule="auto"/>
              <w:jc w:val="center"/>
              <w:rPr>
                <w:rFonts w:ascii="宋体" w:hAnsi="宋体" w:cs="宋体"/>
                <w:kern w:val="0"/>
                <w:sz w:val="24"/>
              </w:rPr>
            </w:pPr>
          </w:p>
        </w:tc>
        <w:tc>
          <w:tcPr>
            <w:tcW w:w="2061" w:type="dxa"/>
            <w:vAlign w:val="center"/>
          </w:tcPr>
          <w:p w14:paraId="3F4B68BD">
            <w:pPr>
              <w:spacing w:line="360" w:lineRule="auto"/>
              <w:jc w:val="center"/>
              <w:rPr>
                <w:rFonts w:ascii="宋体" w:hAnsi="宋体" w:cs="宋体"/>
                <w:kern w:val="0"/>
                <w:sz w:val="24"/>
              </w:rPr>
            </w:pPr>
            <w:r>
              <w:rPr>
                <w:rFonts w:hint="eastAsia" w:ascii="宋体" w:hAnsi="宋体" w:cs="宋体"/>
                <w:sz w:val="24"/>
              </w:rPr>
              <w:t>资产管理规范性</w:t>
            </w:r>
          </w:p>
        </w:tc>
        <w:tc>
          <w:tcPr>
            <w:tcW w:w="1987" w:type="dxa"/>
            <w:vAlign w:val="center"/>
          </w:tcPr>
          <w:p w14:paraId="2B4FD2FB">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5C5D5B36">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4CBF7289">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9A83B8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C7E3684">
            <w:pPr>
              <w:spacing w:line="360" w:lineRule="auto"/>
              <w:rPr>
                <w:rFonts w:ascii="宋体" w:hAnsi="宋体" w:cs="宋体"/>
                <w:kern w:val="0"/>
                <w:sz w:val="22"/>
              </w:rPr>
            </w:pPr>
          </w:p>
        </w:tc>
      </w:tr>
      <w:tr w14:paraId="425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1F99458">
            <w:pPr>
              <w:spacing w:line="360" w:lineRule="auto"/>
              <w:jc w:val="center"/>
              <w:rPr>
                <w:rFonts w:ascii="宋体" w:hAnsi="宋体" w:cs="宋体"/>
                <w:kern w:val="0"/>
                <w:sz w:val="24"/>
              </w:rPr>
            </w:pPr>
          </w:p>
        </w:tc>
        <w:tc>
          <w:tcPr>
            <w:tcW w:w="2051" w:type="dxa"/>
            <w:vMerge w:val="continue"/>
            <w:vAlign w:val="center"/>
          </w:tcPr>
          <w:p w14:paraId="52A115F2">
            <w:pPr>
              <w:spacing w:line="360" w:lineRule="auto"/>
              <w:jc w:val="center"/>
              <w:rPr>
                <w:rFonts w:ascii="宋体" w:hAnsi="宋体" w:cs="宋体"/>
                <w:kern w:val="0"/>
                <w:sz w:val="24"/>
              </w:rPr>
            </w:pPr>
          </w:p>
        </w:tc>
        <w:tc>
          <w:tcPr>
            <w:tcW w:w="2061" w:type="dxa"/>
            <w:vAlign w:val="center"/>
          </w:tcPr>
          <w:p w14:paraId="14846363">
            <w:pPr>
              <w:spacing w:line="360" w:lineRule="auto"/>
              <w:jc w:val="center"/>
              <w:rPr>
                <w:rFonts w:ascii="宋体" w:hAnsi="宋体" w:cs="宋体"/>
                <w:kern w:val="0"/>
                <w:sz w:val="24"/>
              </w:rPr>
            </w:pPr>
            <w:r>
              <w:rPr>
                <w:rFonts w:hint="eastAsia" w:ascii="宋体" w:hAnsi="宋体" w:cs="宋体"/>
                <w:sz w:val="24"/>
              </w:rPr>
              <w:t>资产管理制度健全性</w:t>
            </w:r>
          </w:p>
        </w:tc>
        <w:tc>
          <w:tcPr>
            <w:tcW w:w="1987" w:type="dxa"/>
            <w:vAlign w:val="center"/>
          </w:tcPr>
          <w:p w14:paraId="1D548C75">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55E3FBCF">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1C42B4C9">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2430D04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2B9BC60">
            <w:pPr>
              <w:spacing w:line="360" w:lineRule="auto"/>
              <w:rPr>
                <w:rFonts w:ascii="宋体" w:hAnsi="宋体" w:cs="宋体"/>
                <w:kern w:val="0"/>
                <w:sz w:val="22"/>
              </w:rPr>
            </w:pPr>
          </w:p>
        </w:tc>
      </w:tr>
      <w:tr w14:paraId="39E2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8098277">
            <w:pPr>
              <w:spacing w:line="360" w:lineRule="auto"/>
              <w:jc w:val="center"/>
              <w:rPr>
                <w:rFonts w:ascii="宋体" w:hAnsi="宋体" w:cs="宋体"/>
                <w:kern w:val="0"/>
                <w:sz w:val="24"/>
              </w:rPr>
            </w:pPr>
          </w:p>
        </w:tc>
        <w:tc>
          <w:tcPr>
            <w:tcW w:w="2051" w:type="dxa"/>
            <w:vMerge w:val="continue"/>
            <w:vAlign w:val="center"/>
          </w:tcPr>
          <w:p w14:paraId="1E02FE6D">
            <w:pPr>
              <w:spacing w:line="360" w:lineRule="auto"/>
              <w:jc w:val="center"/>
              <w:rPr>
                <w:rFonts w:ascii="宋体" w:hAnsi="宋体" w:cs="宋体"/>
                <w:kern w:val="0"/>
                <w:sz w:val="24"/>
              </w:rPr>
            </w:pPr>
          </w:p>
        </w:tc>
        <w:tc>
          <w:tcPr>
            <w:tcW w:w="2061" w:type="dxa"/>
            <w:vAlign w:val="center"/>
          </w:tcPr>
          <w:p w14:paraId="11DD976A">
            <w:pPr>
              <w:spacing w:line="360" w:lineRule="auto"/>
              <w:jc w:val="center"/>
              <w:rPr>
                <w:rFonts w:ascii="宋体" w:hAnsi="宋体" w:cs="宋体"/>
                <w:kern w:val="0"/>
                <w:sz w:val="24"/>
              </w:rPr>
            </w:pPr>
            <w:r>
              <w:rPr>
                <w:rFonts w:hint="eastAsia" w:ascii="宋体" w:hAnsi="宋体" w:cs="宋体"/>
                <w:sz w:val="24"/>
              </w:rPr>
              <w:t>固定资产利用率</w:t>
            </w:r>
          </w:p>
        </w:tc>
        <w:tc>
          <w:tcPr>
            <w:tcW w:w="1987" w:type="dxa"/>
            <w:vAlign w:val="center"/>
          </w:tcPr>
          <w:p w14:paraId="41373688">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58B7C180">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4F0F693A">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28E81D95">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71D71342">
            <w:pPr>
              <w:spacing w:line="360" w:lineRule="auto"/>
              <w:rPr>
                <w:rFonts w:ascii="宋体" w:hAnsi="宋体" w:cs="宋体"/>
                <w:kern w:val="0"/>
                <w:sz w:val="22"/>
              </w:rPr>
            </w:pPr>
          </w:p>
        </w:tc>
      </w:tr>
      <w:tr w14:paraId="014D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25E8C7F">
            <w:pPr>
              <w:spacing w:line="360" w:lineRule="auto"/>
              <w:jc w:val="center"/>
              <w:rPr>
                <w:rFonts w:ascii="宋体" w:hAnsi="宋体" w:cs="宋体"/>
                <w:kern w:val="0"/>
                <w:sz w:val="24"/>
              </w:rPr>
            </w:pPr>
          </w:p>
        </w:tc>
        <w:tc>
          <w:tcPr>
            <w:tcW w:w="2051" w:type="dxa"/>
            <w:vMerge w:val="continue"/>
            <w:vAlign w:val="center"/>
          </w:tcPr>
          <w:p w14:paraId="593F1B49">
            <w:pPr>
              <w:spacing w:line="360" w:lineRule="auto"/>
              <w:jc w:val="center"/>
              <w:rPr>
                <w:rFonts w:ascii="宋体" w:hAnsi="宋体" w:cs="宋体"/>
                <w:kern w:val="0"/>
                <w:sz w:val="24"/>
              </w:rPr>
            </w:pPr>
          </w:p>
        </w:tc>
        <w:tc>
          <w:tcPr>
            <w:tcW w:w="2061" w:type="dxa"/>
            <w:vAlign w:val="center"/>
          </w:tcPr>
          <w:p w14:paraId="79585AEA">
            <w:pPr>
              <w:spacing w:line="360" w:lineRule="auto"/>
              <w:jc w:val="center"/>
              <w:rPr>
                <w:rFonts w:ascii="宋体" w:hAnsi="宋体" w:cs="宋体"/>
                <w:kern w:val="0"/>
                <w:sz w:val="24"/>
              </w:rPr>
            </w:pPr>
            <w:r>
              <w:rPr>
                <w:rFonts w:hint="eastAsia" w:ascii="宋体" w:hAnsi="宋体" w:cs="宋体"/>
                <w:sz w:val="24"/>
              </w:rPr>
              <w:t>项目管理制度执行规范性</w:t>
            </w:r>
          </w:p>
        </w:tc>
        <w:tc>
          <w:tcPr>
            <w:tcW w:w="1987" w:type="dxa"/>
            <w:vAlign w:val="center"/>
          </w:tcPr>
          <w:p w14:paraId="0D1DCD71">
            <w:pPr>
              <w:spacing w:line="360" w:lineRule="auto"/>
              <w:jc w:val="center"/>
              <w:rPr>
                <w:rFonts w:ascii="宋体" w:hAnsi="宋体" w:cs="宋体"/>
                <w:kern w:val="0"/>
                <w:sz w:val="24"/>
              </w:rPr>
            </w:pPr>
            <w:r>
              <w:rPr>
                <w:rFonts w:hint="eastAsia" w:ascii="宋体" w:hAnsi="宋体" w:cs="宋体"/>
                <w:sz w:val="24"/>
              </w:rPr>
              <w:t>规范</w:t>
            </w:r>
          </w:p>
        </w:tc>
        <w:tc>
          <w:tcPr>
            <w:tcW w:w="1799" w:type="dxa"/>
            <w:vAlign w:val="center"/>
          </w:tcPr>
          <w:p w14:paraId="69F3C5C7">
            <w:pPr>
              <w:spacing w:line="360" w:lineRule="auto"/>
              <w:jc w:val="center"/>
              <w:rPr>
                <w:rFonts w:ascii="宋体" w:hAnsi="宋体" w:cs="宋体"/>
                <w:kern w:val="0"/>
                <w:sz w:val="24"/>
              </w:rPr>
            </w:pPr>
            <w:r>
              <w:rPr>
                <w:rFonts w:hint="eastAsia" w:ascii="宋体" w:hAnsi="宋体" w:cs="宋体"/>
                <w:sz w:val="24"/>
              </w:rPr>
              <w:t>规范</w:t>
            </w:r>
          </w:p>
        </w:tc>
        <w:tc>
          <w:tcPr>
            <w:tcW w:w="1866" w:type="dxa"/>
            <w:vAlign w:val="center"/>
          </w:tcPr>
          <w:p w14:paraId="3E33D732">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5BFA41C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5958ECF">
            <w:pPr>
              <w:spacing w:line="360" w:lineRule="auto"/>
              <w:rPr>
                <w:rFonts w:ascii="宋体" w:hAnsi="宋体" w:cs="宋体"/>
                <w:kern w:val="0"/>
                <w:sz w:val="22"/>
              </w:rPr>
            </w:pPr>
          </w:p>
        </w:tc>
      </w:tr>
      <w:tr w14:paraId="0BCD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E494951">
            <w:pPr>
              <w:spacing w:line="360" w:lineRule="auto"/>
              <w:jc w:val="center"/>
              <w:rPr>
                <w:rFonts w:ascii="宋体" w:hAnsi="宋体" w:cs="宋体"/>
                <w:kern w:val="0"/>
                <w:sz w:val="24"/>
              </w:rPr>
            </w:pPr>
          </w:p>
        </w:tc>
        <w:tc>
          <w:tcPr>
            <w:tcW w:w="2051" w:type="dxa"/>
            <w:vMerge w:val="continue"/>
            <w:vAlign w:val="center"/>
          </w:tcPr>
          <w:p w14:paraId="1FCA53B9">
            <w:pPr>
              <w:spacing w:line="360" w:lineRule="auto"/>
              <w:jc w:val="center"/>
              <w:rPr>
                <w:rFonts w:ascii="宋体" w:hAnsi="宋体" w:cs="宋体"/>
                <w:kern w:val="0"/>
                <w:sz w:val="24"/>
              </w:rPr>
            </w:pPr>
          </w:p>
        </w:tc>
        <w:tc>
          <w:tcPr>
            <w:tcW w:w="2061" w:type="dxa"/>
            <w:vAlign w:val="center"/>
          </w:tcPr>
          <w:p w14:paraId="7E4F0BB5">
            <w:pPr>
              <w:spacing w:line="360" w:lineRule="auto"/>
              <w:jc w:val="center"/>
              <w:rPr>
                <w:rFonts w:ascii="宋体" w:hAnsi="宋体" w:cs="宋体"/>
                <w:kern w:val="0"/>
                <w:sz w:val="24"/>
              </w:rPr>
            </w:pPr>
            <w:r>
              <w:rPr>
                <w:rFonts w:hint="eastAsia" w:ascii="宋体" w:hAnsi="宋体" w:cs="宋体"/>
                <w:sz w:val="24"/>
              </w:rPr>
              <w:t>项目管理制度健全性</w:t>
            </w:r>
          </w:p>
        </w:tc>
        <w:tc>
          <w:tcPr>
            <w:tcW w:w="1987" w:type="dxa"/>
            <w:vAlign w:val="center"/>
          </w:tcPr>
          <w:p w14:paraId="559F2361">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1EF728D4">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55983EBA">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482F6E43">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1BA8EF80">
            <w:pPr>
              <w:spacing w:line="360" w:lineRule="auto"/>
              <w:rPr>
                <w:rFonts w:ascii="宋体" w:hAnsi="宋体" w:cs="宋体"/>
                <w:kern w:val="0"/>
                <w:sz w:val="22"/>
              </w:rPr>
            </w:pPr>
          </w:p>
        </w:tc>
      </w:tr>
      <w:tr w14:paraId="45EC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42C34F3">
            <w:pPr>
              <w:spacing w:line="360" w:lineRule="auto"/>
              <w:jc w:val="center"/>
              <w:rPr>
                <w:rFonts w:ascii="宋体" w:hAnsi="宋体" w:cs="宋体"/>
                <w:kern w:val="0"/>
                <w:sz w:val="24"/>
              </w:rPr>
            </w:pPr>
          </w:p>
        </w:tc>
        <w:tc>
          <w:tcPr>
            <w:tcW w:w="2051" w:type="dxa"/>
            <w:vMerge w:val="continue"/>
            <w:vAlign w:val="center"/>
          </w:tcPr>
          <w:p w14:paraId="3CB334B5">
            <w:pPr>
              <w:spacing w:line="360" w:lineRule="auto"/>
              <w:jc w:val="center"/>
              <w:rPr>
                <w:rFonts w:ascii="宋体" w:hAnsi="宋体" w:cs="宋体"/>
                <w:kern w:val="0"/>
                <w:sz w:val="24"/>
              </w:rPr>
            </w:pPr>
          </w:p>
        </w:tc>
        <w:tc>
          <w:tcPr>
            <w:tcW w:w="2061" w:type="dxa"/>
            <w:vAlign w:val="center"/>
          </w:tcPr>
          <w:p w14:paraId="5B8840C4">
            <w:pPr>
              <w:spacing w:line="360" w:lineRule="auto"/>
              <w:jc w:val="center"/>
              <w:rPr>
                <w:rFonts w:ascii="宋体" w:hAnsi="宋体" w:cs="宋体"/>
                <w:kern w:val="0"/>
                <w:sz w:val="24"/>
              </w:rPr>
            </w:pPr>
            <w:r>
              <w:rPr>
                <w:rFonts w:hint="eastAsia" w:ascii="宋体" w:hAnsi="宋体" w:cs="宋体"/>
                <w:sz w:val="24"/>
              </w:rPr>
              <w:t>在职人员控制率</w:t>
            </w:r>
          </w:p>
        </w:tc>
        <w:tc>
          <w:tcPr>
            <w:tcW w:w="1987" w:type="dxa"/>
            <w:vAlign w:val="center"/>
          </w:tcPr>
          <w:p w14:paraId="5C291401">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6CD18BA4">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64A38C6B">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A46DC9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DB6CC4D">
            <w:pPr>
              <w:spacing w:line="360" w:lineRule="auto"/>
              <w:rPr>
                <w:rFonts w:ascii="宋体" w:hAnsi="宋体" w:cs="宋体"/>
                <w:kern w:val="0"/>
                <w:sz w:val="22"/>
              </w:rPr>
            </w:pPr>
          </w:p>
        </w:tc>
      </w:tr>
      <w:tr w14:paraId="533F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5688131">
            <w:pPr>
              <w:spacing w:line="360" w:lineRule="auto"/>
              <w:jc w:val="center"/>
              <w:rPr>
                <w:rFonts w:ascii="宋体" w:hAnsi="宋体" w:cs="宋体"/>
                <w:kern w:val="0"/>
                <w:sz w:val="24"/>
              </w:rPr>
            </w:pPr>
          </w:p>
        </w:tc>
        <w:tc>
          <w:tcPr>
            <w:tcW w:w="2051" w:type="dxa"/>
            <w:vMerge w:val="continue"/>
            <w:vAlign w:val="center"/>
          </w:tcPr>
          <w:p w14:paraId="0D68237B">
            <w:pPr>
              <w:spacing w:line="360" w:lineRule="auto"/>
              <w:jc w:val="center"/>
              <w:rPr>
                <w:rFonts w:ascii="宋体" w:hAnsi="宋体" w:cs="宋体"/>
                <w:kern w:val="0"/>
                <w:sz w:val="24"/>
              </w:rPr>
            </w:pPr>
          </w:p>
        </w:tc>
        <w:tc>
          <w:tcPr>
            <w:tcW w:w="2061" w:type="dxa"/>
            <w:vAlign w:val="center"/>
          </w:tcPr>
          <w:p w14:paraId="0ACFF3FE">
            <w:pPr>
              <w:spacing w:line="360" w:lineRule="auto"/>
              <w:jc w:val="center"/>
              <w:rPr>
                <w:rFonts w:ascii="宋体" w:hAnsi="宋体" w:cs="宋体"/>
                <w:kern w:val="0"/>
                <w:sz w:val="24"/>
              </w:rPr>
            </w:pPr>
            <w:r>
              <w:rPr>
                <w:rFonts w:hint="eastAsia" w:ascii="宋体" w:hAnsi="宋体" w:cs="宋体"/>
                <w:sz w:val="24"/>
              </w:rPr>
              <w:t>人员管理制度健全性</w:t>
            </w:r>
          </w:p>
        </w:tc>
        <w:tc>
          <w:tcPr>
            <w:tcW w:w="1987" w:type="dxa"/>
            <w:vAlign w:val="center"/>
          </w:tcPr>
          <w:p w14:paraId="0CD02D2D">
            <w:pPr>
              <w:spacing w:line="360" w:lineRule="auto"/>
              <w:jc w:val="center"/>
              <w:rPr>
                <w:rFonts w:ascii="宋体" w:hAnsi="宋体" w:cs="宋体"/>
                <w:kern w:val="0"/>
                <w:sz w:val="24"/>
              </w:rPr>
            </w:pPr>
            <w:r>
              <w:rPr>
                <w:rFonts w:hint="eastAsia" w:ascii="宋体" w:hAnsi="宋体" w:cs="宋体"/>
                <w:sz w:val="24"/>
              </w:rPr>
              <w:t>健全</w:t>
            </w:r>
          </w:p>
        </w:tc>
        <w:tc>
          <w:tcPr>
            <w:tcW w:w="1799" w:type="dxa"/>
            <w:vAlign w:val="center"/>
          </w:tcPr>
          <w:p w14:paraId="01E57AF4">
            <w:pPr>
              <w:spacing w:line="360" w:lineRule="auto"/>
              <w:jc w:val="center"/>
              <w:rPr>
                <w:rFonts w:ascii="宋体" w:hAnsi="宋体" w:cs="宋体"/>
                <w:kern w:val="0"/>
                <w:sz w:val="24"/>
              </w:rPr>
            </w:pPr>
            <w:r>
              <w:rPr>
                <w:rFonts w:hint="eastAsia" w:ascii="宋体" w:hAnsi="宋体" w:cs="宋体"/>
                <w:sz w:val="24"/>
              </w:rPr>
              <w:t>健全</w:t>
            </w:r>
          </w:p>
        </w:tc>
        <w:tc>
          <w:tcPr>
            <w:tcW w:w="1866" w:type="dxa"/>
            <w:vAlign w:val="center"/>
          </w:tcPr>
          <w:p w14:paraId="5F04C7BB">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62F81F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9A8C210">
            <w:pPr>
              <w:spacing w:line="360" w:lineRule="auto"/>
              <w:rPr>
                <w:rFonts w:ascii="宋体" w:hAnsi="宋体" w:cs="宋体"/>
                <w:kern w:val="0"/>
                <w:sz w:val="22"/>
              </w:rPr>
            </w:pPr>
          </w:p>
        </w:tc>
      </w:tr>
      <w:tr w14:paraId="2A23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162F76E">
            <w:pPr>
              <w:spacing w:line="360" w:lineRule="auto"/>
              <w:jc w:val="center"/>
              <w:rPr>
                <w:rFonts w:ascii="宋体" w:hAnsi="宋体" w:cs="宋体"/>
                <w:kern w:val="0"/>
                <w:sz w:val="24"/>
              </w:rPr>
            </w:pPr>
          </w:p>
        </w:tc>
        <w:tc>
          <w:tcPr>
            <w:tcW w:w="2051" w:type="dxa"/>
            <w:vMerge w:val="continue"/>
            <w:vAlign w:val="center"/>
          </w:tcPr>
          <w:p w14:paraId="3CA892B0">
            <w:pPr>
              <w:spacing w:line="360" w:lineRule="auto"/>
              <w:jc w:val="center"/>
              <w:rPr>
                <w:rFonts w:ascii="宋体" w:hAnsi="宋体" w:cs="宋体"/>
                <w:kern w:val="0"/>
                <w:sz w:val="24"/>
              </w:rPr>
            </w:pPr>
          </w:p>
        </w:tc>
        <w:tc>
          <w:tcPr>
            <w:tcW w:w="2061" w:type="dxa"/>
            <w:vAlign w:val="center"/>
          </w:tcPr>
          <w:p w14:paraId="75C2E20A">
            <w:pPr>
              <w:spacing w:line="360" w:lineRule="auto"/>
              <w:jc w:val="center"/>
              <w:rPr>
                <w:rFonts w:ascii="宋体" w:hAnsi="宋体" w:cs="宋体"/>
                <w:kern w:val="0"/>
                <w:sz w:val="24"/>
              </w:rPr>
            </w:pPr>
            <w:r>
              <w:rPr>
                <w:rFonts w:hint="eastAsia" w:ascii="宋体" w:hAnsi="宋体" w:cs="宋体"/>
                <w:sz w:val="24"/>
              </w:rPr>
              <w:t>人员管理制度执行有效性</w:t>
            </w:r>
          </w:p>
        </w:tc>
        <w:tc>
          <w:tcPr>
            <w:tcW w:w="1987" w:type="dxa"/>
            <w:vAlign w:val="center"/>
          </w:tcPr>
          <w:p w14:paraId="3979B3A7">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6EBB256B">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05429A1D">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5642F8D0">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BA3F4AE">
            <w:pPr>
              <w:spacing w:line="360" w:lineRule="auto"/>
              <w:rPr>
                <w:rFonts w:ascii="宋体" w:hAnsi="宋体" w:cs="宋体"/>
                <w:kern w:val="0"/>
                <w:sz w:val="22"/>
              </w:rPr>
            </w:pPr>
          </w:p>
        </w:tc>
      </w:tr>
      <w:tr w14:paraId="5CFB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8BD5407">
            <w:pPr>
              <w:spacing w:line="360" w:lineRule="auto"/>
              <w:jc w:val="center"/>
              <w:rPr>
                <w:rFonts w:ascii="宋体" w:hAnsi="宋体" w:cs="宋体"/>
                <w:kern w:val="0"/>
                <w:sz w:val="24"/>
              </w:rPr>
            </w:pPr>
          </w:p>
        </w:tc>
        <w:tc>
          <w:tcPr>
            <w:tcW w:w="2051" w:type="dxa"/>
            <w:vMerge w:val="continue"/>
            <w:vAlign w:val="center"/>
          </w:tcPr>
          <w:p w14:paraId="1838A636">
            <w:pPr>
              <w:spacing w:line="360" w:lineRule="auto"/>
              <w:jc w:val="center"/>
              <w:rPr>
                <w:rFonts w:ascii="宋体" w:hAnsi="宋体" w:cs="宋体"/>
                <w:kern w:val="0"/>
                <w:sz w:val="24"/>
              </w:rPr>
            </w:pPr>
          </w:p>
        </w:tc>
        <w:tc>
          <w:tcPr>
            <w:tcW w:w="2061" w:type="dxa"/>
            <w:vAlign w:val="center"/>
          </w:tcPr>
          <w:p w14:paraId="329FA285">
            <w:pPr>
              <w:spacing w:line="360" w:lineRule="auto"/>
              <w:jc w:val="center"/>
              <w:rPr>
                <w:rFonts w:ascii="宋体" w:hAnsi="宋体" w:cs="宋体"/>
                <w:kern w:val="0"/>
                <w:sz w:val="24"/>
              </w:rPr>
            </w:pPr>
            <w:r>
              <w:rPr>
                <w:rFonts w:hint="eastAsia" w:ascii="宋体" w:hAnsi="宋体" w:cs="宋体"/>
                <w:sz w:val="24"/>
              </w:rPr>
              <w:t>业务学习与培训及时完成率</w:t>
            </w:r>
          </w:p>
        </w:tc>
        <w:tc>
          <w:tcPr>
            <w:tcW w:w="1987" w:type="dxa"/>
            <w:vAlign w:val="center"/>
          </w:tcPr>
          <w:p w14:paraId="00011356">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244BEDDA">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AE10A15">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045C696F">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E6981BF">
            <w:pPr>
              <w:spacing w:line="360" w:lineRule="auto"/>
              <w:rPr>
                <w:rFonts w:ascii="宋体" w:hAnsi="宋体" w:cs="宋体"/>
                <w:kern w:val="0"/>
                <w:sz w:val="22"/>
              </w:rPr>
            </w:pPr>
          </w:p>
        </w:tc>
      </w:tr>
      <w:tr w14:paraId="755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AA0261D">
            <w:pPr>
              <w:spacing w:line="360" w:lineRule="auto"/>
              <w:jc w:val="center"/>
              <w:rPr>
                <w:rFonts w:ascii="宋体" w:hAnsi="宋体" w:cs="宋体"/>
                <w:kern w:val="0"/>
                <w:sz w:val="24"/>
              </w:rPr>
            </w:pPr>
          </w:p>
        </w:tc>
        <w:tc>
          <w:tcPr>
            <w:tcW w:w="2051" w:type="dxa"/>
            <w:vMerge w:val="continue"/>
            <w:vAlign w:val="center"/>
          </w:tcPr>
          <w:p w14:paraId="535B19E8">
            <w:pPr>
              <w:spacing w:line="360" w:lineRule="auto"/>
              <w:jc w:val="center"/>
              <w:rPr>
                <w:rFonts w:ascii="宋体" w:hAnsi="宋体" w:cs="宋体"/>
                <w:kern w:val="0"/>
                <w:sz w:val="24"/>
              </w:rPr>
            </w:pPr>
          </w:p>
        </w:tc>
        <w:tc>
          <w:tcPr>
            <w:tcW w:w="2061" w:type="dxa"/>
            <w:vAlign w:val="center"/>
          </w:tcPr>
          <w:p w14:paraId="49127D87">
            <w:pPr>
              <w:spacing w:line="360" w:lineRule="auto"/>
              <w:jc w:val="center"/>
              <w:rPr>
                <w:rFonts w:ascii="宋体" w:hAnsi="宋体" w:cs="宋体"/>
                <w:kern w:val="0"/>
                <w:sz w:val="24"/>
              </w:rPr>
            </w:pPr>
            <w:r>
              <w:rPr>
                <w:rFonts w:hint="eastAsia" w:ascii="宋体" w:hAnsi="宋体" w:cs="宋体"/>
                <w:sz w:val="24"/>
              </w:rPr>
              <w:t>纪检监察工作有效性</w:t>
            </w:r>
          </w:p>
        </w:tc>
        <w:tc>
          <w:tcPr>
            <w:tcW w:w="1987" w:type="dxa"/>
            <w:vAlign w:val="center"/>
          </w:tcPr>
          <w:p w14:paraId="68537DF1">
            <w:pPr>
              <w:spacing w:line="360" w:lineRule="auto"/>
              <w:jc w:val="center"/>
              <w:rPr>
                <w:rFonts w:ascii="宋体" w:hAnsi="宋体" w:cs="宋体"/>
                <w:kern w:val="0"/>
                <w:sz w:val="24"/>
              </w:rPr>
            </w:pPr>
            <w:r>
              <w:rPr>
                <w:rFonts w:hint="eastAsia" w:ascii="宋体" w:hAnsi="宋体" w:cs="宋体"/>
                <w:sz w:val="24"/>
              </w:rPr>
              <w:t>有效</w:t>
            </w:r>
          </w:p>
        </w:tc>
        <w:tc>
          <w:tcPr>
            <w:tcW w:w="1799" w:type="dxa"/>
            <w:vAlign w:val="center"/>
          </w:tcPr>
          <w:p w14:paraId="4087D9E9">
            <w:pPr>
              <w:spacing w:line="360" w:lineRule="auto"/>
              <w:jc w:val="center"/>
              <w:rPr>
                <w:rFonts w:ascii="宋体" w:hAnsi="宋体" w:cs="宋体"/>
                <w:kern w:val="0"/>
                <w:sz w:val="24"/>
              </w:rPr>
            </w:pPr>
            <w:r>
              <w:rPr>
                <w:rFonts w:hint="eastAsia" w:ascii="宋体" w:hAnsi="宋体" w:cs="宋体"/>
                <w:sz w:val="24"/>
              </w:rPr>
              <w:t>有效</w:t>
            </w:r>
          </w:p>
        </w:tc>
        <w:tc>
          <w:tcPr>
            <w:tcW w:w="1866" w:type="dxa"/>
            <w:vAlign w:val="center"/>
          </w:tcPr>
          <w:p w14:paraId="2D4C77BB">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7EE76DD1">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B36D646">
            <w:pPr>
              <w:spacing w:line="360" w:lineRule="auto"/>
              <w:rPr>
                <w:rFonts w:ascii="宋体" w:hAnsi="宋体" w:cs="宋体"/>
                <w:kern w:val="0"/>
                <w:sz w:val="22"/>
              </w:rPr>
            </w:pPr>
          </w:p>
        </w:tc>
      </w:tr>
      <w:tr w14:paraId="22A1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BF10884">
            <w:pPr>
              <w:spacing w:line="360" w:lineRule="auto"/>
              <w:jc w:val="center"/>
              <w:rPr>
                <w:rFonts w:ascii="宋体" w:hAnsi="宋体" w:cs="宋体"/>
                <w:kern w:val="0"/>
                <w:sz w:val="24"/>
              </w:rPr>
            </w:pPr>
          </w:p>
        </w:tc>
        <w:tc>
          <w:tcPr>
            <w:tcW w:w="2051" w:type="dxa"/>
            <w:vMerge w:val="continue"/>
            <w:vAlign w:val="center"/>
          </w:tcPr>
          <w:p w14:paraId="7A41E61D">
            <w:pPr>
              <w:spacing w:line="360" w:lineRule="auto"/>
              <w:jc w:val="center"/>
              <w:rPr>
                <w:rFonts w:ascii="宋体" w:hAnsi="宋体" w:cs="宋体"/>
                <w:kern w:val="0"/>
                <w:sz w:val="24"/>
              </w:rPr>
            </w:pPr>
          </w:p>
        </w:tc>
        <w:tc>
          <w:tcPr>
            <w:tcW w:w="2061" w:type="dxa"/>
            <w:vAlign w:val="center"/>
          </w:tcPr>
          <w:p w14:paraId="3264BEAE">
            <w:pPr>
              <w:spacing w:line="360" w:lineRule="auto"/>
              <w:jc w:val="center"/>
              <w:rPr>
                <w:rFonts w:ascii="宋体" w:hAnsi="宋体" w:cs="宋体"/>
                <w:kern w:val="0"/>
                <w:sz w:val="24"/>
              </w:rPr>
            </w:pPr>
            <w:r>
              <w:rPr>
                <w:rFonts w:hint="eastAsia" w:ascii="宋体" w:hAnsi="宋体" w:cs="宋体"/>
                <w:sz w:val="24"/>
              </w:rPr>
              <w:t>组织建设工作及时完成率</w:t>
            </w:r>
          </w:p>
        </w:tc>
        <w:tc>
          <w:tcPr>
            <w:tcW w:w="1987" w:type="dxa"/>
            <w:vAlign w:val="center"/>
          </w:tcPr>
          <w:p w14:paraId="776A5369">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3F3C5D25">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4728F869">
            <w:pPr>
              <w:spacing w:line="360" w:lineRule="auto"/>
              <w:jc w:val="center"/>
              <w:rPr>
                <w:rFonts w:ascii="宋体" w:hAnsi="宋体" w:cs="宋体"/>
                <w:kern w:val="0"/>
                <w:sz w:val="24"/>
              </w:rPr>
            </w:pPr>
            <w:r>
              <w:rPr>
                <w:rFonts w:hint="eastAsia" w:ascii="宋体" w:hAnsi="宋体" w:cs="宋体"/>
                <w:sz w:val="24"/>
              </w:rPr>
              <w:t>预算文件</w:t>
            </w:r>
          </w:p>
        </w:tc>
        <w:tc>
          <w:tcPr>
            <w:tcW w:w="1787" w:type="dxa"/>
            <w:vAlign w:val="center"/>
          </w:tcPr>
          <w:p w14:paraId="04141053">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53F824DE">
            <w:pPr>
              <w:spacing w:line="360" w:lineRule="auto"/>
              <w:rPr>
                <w:rFonts w:ascii="宋体" w:hAnsi="宋体" w:cs="宋体"/>
                <w:kern w:val="0"/>
                <w:sz w:val="22"/>
              </w:rPr>
            </w:pPr>
          </w:p>
        </w:tc>
      </w:tr>
      <w:tr w14:paraId="3D12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09D4512">
            <w:pPr>
              <w:spacing w:line="360" w:lineRule="auto"/>
              <w:jc w:val="center"/>
              <w:rPr>
                <w:rFonts w:ascii="宋体" w:hAnsi="宋体" w:cs="宋体"/>
                <w:kern w:val="0"/>
                <w:sz w:val="24"/>
              </w:rPr>
            </w:pPr>
          </w:p>
        </w:tc>
        <w:tc>
          <w:tcPr>
            <w:tcW w:w="2051" w:type="dxa"/>
            <w:vMerge w:val="continue"/>
            <w:vAlign w:val="center"/>
          </w:tcPr>
          <w:p w14:paraId="17C9C101">
            <w:pPr>
              <w:spacing w:line="360" w:lineRule="auto"/>
              <w:jc w:val="center"/>
              <w:rPr>
                <w:rFonts w:ascii="宋体" w:hAnsi="宋体" w:cs="宋体"/>
                <w:kern w:val="0"/>
                <w:sz w:val="24"/>
              </w:rPr>
            </w:pPr>
          </w:p>
        </w:tc>
        <w:tc>
          <w:tcPr>
            <w:tcW w:w="2061" w:type="dxa"/>
            <w:vAlign w:val="center"/>
          </w:tcPr>
          <w:p w14:paraId="13502477">
            <w:pPr>
              <w:spacing w:line="360" w:lineRule="auto"/>
              <w:jc w:val="center"/>
              <w:rPr>
                <w:rFonts w:ascii="宋体" w:hAnsi="宋体" w:cs="宋体"/>
                <w:kern w:val="0"/>
                <w:sz w:val="24"/>
              </w:rPr>
            </w:pPr>
            <w:r>
              <w:rPr>
                <w:rFonts w:hint="eastAsia" w:ascii="宋体" w:hAnsi="宋体" w:cs="宋体"/>
                <w:sz w:val="24"/>
              </w:rPr>
              <w:t>“三公经费”变动率</w:t>
            </w:r>
          </w:p>
        </w:tc>
        <w:tc>
          <w:tcPr>
            <w:tcW w:w="1987" w:type="dxa"/>
            <w:vAlign w:val="center"/>
          </w:tcPr>
          <w:p w14:paraId="5B346517">
            <w:pPr>
              <w:spacing w:line="360" w:lineRule="auto"/>
              <w:jc w:val="center"/>
              <w:rPr>
                <w:rFonts w:ascii="宋体" w:hAnsi="宋体" w:cs="宋体"/>
                <w:kern w:val="0"/>
                <w:sz w:val="24"/>
              </w:rPr>
            </w:pPr>
            <w:r>
              <w:rPr>
                <w:rFonts w:hint="eastAsia" w:ascii="宋体" w:hAnsi="宋体" w:cs="宋体"/>
                <w:sz w:val="24"/>
              </w:rPr>
              <w:t>&lt;=0%</w:t>
            </w:r>
          </w:p>
        </w:tc>
        <w:tc>
          <w:tcPr>
            <w:tcW w:w="1799" w:type="dxa"/>
            <w:vAlign w:val="center"/>
          </w:tcPr>
          <w:p w14:paraId="529B6288">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2F7ED033">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3C3E90A8">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57C14B0">
            <w:pPr>
              <w:spacing w:line="360" w:lineRule="auto"/>
              <w:rPr>
                <w:rFonts w:ascii="宋体" w:hAnsi="宋体" w:cs="宋体"/>
                <w:kern w:val="0"/>
                <w:sz w:val="22"/>
              </w:rPr>
            </w:pPr>
          </w:p>
        </w:tc>
      </w:tr>
      <w:tr w14:paraId="7CF6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9B7820F">
            <w:pPr>
              <w:spacing w:line="360" w:lineRule="auto"/>
              <w:jc w:val="center"/>
              <w:rPr>
                <w:rFonts w:ascii="宋体" w:hAnsi="宋体" w:cs="宋体"/>
                <w:kern w:val="0"/>
                <w:sz w:val="24"/>
              </w:rPr>
            </w:pPr>
          </w:p>
        </w:tc>
        <w:tc>
          <w:tcPr>
            <w:tcW w:w="2051" w:type="dxa"/>
            <w:vMerge w:val="continue"/>
            <w:vAlign w:val="center"/>
          </w:tcPr>
          <w:p w14:paraId="758365B4">
            <w:pPr>
              <w:spacing w:line="360" w:lineRule="auto"/>
              <w:jc w:val="center"/>
              <w:rPr>
                <w:rFonts w:ascii="宋体" w:hAnsi="宋体" w:cs="宋体"/>
                <w:kern w:val="0"/>
                <w:sz w:val="24"/>
              </w:rPr>
            </w:pPr>
          </w:p>
        </w:tc>
        <w:tc>
          <w:tcPr>
            <w:tcW w:w="2061" w:type="dxa"/>
            <w:vAlign w:val="center"/>
          </w:tcPr>
          <w:p w14:paraId="5E263DF2">
            <w:pPr>
              <w:spacing w:line="360" w:lineRule="auto"/>
              <w:jc w:val="center"/>
              <w:rPr>
                <w:rFonts w:ascii="宋体" w:hAnsi="宋体" w:cs="宋体"/>
                <w:kern w:val="0"/>
                <w:sz w:val="24"/>
              </w:rPr>
            </w:pPr>
            <w:r>
              <w:rPr>
                <w:rFonts w:hint="eastAsia" w:ascii="宋体" w:hAnsi="宋体" w:cs="宋体"/>
                <w:sz w:val="24"/>
              </w:rPr>
              <w:t>预算偏差率</w:t>
            </w:r>
          </w:p>
        </w:tc>
        <w:tc>
          <w:tcPr>
            <w:tcW w:w="1987" w:type="dxa"/>
            <w:vAlign w:val="center"/>
          </w:tcPr>
          <w:p w14:paraId="56AF8AF6">
            <w:pPr>
              <w:spacing w:line="360" w:lineRule="auto"/>
              <w:jc w:val="center"/>
              <w:rPr>
                <w:rFonts w:ascii="宋体" w:hAnsi="宋体" w:cs="宋体"/>
                <w:kern w:val="0"/>
                <w:sz w:val="24"/>
              </w:rPr>
            </w:pPr>
            <w:r>
              <w:rPr>
                <w:rFonts w:hint="eastAsia" w:ascii="宋体" w:hAnsi="宋体" w:cs="宋体"/>
                <w:sz w:val="24"/>
              </w:rPr>
              <w:t>&lt;=10%</w:t>
            </w:r>
          </w:p>
        </w:tc>
        <w:tc>
          <w:tcPr>
            <w:tcW w:w="1799" w:type="dxa"/>
            <w:vAlign w:val="center"/>
          </w:tcPr>
          <w:p w14:paraId="104B174A">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08380B13">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3BD6F42A">
            <w:pPr>
              <w:spacing w:line="360" w:lineRule="auto"/>
              <w:jc w:val="center"/>
              <w:rPr>
                <w:rFonts w:ascii="宋体" w:hAnsi="宋体" w:cs="宋体"/>
                <w:kern w:val="0"/>
                <w:sz w:val="24"/>
              </w:rPr>
            </w:pPr>
            <w:r>
              <w:rPr>
                <w:rFonts w:hint="eastAsia" w:ascii="宋体" w:hAnsi="宋体" w:cs="宋体"/>
                <w:sz w:val="24"/>
              </w:rPr>
              <w:t>-100.00%</w:t>
            </w:r>
          </w:p>
        </w:tc>
        <w:tc>
          <w:tcPr>
            <w:tcW w:w="1071" w:type="dxa"/>
          </w:tcPr>
          <w:p w14:paraId="0D5295C4">
            <w:pPr>
              <w:spacing w:line="360" w:lineRule="auto"/>
              <w:rPr>
                <w:rFonts w:ascii="宋体" w:hAnsi="宋体" w:cs="宋体"/>
                <w:kern w:val="0"/>
                <w:sz w:val="22"/>
              </w:rPr>
            </w:pPr>
            <w:r>
              <w:rPr>
                <w:rFonts w:hint="eastAsia" w:ascii="宋体" w:hAnsi="宋体" w:cs="宋体"/>
                <w:sz w:val="24"/>
              </w:rPr>
              <w:t>此项指标已达目标值。</w:t>
            </w:r>
          </w:p>
        </w:tc>
      </w:tr>
      <w:tr w14:paraId="6162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B5D8733">
            <w:pPr>
              <w:spacing w:line="360" w:lineRule="auto"/>
              <w:jc w:val="center"/>
              <w:rPr>
                <w:rFonts w:ascii="宋体" w:hAnsi="宋体" w:cs="宋体"/>
                <w:kern w:val="0"/>
                <w:sz w:val="24"/>
              </w:rPr>
            </w:pPr>
          </w:p>
        </w:tc>
        <w:tc>
          <w:tcPr>
            <w:tcW w:w="2051" w:type="dxa"/>
            <w:vMerge w:val="continue"/>
            <w:vAlign w:val="center"/>
          </w:tcPr>
          <w:p w14:paraId="7288829B">
            <w:pPr>
              <w:spacing w:line="360" w:lineRule="auto"/>
              <w:jc w:val="center"/>
              <w:rPr>
                <w:rFonts w:ascii="宋体" w:hAnsi="宋体" w:cs="宋体"/>
                <w:kern w:val="0"/>
                <w:sz w:val="24"/>
              </w:rPr>
            </w:pPr>
          </w:p>
        </w:tc>
        <w:tc>
          <w:tcPr>
            <w:tcW w:w="2061" w:type="dxa"/>
            <w:vAlign w:val="center"/>
          </w:tcPr>
          <w:p w14:paraId="32686DBC">
            <w:pPr>
              <w:spacing w:line="360" w:lineRule="auto"/>
              <w:jc w:val="center"/>
              <w:rPr>
                <w:rFonts w:ascii="宋体" w:hAnsi="宋体" w:cs="宋体"/>
                <w:kern w:val="0"/>
                <w:sz w:val="24"/>
              </w:rPr>
            </w:pPr>
            <w:r>
              <w:rPr>
                <w:rFonts w:hint="eastAsia" w:ascii="宋体" w:hAnsi="宋体" w:cs="宋体"/>
                <w:sz w:val="24"/>
              </w:rPr>
              <w:t>支付进度符合率</w:t>
            </w:r>
          </w:p>
        </w:tc>
        <w:tc>
          <w:tcPr>
            <w:tcW w:w="1987" w:type="dxa"/>
            <w:vAlign w:val="center"/>
          </w:tcPr>
          <w:p w14:paraId="7821783C">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6F5F014">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E531206">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685397E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0D2EFDE">
            <w:pPr>
              <w:spacing w:line="360" w:lineRule="auto"/>
              <w:rPr>
                <w:rFonts w:ascii="宋体" w:hAnsi="宋体" w:cs="宋体"/>
                <w:kern w:val="0"/>
                <w:sz w:val="22"/>
              </w:rPr>
            </w:pPr>
          </w:p>
        </w:tc>
      </w:tr>
      <w:tr w14:paraId="5649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A750192">
            <w:pPr>
              <w:spacing w:line="360" w:lineRule="auto"/>
              <w:jc w:val="center"/>
              <w:rPr>
                <w:rFonts w:ascii="宋体" w:hAnsi="宋体" w:cs="宋体"/>
                <w:kern w:val="0"/>
                <w:sz w:val="24"/>
              </w:rPr>
            </w:pPr>
          </w:p>
        </w:tc>
        <w:tc>
          <w:tcPr>
            <w:tcW w:w="2051" w:type="dxa"/>
            <w:vMerge w:val="continue"/>
            <w:vAlign w:val="center"/>
          </w:tcPr>
          <w:p w14:paraId="53724515">
            <w:pPr>
              <w:spacing w:line="360" w:lineRule="auto"/>
              <w:jc w:val="center"/>
              <w:rPr>
                <w:rFonts w:ascii="宋体" w:hAnsi="宋体" w:cs="宋体"/>
                <w:kern w:val="0"/>
                <w:sz w:val="24"/>
              </w:rPr>
            </w:pPr>
          </w:p>
        </w:tc>
        <w:tc>
          <w:tcPr>
            <w:tcW w:w="2061" w:type="dxa"/>
            <w:vAlign w:val="center"/>
          </w:tcPr>
          <w:p w14:paraId="4E0018F3">
            <w:pPr>
              <w:spacing w:line="360" w:lineRule="auto"/>
              <w:jc w:val="center"/>
              <w:rPr>
                <w:rFonts w:ascii="宋体" w:hAnsi="宋体" w:cs="宋体"/>
                <w:kern w:val="0"/>
                <w:sz w:val="24"/>
              </w:rPr>
            </w:pPr>
            <w:r>
              <w:rPr>
                <w:rFonts w:hint="eastAsia" w:ascii="宋体" w:hAnsi="宋体" w:cs="宋体"/>
                <w:sz w:val="24"/>
              </w:rPr>
              <w:t>公用经费控制率</w:t>
            </w:r>
          </w:p>
        </w:tc>
        <w:tc>
          <w:tcPr>
            <w:tcW w:w="1987" w:type="dxa"/>
            <w:vAlign w:val="center"/>
          </w:tcPr>
          <w:p w14:paraId="34C93058">
            <w:pPr>
              <w:spacing w:line="360" w:lineRule="auto"/>
              <w:jc w:val="center"/>
              <w:rPr>
                <w:rFonts w:ascii="宋体" w:hAnsi="宋体" w:cs="宋体"/>
                <w:kern w:val="0"/>
                <w:sz w:val="24"/>
              </w:rPr>
            </w:pPr>
            <w:r>
              <w:rPr>
                <w:rFonts w:hint="eastAsia" w:ascii="宋体" w:hAnsi="宋体" w:cs="宋体"/>
                <w:sz w:val="24"/>
              </w:rPr>
              <w:t>&lt;=100%</w:t>
            </w:r>
          </w:p>
        </w:tc>
        <w:tc>
          <w:tcPr>
            <w:tcW w:w="1799" w:type="dxa"/>
            <w:vAlign w:val="center"/>
          </w:tcPr>
          <w:p w14:paraId="575F4457">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375B1269">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CCD0B1C">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4C9A3FF7">
            <w:pPr>
              <w:spacing w:line="360" w:lineRule="auto"/>
              <w:rPr>
                <w:rFonts w:ascii="宋体" w:hAnsi="宋体" w:cs="宋体"/>
                <w:kern w:val="0"/>
                <w:sz w:val="22"/>
              </w:rPr>
            </w:pPr>
          </w:p>
        </w:tc>
      </w:tr>
      <w:tr w14:paraId="471B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91E2473">
            <w:pPr>
              <w:spacing w:line="360" w:lineRule="auto"/>
              <w:jc w:val="center"/>
              <w:rPr>
                <w:rFonts w:ascii="宋体" w:hAnsi="宋体" w:cs="宋体"/>
                <w:kern w:val="0"/>
                <w:sz w:val="24"/>
              </w:rPr>
            </w:pPr>
          </w:p>
        </w:tc>
        <w:tc>
          <w:tcPr>
            <w:tcW w:w="2051" w:type="dxa"/>
            <w:vMerge w:val="continue"/>
            <w:vAlign w:val="center"/>
          </w:tcPr>
          <w:p w14:paraId="6C03A12E">
            <w:pPr>
              <w:spacing w:line="360" w:lineRule="auto"/>
              <w:jc w:val="center"/>
              <w:rPr>
                <w:rFonts w:ascii="宋体" w:hAnsi="宋体" w:cs="宋体"/>
                <w:kern w:val="0"/>
                <w:sz w:val="24"/>
              </w:rPr>
            </w:pPr>
          </w:p>
        </w:tc>
        <w:tc>
          <w:tcPr>
            <w:tcW w:w="2061" w:type="dxa"/>
            <w:vAlign w:val="center"/>
          </w:tcPr>
          <w:p w14:paraId="1BFDA14A">
            <w:pPr>
              <w:spacing w:line="360" w:lineRule="auto"/>
              <w:jc w:val="center"/>
              <w:rPr>
                <w:rFonts w:ascii="宋体" w:hAnsi="宋体" w:cs="宋体"/>
                <w:kern w:val="0"/>
                <w:sz w:val="24"/>
              </w:rPr>
            </w:pPr>
            <w:r>
              <w:rPr>
                <w:rFonts w:hint="eastAsia" w:ascii="宋体" w:hAnsi="宋体" w:cs="宋体"/>
                <w:sz w:val="24"/>
              </w:rPr>
              <w:t>非税收入预算完成率</w:t>
            </w:r>
          </w:p>
        </w:tc>
        <w:tc>
          <w:tcPr>
            <w:tcW w:w="1987" w:type="dxa"/>
            <w:vAlign w:val="center"/>
          </w:tcPr>
          <w:p w14:paraId="62D35525">
            <w:pPr>
              <w:spacing w:line="360" w:lineRule="auto"/>
              <w:jc w:val="center"/>
              <w:rPr>
                <w:rFonts w:ascii="宋体" w:hAnsi="宋体" w:cs="宋体"/>
                <w:kern w:val="0"/>
                <w:sz w:val="24"/>
              </w:rPr>
            </w:pPr>
            <w:r>
              <w:rPr>
                <w:rFonts w:hint="eastAsia" w:ascii="宋体" w:hAnsi="宋体" w:cs="宋体"/>
                <w:sz w:val="24"/>
              </w:rPr>
              <w:t>&gt;=100</w:t>
            </w:r>
          </w:p>
        </w:tc>
        <w:tc>
          <w:tcPr>
            <w:tcW w:w="1799" w:type="dxa"/>
            <w:vAlign w:val="center"/>
          </w:tcPr>
          <w:p w14:paraId="2AADF96A">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0B08CE05">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84D9B84">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0FC23AA5">
            <w:pPr>
              <w:spacing w:line="360" w:lineRule="auto"/>
              <w:rPr>
                <w:rFonts w:ascii="宋体" w:hAnsi="宋体" w:cs="宋体"/>
                <w:kern w:val="0"/>
                <w:sz w:val="22"/>
              </w:rPr>
            </w:pPr>
          </w:p>
        </w:tc>
      </w:tr>
      <w:tr w14:paraId="5241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BB1E12C">
            <w:pPr>
              <w:spacing w:line="360" w:lineRule="auto"/>
              <w:jc w:val="center"/>
              <w:rPr>
                <w:rFonts w:ascii="宋体" w:hAnsi="宋体" w:cs="宋体"/>
                <w:kern w:val="0"/>
                <w:sz w:val="24"/>
              </w:rPr>
            </w:pPr>
          </w:p>
        </w:tc>
        <w:tc>
          <w:tcPr>
            <w:tcW w:w="2051" w:type="dxa"/>
            <w:vMerge w:val="continue"/>
            <w:vAlign w:val="center"/>
          </w:tcPr>
          <w:p w14:paraId="4D5D54C4">
            <w:pPr>
              <w:spacing w:line="360" w:lineRule="auto"/>
              <w:jc w:val="center"/>
              <w:rPr>
                <w:rFonts w:ascii="宋体" w:hAnsi="宋体" w:cs="宋体"/>
                <w:kern w:val="0"/>
                <w:sz w:val="24"/>
              </w:rPr>
            </w:pPr>
          </w:p>
        </w:tc>
        <w:tc>
          <w:tcPr>
            <w:tcW w:w="2061" w:type="dxa"/>
            <w:vAlign w:val="center"/>
          </w:tcPr>
          <w:p w14:paraId="0B3E5EF1">
            <w:pPr>
              <w:spacing w:line="360" w:lineRule="auto"/>
              <w:jc w:val="center"/>
              <w:rPr>
                <w:rFonts w:ascii="宋体" w:hAnsi="宋体" w:cs="宋体"/>
                <w:kern w:val="0"/>
                <w:sz w:val="24"/>
              </w:rPr>
            </w:pPr>
            <w:r>
              <w:rPr>
                <w:rFonts w:hint="eastAsia" w:ascii="宋体" w:hAnsi="宋体" w:cs="宋体"/>
                <w:sz w:val="24"/>
              </w:rPr>
              <w:t>结转结余率</w:t>
            </w:r>
          </w:p>
        </w:tc>
        <w:tc>
          <w:tcPr>
            <w:tcW w:w="1987" w:type="dxa"/>
            <w:vAlign w:val="center"/>
          </w:tcPr>
          <w:p w14:paraId="5CE0B489">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65C1E3CD">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05569D3C">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60208684">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064842A6">
            <w:pPr>
              <w:spacing w:line="360" w:lineRule="auto"/>
              <w:rPr>
                <w:rFonts w:ascii="宋体" w:hAnsi="宋体" w:cs="宋体"/>
                <w:kern w:val="0"/>
                <w:sz w:val="22"/>
              </w:rPr>
            </w:pPr>
          </w:p>
        </w:tc>
      </w:tr>
      <w:tr w14:paraId="324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A7FF062">
            <w:pPr>
              <w:spacing w:line="360" w:lineRule="auto"/>
              <w:jc w:val="center"/>
              <w:rPr>
                <w:rFonts w:ascii="宋体" w:hAnsi="宋体" w:cs="宋体"/>
                <w:kern w:val="0"/>
                <w:sz w:val="24"/>
              </w:rPr>
            </w:pPr>
          </w:p>
        </w:tc>
        <w:tc>
          <w:tcPr>
            <w:tcW w:w="2051" w:type="dxa"/>
            <w:vMerge w:val="continue"/>
            <w:vAlign w:val="center"/>
          </w:tcPr>
          <w:p w14:paraId="51FF5B8F">
            <w:pPr>
              <w:spacing w:line="360" w:lineRule="auto"/>
              <w:jc w:val="center"/>
              <w:rPr>
                <w:rFonts w:ascii="宋体" w:hAnsi="宋体" w:cs="宋体"/>
                <w:kern w:val="0"/>
                <w:sz w:val="24"/>
              </w:rPr>
            </w:pPr>
          </w:p>
        </w:tc>
        <w:tc>
          <w:tcPr>
            <w:tcW w:w="2061" w:type="dxa"/>
            <w:vAlign w:val="center"/>
          </w:tcPr>
          <w:p w14:paraId="43887883">
            <w:pPr>
              <w:spacing w:line="360" w:lineRule="auto"/>
              <w:jc w:val="center"/>
              <w:rPr>
                <w:rFonts w:ascii="宋体" w:hAnsi="宋体" w:cs="宋体"/>
                <w:kern w:val="0"/>
                <w:sz w:val="24"/>
              </w:rPr>
            </w:pPr>
            <w:r>
              <w:rPr>
                <w:rFonts w:hint="eastAsia" w:ascii="宋体" w:hAnsi="宋体" w:cs="宋体"/>
                <w:sz w:val="24"/>
              </w:rPr>
              <w:t>政府采购执行率</w:t>
            </w:r>
          </w:p>
        </w:tc>
        <w:tc>
          <w:tcPr>
            <w:tcW w:w="1987" w:type="dxa"/>
            <w:vAlign w:val="center"/>
          </w:tcPr>
          <w:p w14:paraId="1383CE8A">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359ADF35">
            <w:pPr>
              <w:spacing w:line="360" w:lineRule="auto"/>
              <w:jc w:val="center"/>
              <w:rPr>
                <w:rFonts w:ascii="宋体" w:hAnsi="宋体" w:cs="宋体"/>
                <w:kern w:val="0"/>
                <w:sz w:val="24"/>
              </w:rPr>
            </w:pPr>
            <w:r>
              <w:rPr>
                <w:rFonts w:hint="eastAsia" w:ascii="宋体" w:hAnsi="宋体" w:cs="宋体"/>
                <w:sz w:val="24"/>
              </w:rPr>
              <w:t>100%</w:t>
            </w:r>
          </w:p>
        </w:tc>
        <w:tc>
          <w:tcPr>
            <w:tcW w:w="1866" w:type="dxa"/>
            <w:vAlign w:val="center"/>
          </w:tcPr>
          <w:p w14:paraId="71622A84">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7A7AF4CA">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7AD0B29">
            <w:pPr>
              <w:spacing w:line="360" w:lineRule="auto"/>
              <w:rPr>
                <w:rFonts w:ascii="宋体" w:hAnsi="宋体" w:cs="宋体"/>
                <w:kern w:val="0"/>
                <w:sz w:val="22"/>
              </w:rPr>
            </w:pPr>
          </w:p>
        </w:tc>
      </w:tr>
      <w:tr w14:paraId="376D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3089C5C">
            <w:pPr>
              <w:spacing w:line="360" w:lineRule="auto"/>
              <w:jc w:val="center"/>
              <w:rPr>
                <w:rFonts w:ascii="宋体" w:hAnsi="宋体" w:cs="宋体"/>
                <w:kern w:val="0"/>
                <w:sz w:val="24"/>
              </w:rPr>
            </w:pPr>
          </w:p>
        </w:tc>
        <w:tc>
          <w:tcPr>
            <w:tcW w:w="2051" w:type="dxa"/>
            <w:vMerge w:val="continue"/>
            <w:vAlign w:val="center"/>
          </w:tcPr>
          <w:p w14:paraId="07C98C39">
            <w:pPr>
              <w:spacing w:line="360" w:lineRule="auto"/>
              <w:jc w:val="center"/>
              <w:rPr>
                <w:rFonts w:ascii="宋体" w:hAnsi="宋体" w:cs="宋体"/>
                <w:kern w:val="0"/>
                <w:sz w:val="24"/>
              </w:rPr>
            </w:pPr>
          </w:p>
        </w:tc>
        <w:tc>
          <w:tcPr>
            <w:tcW w:w="2061" w:type="dxa"/>
            <w:vAlign w:val="center"/>
          </w:tcPr>
          <w:p w14:paraId="5C57B257">
            <w:pPr>
              <w:spacing w:line="360" w:lineRule="auto"/>
              <w:jc w:val="center"/>
              <w:rPr>
                <w:rFonts w:ascii="宋体" w:hAnsi="宋体" w:cs="宋体"/>
                <w:kern w:val="0"/>
                <w:sz w:val="24"/>
              </w:rPr>
            </w:pPr>
            <w:r>
              <w:rPr>
                <w:rFonts w:hint="eastAsia" w:ascii="宋体" w:hAnsi="宋体" w:cs="宋体"/>
                <w:sz w:val="24"/>
              </w:rPr>
              <w:t>预算执行率</w:t>
            </w:r>
          </w:p>
        </w:tc>
        <w:tc>
          <w:tcPr>
            <w:tcW w:w="1987" w:type="dxa"/>
            <w:vAlign w:val="center"/>
          </w:tcPr>
          <w:p w14:paraId="3864DE49">
            <w:pPr>
              <w:spacing w:line="360" w:lineRule="auto"/>
              <w:jc w:val="center"/>
              <w:rPr>
                <w:rFonts w:ascii="宋体" w:hAnsi="宋体" w:cs="宋体"/>
                <w:kern w:val="0"/>
                <w:sz w:val="24"/>
              </w:rPr>
            </w:pPr>
            <w:r>
              <w:rPr>
                <w:rFonts w:hint="eastAsia" w:ascii="宋体" w:hAnsi="宋体" w:cs="宋体"/>
                <w:sz w:val="24"/>
              </w:rPr>
              <w:t>=100%</w:t>
            </w:r>
          </w:p>
        </w:tc>
        <w:tc>
          <w:tcPr>
            <w:tcW w:w="1799" w:type="dxa"/>
            <w:vAlign w:val="center"/>
          </w:tcPr>
          <w:p w14:paraId="74454826">
            <w:pPr>
              <w:spacing w:line="360" w:lineRule="auto"/>
              <w:jc w:val="center"/>
              <w:rPr>
                <w:rFonts w:ascii="宋体" w:hAnsi="宋体" w:cs="宋体"/>
                <w:kern w:val="0"/>
                <w:sz w:val="24"/>
              </w:rPr>
            </w:pPr>
            <w:r>
              <w:rPr>
                <w:rFonts w:hint="eastAsia" w:ascii="宋体" w:hAnsi="宋体" w:cs="宋体"/>
                <w:sz w:val="24"/>
              </w:rPr>
              <w:t>99.27%</w:t>
            </w:r>
          </w:p>
        </w:tc>
        <w:tc>
          <w:tcPr>
            <w:tcW w:w="1866" w:type="dxa"/>
            <w:vAlign w:val="center"/>
          </w:tcPr>
          <w:p w14:paraId="1E5242AB">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1C67B31F">
            <w:pPr>
              <w:spacing w:line="360" w:lineRule="auto"/>
              <w:jc w:val="center"/>
              <w:rPr>
                <w:rFonts w:ascii="宋体" w:hAnsi="宋体" w:cs="宋体"/>
                <w:kern w:val="0"/>
                <w:sz w:val="24"/>
              </w:rPr>
            </w:pPr>
            <w:r>
              <w:rPr>
                <w:rFonts w:hint="eastAsia" w:ascii="宋体" w:hAnsi="宋体" w:cs="宋体"/>
                <w:sz w:val="24"/>
              </w:rPr>
              <w:t>-0.73%</w:t>
            </w:r>
          </w:p>
        </w:tc>
        <w:tc>
          <w:tcPr>
            <w:tcW w:w="1071" w:type="dxa"/>
          </w:tcPr>
          <w:p w14:paraId="73F04BCB">
            <w:pPr>
              <w:spacing w:line="360" w:lineRule="auto"/>
              <w:rPr>
                <w:rFonts w:ascii="宋体" w:hAnsi="宋体" w:cs="宋体"/>
                <w:kern w:val="0"/>
                <w:sz w:val="22"/>
              </w:rPr>
            </w:pPr>
            <w:r>
              <w:rPr>
                <w:rFonts w:hint="eastAsia" w:ascii="宋体" w:hAnsi="宋体" w:cs="宋体"/>
                <w:sz w:val="24"/>
              </w:rPr>
              <w:t>此项指标已达目标值。</w:t>
            </w:r>
          </w:p>
        </w:tc>
      </w:tr>
      <w:tr w14:paraId="6E95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5611F85">
            <w:pPr>
              <w:spacing w:line="360" w:lineRule="auto"/>
              <w:jc w:val="center"/>
              <w:rPr>
                <w:rFonts w:ascii="宋体" w:hAnsi="宋体" w:cs="宋体"/>
                <w:kern w:val="0"/>
                <w:sz w:val="24"/>
              </w:rPr>
            </w:pPr>
          </w:p>
        </w:tc>
        <w:tc>
          <w:tcPr>
            <w:tcW w:w="2051" w:type="dxa"/>
            <w:vMerge w:val="continue"/>
            <w:vAlign w:val="center"/>
          </w:tcPr>
          <w:p w14:paraId="53AB0CF2">
            <w:pPr>
              <w:spacing w:line="360" w:lineRule="auto"/>
              <w:jc w:val="center"/>
              <w:rPr>
                <w:rFonts w:ascii="宋体" w:hAnsi="宋体" w:cs="宋体"/>
                <w:kern w:val="0"/>
                <w:sz w:val="24"/>
              </w:rPr>
            </w:pPr>
          </w:p>
        </w:tc>
        <w:tc>
          <w:tcPr>
            <w:tcW w:w="2061" w:type="dxa"/>
            <w:vAlign w:val="center"/>
          </w:tcPr>
          <w:p w14:paraId="66155488">
            <w:pPr>
              <w:spacing w:line="360" w:lineRule="auto"/>
              <w:jc w:val="center"/>
              <w:rPr>
                <w:rFonts w:ascii="宋体" w:hAnsi="宋体" w:cs="宋体"/>
                <w:kern w:val="0"/>
                <w:sz w:val="24"/>
              </w:rPr>
            </w:pPr>
            <w:r>
              <w:rPr>
                <w:rFonts w:hint="eastAsia" w:ascii="宋体" w:hAnsi="宋体" w:cs="宋体"/>
                <w:sz w:val="24"/>
              </w:rPr>
              <w:t>预算调整率</w:t>
            </w:r>
          </w:p>
        </w:tc>
        <w:tc>
          <w:tcPr>
            <w:tcW w:w="1987" w:type="dxa"/>
            <w:vAlign w:val="center"/>
          </w:tcPr>
          <w:p w14:paraId="02966FBD">
            <w:pPr>
              <w:spacing w:line="360" w:lineRule="auto"/>
              <w:jc w:val="center"/>
              <w:rPr>
                <w:rFonts w:ascii="宋体" w:hAnsi="宋体" w:cs="宋体"/>
                <w:kern w:val="0"/>
                <w:sz w:val="24"/>
              </w:rPr>
            </w:pPr>
            <w:r>
              <w:rPr>
                <w:rFonts w:hint="eastAsia" w:ascii="宋体" w:hAnsi="宋体" w:cs="宋体"/>
                <w:sz w:val="24"/>
              </w:rPr>
              <w:t>=0%</w:t>
            </w:r>
          </w:p>
        </w:tc>
        <w:tc>
          <w:tcPr>
            <w:tcW w:w="1799" w:type="dxa"/>
            <w:vAlign w:val="center"/>
          </w:tcPr>
          <w:p w14:paraId="0B02B076">
            <w:pPr>
              <w:spacing w:line="360" w:lineRule="auto"/>
              <w:jc w:val="center"/>
              <w:rPr>
                <w:rFonts w:ascii="宋体" w:hAnsi="宋体" w:cs="宋体"/>
                <w:kern w:val="0"/>
                <w:sz w:val="24"/>
              </w:rPr>
            </w:pPr>
            <w:r>
              <w:rPr>
                <w:rFonts w:hint="eastAsia" w:ascii="宋体" w:hAnsi="宋体" w:cs="宋体"/>
                <w:sz w:val="24"/>
              </w:rPr>
              <w:t>0%</w:t>
            </w:r>
          </w:p>
        </w:tc>
        <w:tc>
          <w:tcPr>
            <w:tcW w:w="1866" w:type="dxa"/>
            <w:vAlign w:val="center"/>
          </w:tcPr>
          <w:p w14:paraId="2A3CB713">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77E1265">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5897F7E">
            <w:pPr>
              <w:spacing w:line="360" w:lineRule="auto"/>
              <w:rPr>
                <w:rFonts w:ascii="宋体" w:hAnsi="宋体" w:cs="宋体"/>
                <w:kern w:val="0"/>
                <w:sz w:val="22"/>
              </w:rPr>
            </w:pPr>
          </w:p>
        </w:tc>
      </w:tr>
      <w:tr w14:paraId="3826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1004DF0">
            <w:pPr>
              <w:spacing w:line="360" w:lineRule="auto"/>
              <w:jc w:val="center"/>
              <w:rPr>
                <w:rFonts w:ascii="宋体" w:hAnsi="宋体" w:cs="宋体"/>
                <w:kern w:val="0"/>
                <w:sz w:val="24"/>
              </w:rPr>
            </w:pPr>
          </w:p>
        </w:tc>
        <w:tc>
          <w:tcPr>
            <w:tcW w:w="2051" w:type="dxa"/>
            <w:vMerge w:val="restart"/>
            <w:vAlign w:val="center"/>
          </w:tcPr>
          <w:p w14:paraId="4CF197E0">
            <w:pPr>
              <w:spacing w:line="360" w:lineRule="auto"/>
              <w:jc w:val="center"/>
              <w:rPr>
                <w:rFonts w:ascii="宋体" w:hAnsi="宋体" w:cs="宋体"/>
                <w:kern w:val="0"/>
                <w:sz w:val="24"/>
              </w:rPr>
            </w:pPr>
            <w:r>
              <w:rPr>
                <w:rFonts w:hint="eastAsia" w:ascii="宋体" w:hAnsi="宋体" w:cs="宋体"/>
                <w:sz w:val="24"/>
              </w:rPr>
              <w:t>效益</w:t>
            </w:r>
          </w:p>
        </w:tc>
        <w:tc>
          <w:tcPr>
            <w:tcW w:w="2061" w:type="dxa"/>
            <w:vAlign w:val="center"/>
          </w:tcPr>
          <w:p w14:paraId="0A1C31A5">
            <w:pPr>
              <w:spacing w:line="360" w:lineRule="auto"/>
              <w:jc w:val="center"/>
              <w:rPr>
                <w:rFonts w:ascii="宋体" w:hAnsi="宋体" w:cs="宋体"/>
                <w:kern w:val="0"/>
                <w:sz w:val="24"/>
              </w:rPr>
            </w:pPr>
            <w:r>
              <w:rPr>
                <w:rFonts w:hint="eastAsia" w:ascii="宋体" w:hAnsi="宋体" w:cs="宋体"/>
                <w:sz w:val="24"/>
              </w:rPr>
              <w:t>公积金政策职工感受度</w:t>
            </w:r>
          </w:p>
        </w:tc>
        <w:tc>
          <w:tcPr>
            <w:tcW w:w="1987" w:type="dxa"/>
            <w:vAlign w:val="center"/>
          </w:tcPr>
          <w:p w14:paraId="521EDD32">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138337F3">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45848D18">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65A7B2C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60E248FA">
            <w:pPr>
              <w:spacing w:line="360" w:lineRule="auto"/>
              <w:rPr>
                <w:rFonts w:ascii="宋体" w:hAnsi="宋体" w:cs="宋体"/>
                <w:kern w:val="0"/>
                <w:sz w:val="22"/>
              </w:rPr>
            </w:pPr>
          </w:p>
        </w:tc>
      </w:tr>
      <w:tr w14:paraId="5DCE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3415E82">
            <w:pPr>
              <w:spacing w:line="360" w:lineRule="auto"/>
              <w:jc w:val="center"/>
              <w:rPr>
                <w:rFonts w:ascii="宋体" w:hAnsi="宋体" w:cs="宋体"/>
                <w:kern w:val="0"/>
                <w:sz w:val="24"/>
              </w:rPr>
            </w:pPr>
          </w:p>
        </w:tc>
        <w:tc>
          <w:tcPr>
            <w:tcW w:w="2051" w:type="dxa"/>
            <w:vMerge w:val="continue"/>
            <w:vAlign w:val="center"/>
          </w:tcPr>
          <w:p w14:paraId="7E8F949C">
            <w:pPr>
              <w:spacing w:line="360" w:lineRule="auto"/>
              <w:jc w:val="center"/>
              <w:rPr>
                <w:rFonts w:ascii="宋体" w:hAnsi="宋体" w:cs="宋体"/>
                <w:kern w:val="0"/>
                <w:sz w:val="24"/>
              </w:rPr>
            </w:pPr>
          </w:p>
        </w:tc>
        <w:tc>
          <w:tcPr>
            <w:tcW w:w="2061" w:type="dxa"/>
            <w:vAlign w:val="center"/>
          </w:tcPr>
          <w:p w14:paraId="600D4FBF">
            <w:pPr>
              <w:spacing w:line="360" w:lineRule="auto"/>
              <w:jc w:val="center"/>
              <w:rPr>
                <w:rFonts w:ascii="宋体" w:hAnsi="宋体" w:cs="宋体"/>
                <w:kern w:val="0"/>
                <w:sz w:val="24"/>
              </w:rPr>
            </w:pPr>
            <w:r>
              <w:rPr>
                <w:rFonts w:hint="eastAsia" w:ascii="宋体" w:hAnsi="宋体" w:cs="宋体"/>
                <w:sz w:val="24"/>
              </w:rPr>
              <w:t>落实一体化共建共享跨域协同成果</w:t>
            </w:r>
          </w:p>
        </w:tc>
        <w:tc>
          <w:tcPr>
            <w:tcW w:w="1987" w:type="dxa"/>
            <w:vAlign w:val="center"/>
          </w:tcPr>
          <w:p w14:paraId="0253D09B">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76FC2E36">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1734BBF0">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04C7360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2C603413">
            <w:pPr>
              <w:spacing w:line="360" w:lineRule="auto"/>
              <w:rPr>
                <w:rFonts w:ascii="宋体" w:hAnsi="宋体" w:cs="宋体"/>
                <w:kern w:val="0"/>
                <w:sz w:val="22"/>
              </w:rPr>
            </w:pPr>
          </w:p>
        </w:tc>
      </w:tr>
      <w:tr w14:paraId="3EC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28B8896">
            <w:pPr>
              <w:spacing w:line="360" w:lineRule="auto"/>
              <w:jc w:val="center"/>
              <w:rPr>
                <w:rFonts w:ascii="宋体" w:hAnsi="宋体" w:cs="宋体"/>
                <w:kern w:val="0"/>
                <w:sz w:val="24"/>
              </w:rPr>
            </w:pPr>
          </w:p>
        </w:tc>
        <w:tc>
          <w:tcPr>
            <w:tcW w:w="2051" w:type="dxa"/>
            <w:vMerge w:val="continue"/>
            <w:vAlign w:val="center"/>
          </w:tcPr>
          <w:p w14:paraId="2D10D547">
            <w:pPr>
              <w:spacing w:line="360" w:lineRule="auto"/>
              <w:jc w:val="center"/>
              <w:rPr>
                <w:rFonts w:ascii="宋体" w:hAnsi="宋体" w:cs="宋体"/>
                <w:kern w:val="0"/>
                <w:sz w:val="24"/>
              </w:rPr>
            </w:pPr>
          </w:p>
        </w:tc>
        <w:tc>
          <w:tcPr>
            <w:tcW w:w="2061" w:type="dxa"/>
            <w:vAlign w:val="center"/>
          </w:tcPr>
          <w:p w14:paraId="190D59E6">
            <w:pPr>
              <w:spacing w:line="360" w:lineRule="auto"/>
              <w:jc w:val="center"/>
              <w:rPr>
                <w:rFonts w:ascii="宋体" w:hAnsi="宋体" w:cs="宋体"/>
                <w:kern w:val="0"/>
                <w:sz w:val="24"/>
              </w:rPr>
            </w:pPr>
            <w:r>
              <w:rPr>
                <w:rFonts w:hint="eastAsia" w:ascii="宋体" w:hAnsi="宋体" w:cs="宋体"/>
                <w:sz w:val="24"/>
              </w:rPr>
              <w:t>住房公积金政策知晓度有效提升</w:t>
            </w:r>
          </w:p>
        </w:tc>
        <w:tc>
          <w:tcPr>
            <w:tcW w:w="1987" w:type="dxa"/>
            <w:vAlign w:val="center"/>
          </w:tcPr>
          <w:p w14:paraId="1BEFD2A8">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79375483">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7CA075DC">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78CD11BB">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EB8E86A">
            <w:pPr>
              <w:spacing w:line="360" w:lineRule="auto"/>
              <w:rPr>
                <w:rFonts w:ascii="宋体" w:hAnsi="宋体" w:cs="宋体"/>
                <w:kern w:val="0"/>
                <w:sz w:val="22"/>
              </w:rPr>
            </w:pPr>
          </w:p>
        </w:tc>
      </w:tr>
      <w:tr w14:paraId="6E3F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A88FCA5">
            <w:pPr>
              <w:spacing w:line="360" w:lineRule="auto"/>
              <w:jc w:val="center"/>
              <w:rPr>
                <w:rFonts w:ascii="宋体" w:hAnsi="宋体" w:cs="宋体"/>
                <w:kern w:val="0"/>
                <w:sz w:val="24"/>
              </w:rPr>
            </w:pPr>
          </w:p>
        </w:tc>
        <w:tc>
          <w:tcPr>
            <w:tcW w:w="2051" w:type="dxa"/>
            <w:vMerge w:val="continue"/>
            <w:vAlign w:val="center"/>
          </w:tcPr>
          <w:p w14:paraId="0F6D3F73">
            <w:pPr>
              <w:spacing w:line="360" w:lineRule="auto"/>
              <w:jc w:val="center"/>
              <w:rPr>
                <w:rFonts w:ascii="宋体" w:hAnsi="宋体" w:cs="宋体"/>
                <w:kern w:val="0"/>
                <w:sz w:val="24"/>
              </w:rPr>
            </w:pPr>
          </w:p>
        </w:tc>
        <w:tc>
          <w:tcPr>
            <w:tcW w:w="2061" w:type="dxa"/>
            <w:vAlign w:val="center"/>
          </w:tcPr>
          <w:p w14:paraId="22CD9F38">
            <w:pPr>
              <w:spacing w:line="360" w:lineRule="auto"/>
              <w:jc w:val="center"/>
              <w:rPr>
                <w:rFonts w:ascii="宋体" w:hAnsi="宋体" w:cs="宋体"/>
                <w:kern w:val="0"/>
                <w:sz w:val="24"/>
              </w:rPr>
            </w:pPr>
            <w:r>
              <w:rPr>
                <w:rFonts w:hint="eastAsia" w:ascii="宋体" w:hAnsi="宋体" w:cs="宋体"/>
                <w:sz w:val="24"/>
              </w:rPr>
              <w:t>进一步优化营商环境</w:t>
            </w:r>
          </w:p>
        </w:tc>
        <w:tc>
          <w:tcPr>
            <w:tcW w:w="1987" w:type="dxa"/>
            <w:vAlign w:val="center"/>
          </w:tcPr>
          <w:p w14:paraId="483796FC">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08BD6DEB">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1849F993">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04861BDA">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04399E0">
            <w:pPr>
              <w:spacing w:line="360" w:lineRule="auto"/>
              <w:rPr>
                <w:rFonts w:ascii="宋体" w:hAnsi="宋体" w:cs="宋体"/>
                <w:kern w:val="0"/>
                <w:sz w:val="22"/>
              </w:rPr>
            </w:pPr>
          </w:p>
        </w:tc>
      </w:tr>
      <w:tr w14:paraId="5021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2037104">
            <w:pPr>
              <w:spacing w:line="360" w:lineRule="auto"/>
              <w:jc w:val="center"/>
              <w:rPr>
                <w:rFonts w:ascii="宋体" w:hAnsi="宋体" w:cs="宋体"/>
                <w:kern w:val="0"/>
                <w:sz w:val="24"/>
              </w:rPr>
            </w:pPr>
          </w:p>
        </w:tc>
        <w:tc>
          <w:tcPr>
            <w:tcW w:w="2051" w:type="dxa"/>
            <w:vMerge w:val="continue"/>
            <w:vAlign w:val="center"/>
          </w:tcPr>
          <w:p w14:paraId="1AB730CD">
            <w:pPr>
              <w:spacing w:line="360" w:lineRule="auto"/>
              <w:jc w:val="center"/>
              <w:rPr>
                <w:rFonts w:ascii="宋体" w:hAnsi="宋体" w:cs="宋体"/>
                <w:kern w:val="0"/>
                <w:sz w:val="24"/>
              </w:rPr>
            </w:pPr>
          </w:p>
        </w:tc>
        <w:tc>
          <w:tcPr>
            <w:tcW w:w="2061" w:type="dxa"/>
            <w:vAlign w:val="center"/>
          </w:tcPr>
          <w:p w14:paraId="5536B331">
            <w:pPr>
              <w:spacing w:line="360" w:lineRule="auto"/>
              <w:jc w:val="center"/>
              <w:rPr>
                <w:rFonts w:ascii="宋体" w:hAnsi="宋体" w:cs="宋体"/>
                <w:kern w:val="0"/>
                <w:sz w:val="24"/>
              </w:rPr>
            </w:pPr>
            <w:r>
              <w:rPr>
                <w:rFonts w:hint="eastAsia" w:ascii="宋体" w:hAnsi="宋体" w:cs="宋体"/>
                <w:sz w:val="24"/>
              </w:rPr>
              <w:t>住房公积金保障作用持续发挥</w:t>
            </w:r>
          </w:p>
        </w:tc>
        <w:tc>
          <w:tcPr>
            <w:tcW w:w="1987" w:type="dxa"/>
            <w:vAlign w:val="center"/>
          </w:tcPr>
          <w:p w14:paraId="21C1C146">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3C9B9B3F">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03011E5A">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164DC18E">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55E2D85A">
            <w:pPr>
              <w:spacing w:line="360" w:lineRule="auto"/>
              <w:rPr>
                <w:rFonts w:ascii="宋体" w:hAnsi="宋体" w:cs="宋体"/>
                <w:kern w:val="0"/>
                <w:sz w:val="22"/>
              </w:rPr>
            </w:pPr>
          </w:p>
        </w:tc>
      </w:tr>
      <w:tr w14:paraId="2A23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CEC8D4F">
            <w:pPr>
              <w:spacing w:line="360" w:lineRule="auto"/>
              <w:jc w:val="center"/>
              <w:rPr>
                <w:rFonts w:ascii="宋体" w:hAnsi="宋体" w:cs="宋体"/>
                <w:kern w:val="0"/>
                <w:sz w:val="24"/>
              </w:rPr>
            </w:pPr>
          </w:p>
        </w:tc>
        <w:tc>
          <w:tcPr>
            <w:tcW w:w="2051" w:type="dxa"/>
            <w:vAlign w:val="center"/>
          </w:tcPr>
          <w:p w14:paraId="5B3954DB">
            <w:pPr>
              <w:spacing w:line="360" w:lineRule="auto"/>
              <w:jc w:val="center"/>
              <w:rPr>
                <w:rFonts w:ascii="宋体" w:hAnsi="宋体" w:cs="宋体"/>
                <w:kern w:val="0"/>
                <w:sz w:val="24"/>
              </w:rPr>
            </w:pPr>
            <w:r>
              <w:rPr>
                <w:rFonts w:hint="eastAsia" w:ascii="宋体" w:hAnsi="宋体" w:cs="宋体"/>
                <w:sz w:val="24"/>
              </w:rPr>
              <w:t>满意度</w:t>
            </w:r>
          </w:p>
        </w:tc>
        <w:tc>
          <w:tcPr>
            <w:tcW w:w="2061" w:type="dxa"/>
            <w:vAlign w:val="center"/>
          </w:tcPr>
          <w:p w14:paraId="2234EEBB">
            <w:pPr>
              <w:spacing w:line="360" w:lineRule="auto"/>
              <w:jc w:val="center"/>
              <w:rPr>
                <w:rFonts w:ascii="宋体" w:hAnsi="宋体" w:cs="宋体"/>
                <w:kern w:val="0"/>
                <w:sz w:val="24"/>
              </w:rPr>
            </w:pPr>
            <w:r>
              <w:rPr>
                <w:rFonts w:hint="eastAsia" w:ascii="宋体" w:hAnsi="宋体" w:cs="宋体"/>
                <w:sz w:val="24"/>
              </w:rPr>
              <w:t>服务对象满意度</w:t>
            </w:r>
          </w:p>
        </w:tc>
        <w:tc>
          <w:tcPr>
            <w:tcW w:w="1987" w:type="dxa"/>
            <w:vAlign w:val="center"/>
          </w:tcPr>
          <w:p w14:paraId="22ECB3D0">
            <w:pPr>
              <w:spacing w:line="360" w:lineRule="auto"/>
              <w:jc w:val="center"/>
              <w:rPr>
                <w:rFonts w:ascii="宋体" w:hAnsi="宋体" w:cs="宋体"/>
                <w:kern w:val="0"/>
                <w:sz w:val="24"/>
              </w:rPr>
            </w:pPr>
            <w:r>
              <w:rPr>
                <w:rFonts w:hint="eastAsia" w:ascii="宋体" w:hAnsi="宋体" w:cs="宋体"/>
                <w:sz w:val="24"/>
              </w:rPr>
              <w:t>&gt;=93</w:t>
            </w:r>
          </w:p>
        </w:tc>
        <w:tc>
          <w:tcPr>
            <w:tcW w:w="1799" w:type="dxa"/>
            <w:vAlign w:val="center"/>
          </w:tcPr>
          <w:p w14:paraId="5DFF020F">
            <w:pPr>
              <w:spacing w:line="360" w:lineRule="auto"/>
              <w:jc w:val="center"/>
              <w:rPr>
                <w:rFonts w:ascii="宋体" w:hAnsi="宋体" w:cs="宋体"/>
                <w:kern w:val="0"/>
                <w:sz w:val="24"/>
              </w:rPr>
            </w:pPr>
            <w:r>
              <w:rPr>
                <w:rFonts w:hint="eastAsia" w:ascii="宋体" w:hAnsi="宋体" w:cs="宋体"/>
                <w:sz w:val="24"/>
              </w:rPr>
              <w:t>93</w:t>
            </w:r>
          </w:p>
        </w:tc>
        <w:tc>
          <w:tcPr>
            <w:tcW w:w="1866" w:type="dxa"/>
            <w:vAlign w:val="center"/>
          </w:tcPr>
          <w:p w14:paraId="5E121C75">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277C976F">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228D1320">
            <w:pPr>
              <w:spacing w:line="360" w:lineRule="auto"/>
              <w:rPr>
                <w:rFonts w:ascii="宋体" w:hAnsi="宋体" w:cs="宋体"/>
                <w:kern w:val="0"/>
                <w:sz w:val="22"/>
              </w:rPr>
            </w:pPr>
          </w:p>
        </w:tc>
      </w:tr>
      <w:tr w14:paraId="1C9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98D7D4E">
            <w:pPr>
              <w:spacing w:line="360" w:lineRule="auto"/>
              <w:jc w:val="center"/>
              <w:rPr>
                <w:rFonts w:ascii="宋体" w:hAnsi="宋体" w:cs="宋体"/>
                <w:kern w:val="0"/>
                <w:sz w:val="24"/>
              </w:rPr>
            </w:pPr>
          </w:p>
        </w:tc>
        <w:tc>
          <w:tcPr>
            <w:tcW w:w="2051" w:type="dxa"/>
            <w:vMerge w:val="restart"/>
            <w:vAlign w:val="center"/>
          </w:tcPr>
          <w:p w14:paraId="05AC1735">
            <w:pPr>
              <w:spacing w:line="360" w:lineRule="auto"/>
              <w:jc w:val="center"/>
              <w:rPr>
                <w:rFonts w:ascii="宋体" w:hAnsi="宋体" w:cs="宋体"/>
                <w:kern w:val="0"/>
                <w:sz w:val="24"/>
              </w:rPr>
            </w:pPr>
            <w:r>
              <w:rPr>
                <w:rFonts w:hint="eastAsia" w:ascii="宋体" w:hAnsi="宋体" w:cs="宋体"/>
                <w:sz w:val="24"/>
              </w:rPr>
              <w:t>履职</w:t>
            </w:r>
          </w:p>
        </w:tc>
        <w:tc>
          <w:tcPr>
            <w:tcW w:w="2061" w:type="dxa"/>
            <w:vAlign w:val="center"/>
          </w:tcPr>
          <w:p w14:paraId="3E0DCD2E">
            <w:pPr>
              <w:spacing w:line="360" w:lineRule="auto"/>
              <w:jc w:val="center"/>
              <w:rPr>
                <w:rFonts w:ascii="宋体" w:hAnsi="宋体" w:cs="宋体"/>
                <w:kern w:val="0"/>
                <w:sz w:val="24"/>
              </w:rPr>
            </w:pPr>
            <w:r>
              <w:rPr>
                <w:rFonts w:hint="eastAsia" w:ascii="宋体" w:hAnsi="宋体" w:cs="宋体"/>
                <w:sz w:val="24"/>
              </w:rPr>
              <w:t>通过媒体发布宣传信息数量</w:t>
            </w:r>
          </w:p>
        </w:tc>
        <w:tc>
          <w:tcPr>
            <w:tcW w:w="1987" w:type="dxa"/>
            <w:vAlign w:val="center"/>
          </w:tcPr>
          <w:p w14:paraId="271A1B0C">
            <w:pPr>
              <w:spacing w:line="360" w:lineRule="auto"/>
              <w:jc w:val="center"/>
              <w:rPr>
                <w:rFonts w:ascii="宋体" w:hAnsi="宋体" w:cs="宋体"/>
                <w:kern w:val="0"/>
                <w:sz w:val="24"/>
              </w:rPr>
            </w:pPr>
            <w:r>
              <w:rPr>
                <w:rFonts w:hint="eastAsia" w:ascii="宋体" w:hAnsi="宋体" w:cs="宋体"/>
                <w:sz w:val="24"/>
              </w:rPr>
              <w:t>&gt;=16</w:t>
            </w:r>
          </w:p>
        </w:tc>
        <w:tc>
          <w:tcPr>
            <w:tcW w:w="1799" w:type="dxa"/>
            <w:vAlign w:val="center"/>
          </w:tcPr>
          <w:p w14:paraId="6EB48F31">
            <w:pPr>
              <w:spacing w:line="360" w:lineRule="auto"/>
              <w:jc w:val="center"/>
              <w:rPr>
                <w:rFonts w:ascii="宋体" w:hAnsi="宋体" w:cs="宋体"/>
                <w:kern w:val="0"/>
                <w:sz w:val="24"/>
              </w:rPr>
            </w:pPr>
            <w:r>
              <w:rPr>
                <w:rFonts w:hint="eastAsia" w:ascii="宋体" w:hAnsi="宋体" w:cs="宋体"/>
                <w:sz w:val="24"/>
              </w:rPr>
              <w:t>24</w:t>
            </w:r>
          </w:p>
        </w:tc>
        <w:tc>
          <w:tcPr>
            <w:tcW w:w="1866" w:type="dxa"/>
            <w:vAlign w:val="center"/>
          </w:tcPr>
          <w:p w14:paraId="730B9C7D">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0E31DF51">
            <w:pPr>
              <w:spacing w:line="360" w:lineRule="auto"/>
              <w:jc w:val="center"/>
              <w:rPr>
                <w:rFonts w:ascii="宋体" w:hAnsi="宋体" w:cs="宋体"/>
                <w:kern w:val="0"/>
                <w:sz w:val="24"/>
              </w:rPr>
            </w:pPr>
            <w:r>
              <w:rPr>
                <w:rFonts w:hint="eastAsia" w:ascii="宋体" w:hAnsi="宋体" w:cs="宋体"/>
                <w:sz w:val="24"/>
              </w:rPr>
              <w:t>50.00%</w:t>
            </w:r>
          </w:p>
        </w:tc>
        <w:tc>
          <w:tcPr>
            <w:tcW w:w="1071" w:type="dxa"/>
          </w:tcPr>
          <w:p w14:paraId="5455E807">
            <w:pPr>
              <w:spacing w:line="360" w:lineRule="auto"/>
              <w:rPr>
                <w:rFonts w:ascii="宋体" w:hAnsi="宋体" w:cs="宋体"/>
                <w:kern w:val="0"/>
                <w:sz w:val="22"/>
              </w:rPr>
            </w:pPr>
            <w:r>
              <w:rPr>
                <w:rFonts w:hint="eastAsia" w:ascii="宋体" w:hAnsi="宋体" w:cs="宋体"/>
                <w:sz w:val="24"/>
              </w:rPr>
              <w:t>搭建“住行食玩”吴江公积金四维宣传矩阵，紧扣公积金政策宣传工作重点，巧搭载体、锁定目标、畅通渠道，形成辐射面广、时效性强的“住行食玩”公积金宣传新媒体四维矩阵，“住”以惠民制度为根本、“行”以电台口播为指引、“食”以麦果联名为铺垫、“玩”以映前广告为延伸，融入更多年轻元素，将公积金惠民利民优质政策通过多元化、多层次、多角度化方式广而告之。</w:t>
            </w:r>
          </w:p>
        </w:tc>
      </w:tr>
      <w:tr w14:paraId="6420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ED849A6">
            <w:pPr>
              <w:spacing w:line="360" w:lineRule="auto"/>
              <w:jc w:val="center"/>
              <w:rPr>
                <w:rFonts w:ascii="宋体" w:hAnsi="宋体" w:cs="宋体"/>
                <w:kern w:val="0"/>
                <w:sz w:val="24"/>
              </w:rPr>
            </w:pPr>
          </w:p>
        </w:tc>
        <w:tc>
          <w:tcPr>
            <w:tcW w:w="2051" w:type="dxa"/>
            <w:vMerge w:val="continue"/>
            <w:vAlign w:val="center"/>
          </w:tcPr>
          <w:p w14:paraId="55683D9E">
            <w:pPr>
              <w:spacing w:line="360" w:lineRule="auto"/>
              <w:jc w:val="center"/>
              <w:rPr>
                <w:rFonts w:ascii="宋体" w:hAnsi="宋体" w:cs="宋体"/>
                <w:kern w:val="0"/>
                <w:sz w:val="24"/>
              </w:rPr>
            </w:pPr>
          </w:p>
        </w:tc>
        <w:tc>
          <w:tcPr>
            <w:tcW w:w="2061" w:type="dxa"/>
            <w:vAlign w:val="center"/>
          </w:tcPr>
          <w:p w14:paraId="3C47C1B0">
            <w:pPr>
              <w:spacing w:line="360" w:lineRule="auto"/>
              <w:jc w:val="center"/>
              <w:rPr>
                <w:rFonts w:ascii="宋体" w:hAnsi="宋体" w:cs="宋体"/>
                <w:kern w:val="0"/>
                <w:sz w:val="24"/>
              </w:rPr>
            </w:pPr>
            <w:r>
              <w:rPr>
                <w:rFonts w:hint="eastAsia" w:ascii="宋体" w:hAnsi="宋体" w:cs="宋体"/>
                <w:sz w:val="24"/>
              </w:rPr>
              <w:t>本年灵活就业累计缴存金额</w:t>
            </w:r>
          </w:p>
        </w:tc>
        <w:tc>
          <w:tcPr>
            <w:tcW w:w="1987" w:type="dxa"/>
            <w:vAlign w:val="center"/>
          </w:tcPr>
          <w:p w14:paraId="632DAA54">
            <w:pPr>
              <w:spacing w:line="360" w:lineRule="auto"/>
              <w:jc w:val="center"/>
              <w:rPr>
                <w:rFonts w:ascii="宋体" w:hAnsi="宋体" w:cs="宋体"/>
                <w:kern w:val="0"/>
                <w:sz w:val="24"/>
              </w:rPr>
            </w:pPr>
            <w:r>
              <w:rPr>
                <w:rFonts w:hint="eastAsia" w:ascii="宋体" w:hAnsi="宋体" w:cs="宋体"/>
                <w:sz w:val="24"/>
              </w:rPr>
              <w:t>&gt;=1800</w:t>
            </w:r>
          </w:p>
        </w:tc>
        <w:tc>
          <w:tcPr>
            <w:tcW w:w="1799" w:type="dxa"/>
            <w:vAlign w:val="center"/>
          </w:tcPr>
          <w:p w14:paraId="3A49D5EC">
            <w:pPr>
              <w:spacing w:line="360" w:lineRule="auto"/>
              <w:jc w:val="center"/>
              <w:rPr>
                <w:rFonts w:ascii="宋体" w:hAnsi="宋体" w:cs="宋体"/>
                <w:kern w:val="0"/>
                <w:sz w:val="24"/>
              </w:rPr>
            </w:pPr>
            <w:r>
              <w:rPr>
                <w:rFonts w:hint="eastAsia" w:ascii="宋体" w:hAnsi="宋体" w:cs="宋体"/>
                <w:sz w:val="24"/>
              </w:rPr>
              <w:t>4348.32</w:t>
            </w:r>
          </w:p>
        </w:tc>
        <w:tc>
          <w:tcPr>
            <w:tcW w:w="1866" w:type="dxa"/>
            <w:vAlign w:val="center"/>
          </w:tcPr>
          <w:p w14:paraId="6A868A22">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6DBFD434">
            <w:pPr>
              <w:spacing w:line="360" w:lineRule="auto"/>
              <w:jc w:val="center"/>
              <w:rPr>
                <w:rFonts w:ascii="宋体" w:hAnsi="宋体" w:cs="宋体"/>
                <w:kern w:val="0"/>
                <w:sz w:val="24"/>
              </w:rPr>
            </w:pPr>
            <w:r>
              <w:rPr>
                <w:rFonts w:hint="eastAsia" w:ascii="宋体" w:hAnsi="宋体" w:cs="宋体"/>
                <w:sz w:val="24"/>
              </w:rPr>
              <w:t>141.57%</w:t>
            </w:r>
          </w:p>
        </w:tc>
        <w:tc>
          <w:tcPr>
            <w:tcW w:w="1071" w:type="dxa"/>
          </w:tcPr>
          <w:p w14:paraId="7DCAEE0D">
            <w:pPr>
              <w:spacing w:line="360" w:lineRule="auto"/>
              <w:rPr>
                <w:rFonts w:ascii="宋体" w:hAnsi="宋体" w:cs="宋体"/>
                <w:kern w:val="0"/>
                <w:sz w:val="22"/>
              </w:rPr>
            </w:pPr>
            <w:r>
              <w:rPr>
                <w:rFonts w:hint="eastAsia" w:ascii="宋体" w:hAnsi="宋体" w:cs="宋体"/>
                <w:sz w:val="24"/>
              </w:rPr>
              <w:t>分中心携手苏州农商银行，着力推广灵活就业人员参缴住房公积金试点工作。于5月10日成功上线通过银行直连办理的苏州市灵活就业人员住房公积金个人账户开户和缴存功能，成为苏州市首家灵活就业公积金业务直连银行。</w:t>
            </w:r>
          </w:p>
        </w:tc>
      </w:tr>
      <w:tr w14:paraId="43D1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12FC00D1">
            <w:pPr>
              <w:spacing w:line="360" w:lineRule="auto"/>
              <w:jc w:val="center"/>
              <w:rPr>
                <w:rFonts w:ascii="宋体" w:hAnsi="宋体" w:cs="宋体"/>
                <w:kern w:val="0"/>
                <w:sz w:val="24"/>
              </w:rPr>
            </w:pPr>
          </w:p>
        </w:tc>
        <w:tc>
          <w:tcPr>
            <w:tcW w:w="2051" w:type="dxa"/>
            <w:vMerge w:val="continue"/>
            <w:vAlign w:val="center"/>
          </w:tcPr>
          <w:p w14:paraId="385C814F">
            <w:pPr>
              <w:spacing w:line="360" w:lineRule="auto"/>
              <w:jc w:val="center"/>
              <w:rPr>
                <w:rFonts w:ascii="宋体" w:hAnsi="宋体" w:cs="宋体"/>
                <w:kern w:val="0"/>
                <w:sz w:val="24"/>
              </w:rPr>
            </w:pPr>
          </w:p>
        </w:tc>
        <w:tc>
          <w:tcPr>
            <w:tcW w:w="2061" w:type="dxa"/>
            <w:vAlign w:val="center"/>
          </w:tcPr>
          <w:p w14:paraId="4EB63D07">
            <w:pPr>
              <w:spacing w:line="360" w:lineRule="auto"/>
              <w:jc w:val="center"/>
              <w:rPr>
                <w:rFonts w:ascii="宋体" w:hAnsi="宋体" w:cs="宋体"/>
                <w:kern w:val="0"/>
                <w:sz w:val="24"/>
              </w:rPr>
            </w:pPr>
            <w:r>
              <w:rPr>
                <w:rFonts w:hint="eastAsia" w:ascii="宋体" w:hAnsi="宋体" w:cs="宋体"/>
                <w:sz w:val="24"/>
              </w:rPr>
              <w:t>办理偿还异地住房贷款提取公积金</w:t>
            </w:r>
          </w:p>
        </w:tc>
        <w:tc>
          <w:tcPr>
            <w:tcW w:w="1987" w:type="dxa"/>
            <w:vAlign w:val="center"/>
          </w:tcPr>
          <w:p w14:paraId="5B11D5AC">
            <w:pPr>
              <w:spacing w:line="360" w:lineRule="auto"/>
              <w:jc w:val="center"/>
              <w:rPr>
                <w:rFonts w:ascii="宋体" w:hAnsi="宋体" w:cs="宋体"/>
                <w:kern w:val="0"/>
                <w:sz w:val="24"/>
              </w:rPr>
            </w:pPr>
            <w:r>
              <w:rPr>
                <w:rFonts w:hint="eastAsia" w:ascii="宋体" w:hAnsi="宋体" w:cs="宋体"/>
                <w:sz w:val="24"/>
              </w:rPr>
              <w:t>&gt;=3500</w:t>
            </w:r>
          </w:p>
        </w:tc>
        <w:tc>
          <w:tcPr>
            <w:tcW w:w="1799" w:type="dxa"/>
            <w:vAlign w:val="center"/>
          </w:tcPr>
          <w:p w14:paraId="3844BA53">
            <w:pPr>
              <w:spacing w:line="360" w:lineRule="auto"/>
              <w:jc w:val="center"/>
              <w:rPr>
                <w:rFonts w:ascii="宋体" w:hAnsi="宋体" w:cs="宋体"/>
                <w:kern w:val="0"/>
                <w:sz w:val="24"/>
              </w:rPr>
            </w:pPr>
            <w:r>
              <w:rPr>
                <w:rFonts w:hint="eastAsia" w:ascii="宋体" w:hAnsi="宋体" w:cs="宋体"/>
                <w:sz w:val="24"/>
              </w:rPr>
              <w:t>4489</w:t>
            </w:r>
          </w:p>
        </w:tc>
        <w:tc>
          <w:tcPr>
            <w:tcW w:w="1866" w:type="dxa"/>
            <w:vAlign w:val="center"/>
          </w:tcPr>
          <w:p w14:paraId="172B53F3">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D24229D">
            <w:pPr>
              <w:spacing w:line="360" w:lineRule="auto"/>
              <w:jc w:val="center"/>
              <w:rPr>
                <w:rFonts w:ascii="宋体" w:hAnsi="宋体" w:cs="宋体"/>
                <w:kern w:val="0"/>
                <w:sz w:val="24"/>
              </w:rPr>
            </w:pPr>
            <w:r>
              <w:rPr>
                <w:rFonts w:hint="eastAsia" w:ascii="宋体" w:hAnsi="宋体" w:cs="宋体"/>
                <w:sz w:val="24"/>
              </w:rPr>
              <w:t>28.26%</w:t>
            </w:r>
          </w:p>
        </w:tc>
        <w:tc>
          <w:tcPr>
            <w:tcW w:w="1071" w:type="dxa"/>
          </w:tcPr>
          <w:p w14:paraId="04193C78">
            <w:pPr>
              <w:spacing w:line="360" w:lineRule="auto"/>
              <w:rPr>
                <w:rFonts w:ascii="宋体" w:hAnsi="宋体" w:cs="宋体"/>
                <w:kern w:val="0"/>
                <w:sz w:val="22"/>
              </w:rPr>
            </w:pPr>
            <w:r>
              <w:rPr>
                <w:rFonts w:hint="eastAsia" w:ascii="宋体" w:hAnsi="宋体" w:cs="宋体"/>
                <w:sz w:val="24"/>
              </w:rPr>
              <w:t>此项指标已达目标值。</w:t>
            </w:r>
          </w:p>
        </w:tc>
      </w:tr>
      <w:tr w14:paraId="76D8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CB90C97">
            <w:pPr>
              <w:spacing w:line="360" w:lineRule="auto"/>
              <w:jc w:val="center"/>
              <w:rPr>
                <w:rFonts w:ascii="宋体" w:hAnsi="宋体" w:cs="宋体"/>
                <w:kern w:val="0"/>
                <w:sz w:val="24"/>
              </w:rPr>
            </w:pPr>
          </w:p>
        </w:tc>
        <w:tc>
          <w:tcPr>
            <w:tcW w:w="2051" w:type="dxa"/>
            <w:vMerge w:val="continue"/>
            <w:vAlign w:val="center"/>
          </w:tcPr>
          <w:p w14:paraId="7775DD22">
            <w:pPr>
              <w:spacing w:line="360" w:lineRule="auto"/>
              <w:jc w:val="center"/>
              <w:rPr>
                <w:rFonts w:ascii="宋体" w:hAnsi="宋体" w:cs="宋体"/>
                <w:kern w:val="0"/>
                <w:sz w:val="24"/>
              </w:rPr>
            </w:pPr>
          </w:p>
        </w:tc>
        <w:tc>
          <w:tcPr>
            <w:tcW w:w="2061" w:type="dxa"/>
            <w:vAlign w:val="center"/>
          </w:tcPr>
          <w:p w14:paraId="30E7F19C">
            <w:pPr>
              <w:spacing w:line="360" w:lineRule="auto"/>
              <w:jc w:val="center"/>
              <w:rPr>
                <w:rFonts w:ascii="宋体" w:hAnsi="宋体" w:cs="宋体"/>
                <w:kern w:val="0"/>
                <w:sz w:val="24"/>
              </w:rPr>
            </w:pPr>
            <w:r>
              <w:rPr>
                <w:rFonts w:hint="eastAsia" w:ascii="宋体" w:hAnsi="宋体" w:cs="宋体"/>
                <w:sz w:val="24"/>
              </w:rPr>
              <w:t>受托银行业务达标率</w:t>
            </w:r>
          </w:p>
        </w:tc>
        <w:tc>
          <w:tcPr>
            <w:tcW w:w="1987" w:type="dxa"/>
            <w:vAlign w:val="center"/>
          </w:tcPr>
          <w:p w14:paraId="78678C15">
            <w:pPr>
              <w:spacing w:line="360" w:lineRule="auto"/>
              <w:jc w:val="center"/>
              <w:rPr>
                <w:rFonts w:ascii="宋体" w:hAnsi="宋体" w:cs="宋体"/>
                <w:kern w:val="0"/>
                <w:sz w:val="24"/>
              </w:rPr>
            </w:pPr>
            <w:r>
              <w:rPr>
                <w:rFonts w:hint="eastAsia" w:ascii="宋体" w:hAnsi="宋体" w:cs="宋体"/>
                <w:sz w:val="24"/>
              </w:rPr>
              <w:t>&gt;=95</w:t>
            </w:r>
          </w:p>
        </w:tc>
        <w:tc>
          <w:tcPr>
            <w:tcW w:w="1799" w:type="dxa"/>
            <w:vAlign w:val="center"/>
          </w:tcPr>
          <w:p w14:paraId="0C99828C">
            <w:pPr>
              <w:spacing w:line="360" w:lineRule="auto"/>
              <w:jc w:val="center"/>
              <w:rPr>
                <w:rFonts w:ascii="宋体" w:hAnsi="宋体" w:cs="宋体"/>
                <w:kern w:val="0"/>
                <w:sz w:val="24"/>
              </w:rPr>
            </w:pPr>
            <w:r>
              <w:rPr>
                <w:rFonts w:hint="eastAsia" w:ascii="宋体" w:hAnsi="宋体" w:cs="宋体"/>
                <w:sz w:val="24"/>
              </w:rPr>
              <w:t>95</w:t>
            </w:r>
          </w:p>
        </w:tc>
        <w:tc>
          <w:tcPr>
            <w:tcW w:w="1866" w:type="dxa"/>
            <w:vAlign w:val="center"/>
          </w:tcPr>
          <w:p w14:paraId="0B737E56">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66C76DA7">
            <w:pPr>
              <w:spacing w:line="360" w:lineRule="auto"/>
              <w:jc w:val="center"/>
              <w:rPr>
                <w:rFonts w:ascii="宋体" w:hAnsi="宋体" w:cs="宋体"/>
                <w:kern w:val="0"/>
                <w:sz w:val="24"/>
              </w:rPr>
            </w:pPr>
            <w:r>
              <w:rPr>
                <w:rFonts w:hint="eastAsia" w:ascii="宋体" w:hAnsi="宋体" w:cs="宋体"/>
                <w:sz w:val="24"/>
              </w:rPr>
              <w:t>0.00%</w:t>
            </w:r>
          </w:p>
        </w:tc>
        <w:tc>
          <w:tcPr>
            <w:tcW w:w="1071" w:type="dxa"/>
          </w:tcPr>
          <w:p w14:paraId="1E78B03C">
            <w:pPr>
              <w:spacing w:line="360" w:lineRule="auto"/>
              <w:rPr>
                <w:rFonts w:ascii="宋体" w:hAnsi="宋体" w:cs="宋体"/>
                <w:kern w:val="0"/>
                <w:sz w:val="22"/>
              </w:rPr>
            </w:pPr>
          </w:p>
        </w:tc>
      </w:tr>
      <w:tr w14:paraId="1FF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7810A1C">
            <w:pPr>
              <w:spacing w:line="360" w:lineRule="auto"/>
              <w:jc w:val="center"/>
              <w:rPr>
                <w:rFonts w:ascii="宋体" w:hAnsi="宋体" w:cs="宋体"/>
                <w:kern w:val="0"/>
                <w:sz w:val="24"/>
              </w:rPr>
            </w:pPr>
          </w:p>
        </w:tc>
        <w:tc>
          <w:tcPr>
            <w:tcW w:w="2051" w:type="dxa"/>
            <w:vMerge w:val="continue"/>
            <w:vAlign w:val="center"/>
          </w:tcPr>
          <w:p w14:paraId="3442D42E">
            <w:pPr>
              <w:spacing w:line="360" w:lineRule="auto"/>
              <w:jc w:val="center"/>
              <w:rPr>
                <w:rFonts w:ascii="宋体" w:hAnsi="宋体" w:cs="宋体"/>
                <w:kern w:val="0"/>
                <w:sz w:val="24"/>
              </w:rPr>
            </w:pPr>
          </w:p>
        </w:tc>
        <w:tc>
          <w:tcPr>
            <w:tcW w:w="2061" w:type="dxa"/>
            <w:vAlign w:val="center"/>
          </w:tcPr>
          <w:p w14:paraId="50599A3B">
            <w:pPr>
              <w:spacing w:line="360" w:lineRule="auto"/>
              <w:jc w:val="center"/>
              <w:rPr>
                <w:rFonts w:ascii="宋体" w:hAnsi="宋体" w:cs="宋体"/>
                <w:kern w:val="0"/>
                <w:sz w:val="24"/>
              </w:rPr>
            </w:pPr>
            <w:r>
              <w:rPr>
                <w:rFonts w:hint="eastAsia" w:ascii="宋体" w:hAnsi="宋体" w:cs="宋体"/>
                <w:sz w:val="24"/>
              </w:rPr>
              <w:t>出具异地公积金贷款证明</w:t>
            </w:r>
          </w:p>
        </w:tc>
        <w:tc>
          <w:tcPr>
            <w:tcW w:w="1987" w:type="dxa"/>
            <w:vAlign w:val="center"/>
          </w:tcPr>
          <w:p w14:paraId="41D76C47">
            <w:pPr>
              <w:spacing w:line="360" w:lineRule="auto"/>
              <w:jc w:val="center"/>
              <w:rPr>
                <w:rFonts w:ascii="宋体" w:hAnsi="宋体" w:cs="宋体"/>
                <w:kern w:val="0"/>
                <w:sz w:val="24"/>
              </w:rPr>
            </w:pPr>
            <w:r>
              <w:rPr>
                <w:rFonts w:hint="eastAsia" w:ascii="宋体" w:hAnsi="宋体" w:cs="宋体"/>
                <w:sz w:val="24"/>
              </w:rPr>
              <w:t>&gt;=1800</w:t>
            </w:r>
          </w:p>
        </w:tc>
        <w:tc>
          <w:tcPr>
            <w:tcW w:w="1799" w:type="dxa"/>
            <w:vAlign w:val="center"/>
          </w:tcPr>
          <w:p w14:paraId="3407E5B0">
            <w:pPr>
              <w:spacing w:line="360" w:lineRule="auto"/>
              <w:jc w:val="center"/>
              <w:rPr>
                <w:rFonts w:ascii="宋体" w:hAnsi="宋体" w:cs="宋体"/>
                <w:kern w:val="0"/>
                <w:sz w:val="24"/>
              </w:rPr>
            </w:pPr>
            <w:r>
              <w:rPr>
                <w:rFonts w:hint="eastAsia" w:ascii="宋体" w:hAnsi="宋体" w:cs="宋体"/>
                <w:sz w:val="24"/>
              </w:rPr>
              <w:t>1061</w:t>
            </w:r>
          </w:p>
        </w:tc>
        <w:tc>
          <w:tcPr>
            <w:tcW w:w="1866" w:type="dxa"/>
            <w:vAlign w:val="center"/>
          </w:tcPr>
          <w:p w14:paraId="5FF27D64">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4C46BB8">
            <w:pPr>
              <w:spacing w:line="360" w:lineRule="auto"/>
              <w:jc w:val="center"/>
              <w:rPr>
                <w:rFonts w:ascii="宋体" w:hAnsi="宋体" w:cs="宋体"/>
                <w:kern w:val="0"/>
                <w:sz w:val="24"/>
              </w:rPr>
            </w:pPr>
            <w:r>
              <w:rPr>
                <w:rFonts w:hint="eastAsia" w:ascii="宋体" w:hAnsi="宋体" w:cs="宋体"/>
                <w:sz w:val="24"/>
              </w:rPr>
              <w:t>-41.06%</w:t>
            </w:r>
          </w:p>
        </w:tc>
        <w:tc>
          <w:tcPr>
            <w:tcW w:w="1071" w:type="dxa"/>
          </w:tcPr>
          <w:p w14:paraId="272387A0">
            <w:pPr>
              <w:spacing w:line="360" w:lineRule="auto"/>
              <w:rPr>
                <w:rFonts w:ascii="宋体" w:hAnsi="宋体" w:cs="宋体"/>
                <w:kern w:val="0"/>
                <w:sz w:val="22"/>
              </w:rPr>
            </w:pPr>
            <w:r>
              <w:rPr>
                <w:rFonts w:hint="eastAsia" w:ascii="宋体" w:hAnsi="宋体" w:cs="宋体"/>
                <w:sz w:val="24"/>
              </w:rPr>
              <w:t>全国推出“亮码可办”平台。</w:t>
            </w:r>
          </w:p>
        </w:tc>
      </w:tr>
      <w:tr w14:paraId="40C6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696C30A">
            <w:pPr>
              <w:spacing w:line="360" w:lineRule="auto"/>
              <w:jc w:val="center"/>
              <w:rPr>
                <w:rFonts w:ascii="宋体" w:hAnsi="宋体" w:cs="宋体"/>
                <w:kern w:val="0"/>
                <w:sz w:val="24"/>
              </w:rPr>
            </w:pPr>
          </w:p>
        </w:tc>
        <w:tc>
          <w:tcPr>
            <w:tcW w:w="2051" w:type="dxa"/>
            <w:vMerge w:val="continue"/>
            <w:vAlign w:val="center"/>
          </w:tcPr>
          <w:p w14:paraId="7206E417">
            <w:pPr>
              <w:spacing w:line="360" w:lineRule="auto"/>
              <w:jc w:val="center"/>
              <w:rPr>
                <w:rFonts w:ascii="宋体" w:hAnsi="宋体" w:cs="宋体"/>
                <w:kern w:val="0"/>
                <w:sz w:val="24"/>
              </w:rPr>
            </w:pPr>
          </w:p>
        </w:tc>
        <w:tc>
          <w:tcPr>
            <w:tcW w:w="2061" w:type="dxa"/>
            <w:vAlign w:val="center"/>
          </w:tcPr>
          <w:p w14:paraId="25CB1C01">
            <w:pPr>
              <w:spacing w:line="360" w:lineRule="auto"/>
              <w:jc w:val="center"/>
              <w:rPr>
                <w:rFonts w:ascii="宋体" w:hAnsi="宋体" w:cs="宋体"/>
                <w:kern w:val="0"/>
                <w:sz w:val="24"/>
              </w:rPr>
            </w:pPr>
            <w:r>
              <w:rPr>
                <w:rFonts w:hint="eastAsia" w:ascii="宋体" w:hAnsi="宋体" w:cs="宋体"/>
                <w:sz w:val="24"/>
              </w:rPr>
              <w:t>年度贷款回收额</w:t>
            </w:r>
          </w:p>
        </w:tc>
        <w:tc>
          <w:tcPr>
            <w:tcW w:w="1987" w:type="dxa"/>
            <w:vAlign w:val="center"/>
          </w:tcPr>
          <w:p w14:paraId="2E53DA14">
            <w:pPr>
              <w:spacing w:line="360" w:lineRule="auto"/>
              <w:jc w:val="center"/>
              <w:rPr>
                <w:rFonts w:ascii="宋体" w:hAnsi="宋体" w:cs="宋体"/>
                <w:kern w:val="0"/>
                <w:sz w:val="24"/>
              </w:rPr>
            </w:pPr>
            <w:r>
              <w:rPr>
                <w:rFonts w:hint="eastAsia" w:ascii="宋体" w:hAnsi="宋体" w:cs="宋体"/>
                <w:sz w:val="24"/>
              </w:rPr>
              <w:t>&gt;=7.4</w:t>
            </w:r>
          </w:p>
        </w:tc>
        <w:tc>
          <w:tcPr>
            <w:tcW w:w="1799" w:type="dxa"/>
            <w:vAlign w:val="center"/>
          </w:tcPr>
          <w:p w14:paraId="3909838F">
            <w:pPr>
              <w:spacing w:line="360" w:lineRule="auto"/>
              <w:jc w:val="center"/>
              <w:rPr>
                <w:rFonts w:ascii="宋体" w:hAnsi="宋体" w:cs="宋体"/>
                <w:kern w:val="0"/>
                <w:sz w:val="24"/>
              </w:rPr>
            </w:pPr>
            <w:r>
              <w:rPr>
                <w:rFonts w:hint="eastAsia" w:ascii="宋体" w:hAnsi="宋体" w:cs="宋体"/>
                <w:sz w:val="24"/>
              </w:rPr>
              <w:t>10.96</w:t>
            </w:r>
          </w:p>
        </w:tc>
        <w:tc>
          <w:tcPr>
            <w:tcW w:w="1866" w:type="dxa"/>
            <w:vAlign w:val="center"/>
          </w:tcPr>
          <w:p w14:paraId="5DF7531F">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1953564F">
            <w:pPr>
              <w:spacing w:line="360" w:lineRule="auto"/>
              <w:jc w:val="center"/>
              <w:rPr>
                <w:rFonts w:ascii="宋体" w:hAnsi="宋体" w:cs="宋体"/>
                <w:kern w:val="0"/>
                <w:sz w:val="24"/>
              </w:rPr>
            </w:pPr>
            <w:r>
              <w:rPr>
                <w:rFonts w:hint="eastAsia" w:ascii="宋体" w:hAnsi="宋体" w:cs="宋体"/>
                <w:sz w:val="24"/>
              </w:rPr>
              <w:t>48.11%</w:t>
            </w:r>
          </w:p>
        </w:tc>
        <w:tc>
          <w:tcPr>
            <w:tcW w:w="1071" w:type="dxa"/>
          </w:tcPr>
          <w:p w14:paraId="2B92D42B">
            <w:pPr>
              <w:spacing w:line="360" w:lineRule="auto"/>
              <w:rPr>
                <w:rFonts w:ascii="宋体" w:hAnsi="宋体" w:cs="宋体"/>
                <w:kern w:val="0"/>
                <w:sz w:val="22"/>
              </w:rPr>
            </w:pPr>
            <w:r>
              <w:rPr>
                <w:rFonts w:hint="eastAsia" w:ascii="宋体" w:hAnsi="宋体" w:cs="宋体"/>
                <w:sz w:val="24"/>
              </w:rPr>
              <w:t>此项指标已达目标值。</w:t>
            </w:r>
          </w:p>
        </w:tc>
      </w:tr>
      <w:tr w14:paraId="7B1D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3FCDC5D">
            <w:pPr>
              <w:spacing w:line="360" w:lineRule="auto"/>
              <w:jc w:val="center"/>
              <w:rPr>
                <w:rFonts w:ascii="宋体" w:hAnsi="宋体" w:cs="宋体"/>
                <w:kern w:val="0"/>
                <w:sz w:val="24"/>
              </w:rPr>
            </w:pPr>
          </w:p>
        </w:tc>
        <w:tc>
          <w:tcPr>
            <w:tcW w:w="2051" w:type="dxa"/>
            <w:vMerge w:val="continue"/>
            <w:vAlign w:val="center"/>
          </w:tcPr>
          <w:p w14:paraId="4440E34F">
            <w:pPr>
              <w:spacing w:line="360" w:lineRule="auto"/>
              <w:jc w:val="center"/>
              <w:rPr>
                <w:rFonts w:ascii="宋体" w:hAnsi="宋体" w:cs="宋体"/>
                <w:kern w:val="0"/>
                <w:sz w:val="24"/>
              </w:rPr>
            </w:pPr>
          </w:p>
        </w:tc>
        <w:tc>
          <w:tcPr>
            <w:tcW w:w="2061" w:type="dxa"/>
            <w:vAlign w:val="center"/>
          </w:tcPr>
          <w:p w14:paraId="3745D9F3">
            <w:pPr>
              <w:spacing w:line="360" w:lineRule="auto"/>
              <w:jc w:val="center"/>
              <w:rPr>
                <w:rFonts w:ascii="宋体" w:hAnsi="宋体" w:cs="宋体"/>
                <w:kern w:val="0"/>
                <w:sz w:val="24"/>
              </w:rPr>
            </w:pPr>
            <w:r>
              <w:rPr>
                <w:rFonts w:hint="eastAsia" w:ascii="宋体" w:hAnsi="宋体" w:cs="宋体"/>
                <w:sz w:val="24"/>
              </w:rPr>
              <w:t>受托银行考核制度</w:t>
            </w:r>
          </w:p>
        </w:tc>
        <w:tc>
          <w:tcPr>
            <w:tcW w:w="1987" w:type="dxa"/>
            <w:vAlign w:val="center"/>
          </w:tcPr>
          <w:p w14:paraId="5CD35163">
            <w:pPr>
              <w:spacing w:line="360" w:lineRule="auto"/>
              <w:jc w:val="center"/>
              <w:rPr>
                <w:rFonts w:ascii="宋体" w:hAnsi="宋体" w:cs="宋体"/>
                <w:kern w:val="0"/>
                <w:sz w:val="24"/>
              </w:rPr>
            </w:pPr>
            <w:r>
              <w:rPr>
                <w:rFonts w:hint="eastAsia" w:ascii="宋体" w:hAnsi="宋体" w:cs="宋体"/>
                <w:sz w:val="24"/>
              </w:rPr>
              <w:t>建立</w:t>
            </w:r>
          </w:p>
        </w:tc>
        <w:tc>
          <w:tcPr>
            <w:tcW w:w="1799" w:type="dxa"/>
            <w:vAlign w:val="center"/>
          </w:tcPr>
          <w:p w14:paraId="21702335">
            <w:pPr>
              <w:spacing w:line="360" w:lineRule="auto"/>
              <w:jc w:val="center"/>
              <w:rPr>
                <w:rFonts w:ascii="宋体" w:hAnsi="宋体" w:cs="宋体"/>
                <w:kern w:val="0"/>
                <w:sz w:val="24"/>
              </w:rPr>
            </w:pPr>
            <w:r>
              <w:rPr>
                <w:rFonts w:hint="eastAsia" w:ascii="宋体" w:hAnsi="宋体" w:cs="宋体"/>
                <w:sz w:val="24"/>
              </w:rPr>
              <w:t>建立</w:t>
            </w:r>
          </w:p>
        </w:tc>
        <w:tc>
          <w:tcPr>
            <w:tcW w:w="1866" w:type="dxa"/>
            <w:vAlign w:val="center"/>
          </w:tcPr>
          <w:p w14:paraId="7AB7FBC3">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15EF31C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788DA9B2">
            <w:pPr>
              <w:spacing w:line="360" w:lineRule="auto"/>
              <w:rPr>
                <w:rFonts w:ascii="宋体" w:hAnsi="宋体" w:cs="宋体"/>
                <w:kern w:val="0"/>
                <w:sz w:val="22"/>
              </w:rPr>
            </w:pPr>
          </w:p>
        </w:tc>
      </w:tr>
      <w:tr w14:paraId="7EA7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90C2C7C">
            <w:pPr>
              <w:spacing w:line="360" w:lineRule="auto"/>
              <w:jc w:val="center"/>
              <w:rPr>
                <w:rFonts w:ascii="宋体" w:hAnsi="宋体" w:cs="宋体"/>
                <w:kern w:val="0"/>
                <w:sz w:val="24"/>
              </w:rPr>
            </w:pPr>
          </w:p>
        </w:tc>
        <w:tc>
          <w:tcPr>
            <w:tcW w:w="2051" w:type="dxa"/>
            <w:vMerge w:val="continue"/>
            <w:vAlign w:val="center"/>
          </w:tcPr>
          <w:p w14:paraId="67E4F71E">
            <w:pPr>
              <w:spacing w:line="360" w:lineRule="auto"/>
              <w:jc w:val="center"/>
              <w:rPr>
                <w:rFonts w:ascii="宋体" w:hAnsi="宋体" w:cs="宋体"/>
                <w:kern w:val="0"/>
                <w:sz w:val="24"/>
              </w:rPr>
            </w:pPr>
          </w:p>
        </w:tc>
        <w:tc>
          <w:tcPr>
            <w:tcW w:w="2061" w:type="dxa"/>
            <w:vAlign w:val="center"/>
          </w:tcPr>
          <w:p w14:paraId="48085B76">
            <w:pPr>
              <w:spacing w:line="360" w:lineRule="auto"/>
              <w:jc w:val="center"/>
              <w:rPr>
                <w:rFonts w:ascii="宋体" w:hAnsi="宋体" w:cs="宋体"/>
                <w:kern w:val="0"/>
                <w:sz w:val="24"/>
              </w:rPr>
            </w:pPr>
            <w:r>
              <w:rPr>
                <w:rFonts w:hint="eastAsia" w:ascii="宋体" w:hAnsi="宋体" w:cs="宋体"/>
                <w:sz w:val="24"/>
              </w:rPr>
              <w:t>年度归集额</w:t>
            </w:r>
          </w:p>
        </w:tc>
        <w:tc>
          <w:tcPr>
            <w:tcW w:w="1987" w:type="dxa"/>
            <w:vAlign w:val="center"/>
          </w:tcPr>
          <w:p w14:paraId="36E6E79A">
            <w:pPr>
              <w:spacing w:line="360" w:lineRule="auto"/>
              <w:jc w:val="center"/>
              <w:rPr>
                <w:rFonts w:ascii="宋体" w:hAnsi="宋体" w:cs="宋体"/>
                <w:kern w:val="0"/>
                <w:sz w:val="24"/>
              </w:rPr>
            </w:pPr>
            <w:r>
              <w:rPr>
                <w:rFonts w:hint="eastAsia" w:ascii="宋体" w:hAnsi="宋体" w:cs="宋体"/>
                <w:sz w:val="24"/>
              </w:rPr>
              <w:t>&gt;=54.12</w:t>
            </w:r>
          </w:p>
        </w:tc>
        <w:tc>
          <w:tcPr>
            <w:tcW w:w="1799" w:type="dxa"/>
            <w:vAlign w:val="center"/>
          </w:tcPr>
          <w:p w14:paraId="3FA3BE69">
            <w:pPr>
              <w:spacing w:line="360" w:lineRule="auto"/>
              <w:jc w:val="center"/>
              <w:rPr>
                <w:rFonts w:ascii="宋体" w:hAnsi="宋体" w:cs="宋体"/>
                <w:kern w:val="0"/>
                <w:sz w:val="24"/>
              </w:rPr>
            </w:pPr>
            <w:r>
              <w:rPr>
                <w:rFonts w:hint="eastAsia" w:ascii="宋体" w:hAnsi="宋体" w:cs="宋体"/>
                <w:sz w:val="24"/>
              </w:rPr>
              <w:t>60.43</w:t>
            </w:r>
          </w:p>
        </w:tc>
        <w:tc>
          <w:tcPr>
            <w:tcW w:w="1866" w:type="dxa"/>
            <w:vAlign w:val="center"/>
          </w:tcPr>
          <w:p w14:paraId="41070D5E">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2215989A">
            <w:pPr>
              <w:spacing w:line="360" w:lineRule="auto"/>
              <w:jc w:val="center"/>
              <w:rPr>
                <w:rFonts w:ascii="宋体" w:hAnsi="宋体" w:cs="宋体"/>
                <w:kern w:val="0"/>
                <w:sz w:val="24"/>
              </w:rPr>
            </w:pPr>
            <w:r>
              <w:rPr>
                <w:rFonts w:hint="eastAsia" w:ascii="宋体" w:hAnsi="宋体" w:cs="宋体"/>
                <w:sz w:val="24"/>
              </w:rPr>
              <w:t>11.66%</w:t>
            </w:r>
          </w:p>
        </w:tc>
        <w:tc>
          <w:tcPr>
            <w:tcW w:w="1071" w:type="dxa"/>
          </w:tcPr>
          <w:p w14:paraId="702B5977">
            <w:pPr>
              <w:spacing w:line="360" w:lineRule="auto"/>
              <w:rPr>
                <w:rFonts w:ascii="宋体" w:hAnsi="宋体" w:cs="宋体"/>
                <w:kern w:val="0"/>
                <w:sz w:val="22"/>
              </w:rPr>
            </w:pPr>
            <w:r>
              <w:rPr>
                <w:rFonts w:hint="eastAsia" w:ascii="宋体" w:hAnsi="宋体" w:cs="宋体"/>
                <w:sz w:val="24"/>
              </w:rPr>
              <w:t>此项指标已达目标值。</w:t>
            </w:r>
          </w:p>
        </w:tc>
      </w:tr>
      <w:tr w14:paraId="7B0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3F4611C2">
            <w:pPr>
              <w:spacing w:line="360" w:lineRule="auto"/>
              <w:jc w:val="center"/>
              <w:rPr>
                <w:rFonts w:ascii="宋体" w:hAnsi="宋体" w:cs="宋体"/>
                <w:kern w:val="0"/>
                <w:sz w:val="24"/>
              </w:rPr>
            </w:pPr>
          </w:p>
        </w:tc>
        <w:tc>
          <w:tcPr>
            <w:tcW w:w="2051" w:type="dxa"/>
            <w:vMerge w:val="continue"/>
            <w:vAlign w:val="center"/>
          </w:tcPr>
          <w:p w14:paraId="38FBE543">
            <w:pPr>
              <w:spacing w:line="360" w:lineRule="auto"/>
              <w:jc w:val="center"/>
              <w:rPr>
                <w:rFonts w:ascii="宋体" w:hAnsi="宋体" w:cs="宋体"/>
                <w:kern w:val="0"/>
                <w:sz w:val="24"/>
              </w:rPr>
            </w:pPr>
          </w:p>
        </w:tc>
        <w:tc>
          <w:tcPr>
            <w:tcW w:w="2061" w:type="dxa"/>
            <w:vAlign w:val="center"/>
          </w:tcPr>
          <w:p w14:paraId="15EB8248">
            <w:pPr>
              <w:spacing w:line="360" w:lineRule="auto"/>
              <w:jc w:val="center"/>
              <w:rPr>
                <w:rFonts w:ascii="宋体" w:hAnsi="宋体" w:cs="宋体"/>
                <w:kern w:val="0"/>
                <w:sz w:val="24"/>
              </w:rPr>
            </w:pPr>
            <w:r>
              <w:rPr>
                <w:rFonts w:hint="eastAsia" w:ascii="宋体" w:hAnsi="宋体" w:cs="宋体"/>
                <w:sz w:val="24"/>
              </w:rPr>
              <w:t>投诉调解处理效果</w:t>
            </w:r>
          </w:p>
        </w:tc>
        <w:tc>
          <w:tcPr>
            <w:tcW w:w="1987" w:type="dxa"/>
            <w:vAlign w:val="center"/>
          </w:tcPr>
          <w:p w14:paraId="24C2AE05">
            <w:pPr>
              <w:spacing w:line="360" w:lineRule="auto"/>
              <w:jc w:val="center"/>
              <w:rPr>
                <w:rFonts w:ascii="宋体" w:hAnsi="宋体" w:cs="宋体"/>
                <w:kern w:val="0"/>
                <w:sz w:val="24"/>
              </w:rPr>
            </w:pPr>
            <w:r>
              <w:rPr>
                <w:rFonts w:hint="eastAsia" w:ascii="宋体" w:hAnsi="宋体" w:cs="宋体"/>
                <w:sz w:val="24"/>
              </w:rPr>
              <w:t>较好</w:t>
            </w:r>
          </w:p>
        </w:tc>
        <w:tc>
          <w:tcPr>
            <w:tcW w:w="1799" w:type="dxa"/>
            <w:vAlign w:val="center"/>
          </w:tcPr>
          <w:p w14:paraId="6629B74A">
            <w:pPr>
              <w:spacing w:line="360" w:lineRule="auto"/>
              <w:jc w:val="center"/>
              <w:rPr>
                <w:rFonts w:ascii="宋体" w:hAnsi="宋体" w:cs="宋体"/>
                <w:kern w:val="0"/>
                <w:sz w:val="24"/>
              </w:rPr>
            </w:pPr>
            <w:r>
              <w:rPr>
                <w:rFonts w:hint="eastAsia" w:ascii="宋体" w:hAnsi="宋体" w:cs="宋体"/>
                <w:sz w:val="24"/>
              </w:rPr>
              <w:t>较好</w:t>
            </w:r>
          </w:p>
        </w:tc>
        <w:tc>
          <w:tcPr>
            <w:tcW w:w="1866" w:type="dxa"/>
            <w:vAlign w:val="center"/>
          </w:tcPr>
          <w:p w14:paraId="47BF32FD">
            <w:pPr>
              <w:spacing w:line="360" w:lineRule="auto"/>
              <w:jc w:val="center"/>
              <w:rPr>
                <w:rFonts w:ascii="宋体" w:hAnsi="宋体" w:cs="宋体"/>
                <w:kern w:val="0"/>
                <w:sz w:val="24"/>
              </w:rPr>
            </w:pPr>
            <w:r>
              <w:rPr>
                <w:rFonts w:hint="eastAsia" w:ascii="宋体" w:hAnsi="宋体" w:cs="宋体"/>
                <w:sz w:val="24"/>
              </w:rPr>
              <w:t>审计报告</w:t>
            </w:r>
          </w:p>
        </w:tc>
        <w:tc>
          <w:tcPr>
            <w:tcW w:w="1787" w:type="dxa"/>
            <w:vAlign w:val="center"/>
          </w:tcPr>
          <w:p w14:paraId="3B4EC55D">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405894EE">
            <w:pPr>
              <w:spacing w:line="360" w:lineRule="auto"/>
              <w:rPr>
                <w:rFonts w:ascii="宋体" w:hAnsi="宋体" w:cs="宋体"/>
                <w:kern w:val="0"/>
                <w:sz w:val="22"/>
              </w:rPr>
            </w:pPr>
          </w:p>
        </w:tc>
      </w:tr>
      <w:tr w14:paraId="0491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6676EED8">
            <w:pPr>
              <w:spacing w:line="360" w:lineRule="auto"/>
              <w:jc w:val="center"/>
              <w:rPr>
                <w:rFonts w:ascii="宋体" w:hAnsi="宋体" w:cs="宋体"/>
                <w:kern w:val="0"/>
                <w:sz w:val="24"/>
              </w:rPr>
            </w:pPr>
          </w:p>
        </w:tc>
        <w:tc>
          <w:tcPr>
            <w:tcW w:w="2051" w:type="dxa"/>
            <w:vMerge w:val="continue"/>
            <w:vAlign w:val="center"/>
          </w:tcPr>
          <w:p w14:paraId="76C73E61">
            <w:pPr>
              <w:spacing w:line="360" w:lineRule="auto"/>
              <w:jc w:val="center"/>
              <w:rPr>
                <w:rFonts w:ascii="宋体" w:hAnsi="宋体" w:cs="宋体"/>
                <w:kern w:val="0"/>
                <w:sz w:val="24"/>
              </w:rPr>
            </w:pPr>
          </w:p>
        </w:tc>
        <w:tc>
          <w:tcPr>
            <w:tcW w:w="2061" w:type="dxa"/>
            <w:vAlign w:val="center"/>
          </w:tcPr>
          <w:p w14:paraId="16DDFE16">
            <w:pPr>
              <w:spacing w:line="360" w:lineRule="auto"/>
              <w:jc w:val="center"/>
              <w:rPr>
                <w:rFonts w:ascii="宋体" w:hAnsi="宋体" w:cs="宋体"/>
                <w:kern w:val="0"/>
                <w:sz w:val="24"/>
              </w:rPr>
            </w:pPr>
            <w:r>
              <w:rPr>
                <w:rFonts w:hint="eastAsia" w:ascii="宋体" w:hAnsi="宋体" w:cs="宋体"/>
                <w:sz w:val="24"/>
              </w:rPr>
              <w:t>开展政策宣传活动次数</w:t>
            </w:r>
          </w:p>
        </w:tc>
        <w:tc>
          <w:tcPr>
            <w:tcW w:w="1987" w:type="dxa"/>
            <w:vAlign w:val="center"/>
          </w:tcPr>
          <w:p w14:paraId="5931E5CF">
            <w:pPr>
              <w:spacing w:line="360" w:lineRule="auto"/>
              <w:jc w:val="center"/>
              <w:rPr>
                <w:rFonts w:ascii="宋体" w:hAnsi="宋体" w:cs="宋体"/>
                <w:kern w:val="0"/>
                <w:sz w:val="24"/>
              </w:rPr>
            </w:pPr>
            <w:r>
              <w:rPr>
                <w:rFonts w:hint="eastAsia" w:ascii="宋体" w:hAnsi="宋体" w:cs="宋体"/>
                <w:sz w:val="24"/>
              </w:rPr>
              <w:t>&gt;=10</w:t>
            </w:r>
          </w:p>
        </w:tc>
        <w:tc>
          <w:tcPr>
            <w:tcW w:w="1799" w:type="dxa"/>
            <w:vAlign w:val="center"/>
          </w:tcPr>
          <w:p w14:paraId="2E2816FA">
            <w:pPr>
              <w:spacing w:line="360" w:lineRule="auto"/>
              <w:jc w:val="center"/>
              <w:rPr>
                <w:rFonts w:ascii="宋体" w:hAnsi="宋体" w:cs="宋体"/>
                <w:kern w:val="0"/>
                <w:sz w:val="24"/>
              </w:rPr>
            </w:pPr>
            <w:r>
              <w:rPr>
                <w:rFonts w:hint="eastAsia" w:ascii="宋体" w:hAnsi="宋体" w:cs="宋体"/>
                <w:sz w:val="24"/>
              </w:rPr>
              <w:t>12</w:t>
            </w:r>
          </w:p>
        </w:tc>
        <w:tc>
          <w:tcPr>
            <w:tcW w:w="1866" w:type="dxa"/>
            <w:vAlign w:val="center"/>
          </w:tcPr>
          <w:p w14:paraId="4BBF2EED">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3744AB6D">
            <w:pPr>
              <w:spacing w:line="360" w:lineRule="auto"/>
              <w:jc w:val="center"/>
              <w:rPr>
                <w:rFonts w:ascii="宋体" w:hAnsi="宋体" w:cs="宋体"/>
                <w:kern w:val="0"/>
                <w:sz w:val="24"/>
              </w:rPr>
            </w:pPr>
            <w:r>
              <w:rPr>
                <w:rFonts w:hint="eastAsia" w:ascii="宋体" w:hAnsi="宋体" w:cs="宋体"/>
                <w:sz w:val="24"/>
              </w:rPr>
              <w:t>20.00%</w:t>
            </w:r>
          </w:p>
        </w:tc>
        <w:tc>
          <w:tcPr>
            <w:tcW w:w="1071" w:type="dxa"/>
          </w:tcPr>
          <w:p w14:paraId="26402294">
            <w:pPr>
              <w:spacing w:line="360" w:lineRule="auto"/>
              <w:rPr>
                <w:rFonts w:ascii="宋体" w:hAnsi="宋体" w:cs="宋体"/>
                <w:kern w:val="0"/>
                <w:sz w:val="22"/>
              </w:rPr>
            </w:pPr>
            <w:r>
              <w:rPr>
                <w:rFonts w:hint="eastAsia" w:ascii="宋体" w:hAnsi="宋体" w:cs="宋体"/>
                <w:sz w:val="24"/>
              </w:rPr>
              <w:t>此项指标已达目标值。</w:t>
            </w:r>
          </w:p>
        </w:tc>
      </w:tr>
      <w:tr w14:paraId="24E2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5EDF7EC">
            <w:pPr>
              <w:spacing w:line="360" w:lineRule="auto"/>
              <w:jc w:val="center"/>
              <w:rPr>
                <w:rFonts w:ascii="宋体" w:hAnsi="宋体" w:cs="宋体"/>
                <w:kern w:val="0"/>
                <w:sz w:val="24"/>
              </w:rPr>
            </w:pPr>
          </w:p>
        </w:tc>
        <w:tc>
          <w:tcPr>
            <w:tcW w:w="2051" w:type="dxa"/>
            <w:vMerge w:val="continue"/>
            <w:vAlign w:val="center"/>
          </w:tcPr>
          <w:p w14:paraId="29853E36">
            <w:pPr>
              <w:spacing w:line="360" w:lineRule="auto"/>
              <w:jc w:val="center"/>
              <w:rPr>
                <w:rFonts w:ascii="宋体" w:hAnsi="宋体" w:cs="宋体"/>
                <w:kern w:val="0"/>
                <w:sz w:val="24"/>
              </w:rPr>
            </w:pPr>
          </w:p>
        </w:tc>
        <w:tc>
          <w:tcPr>
            <w:tcW w:w="2061" w:type="dxa"/>
            <w:vAlign w:val="center"/>
          </w:tcPr>
          <w:p w14:paraId="38134572">
            <w:pPr>
              <w:spacing w:line="360" w:lineRule="auto"/>
              <w:jc w:val="center"/>
              <w:rPr>
                <w:rFonts w:ascii="宋体" w:hAnsi="宋体" w:cs="宋体"/>
                <w:kern w:val="0"/>
                <w:sz w:val="24"/>
              </w:rPr>
            </w:pPr>
            <w:r>
              <w:rPr>
                <w:rFonts w:hint="eastAsia" w:ascii="宋体" w:hAnsi="宋体" w:cs="宋体"/>
                <w:sz w:val="24"/>
              </w:rPr>
              <w:t>办理异地公积金转移接续</w:t>
            </w:r>
          </w:p>
        </w:tc>
        <w:tc>
          <w:tcPr>
            <w:tcW w:w="1987" w:type="dxa"/>
            <w:vAlign w:val="center"/>
          </w:tcPr>
          <w:p w14:paraId="2F3E7CE9">
            <w:pPr>
              <w:spacing w:line="360" w:lineRule="auto"/>
              <w:jc w:val="center"/>
              <w:rPr>
                <w:rFonts w:ascii="宋体" w:hAnsi="宋体" w:cs="宋体"/>
                <w:kern w:val="0"/>
                <w:sz w:val="24"/>
              </w:rPr>
            </w:pPr>
            <w:r>
              <w:rPr>
                <w:rFonts w:hint="eastAsia" w:ascii="宋体" w:hAnsi="宋体" w:cs="宋体"/>
                <w:sz w:val="24"/>
              </w:rPr>
              <w:t>&gt;=11000</w:t>
            </w:r>
          </w:p>
        </w:tc>
        <w:tc>
          <w:tcPr>
            <w:tcW w:w="1799" w:type="dxa"/>
            <w:vAlign w:val="center"/>
          </w:tcPr>
          <w:p w14:paraId="23FC41AC">
            <w:pPr>
              <w:spacing w:line="360" w:lineRule="auto"/>
              <w:jc w:val="center"/>
              <w:rPr>
                <w:rFonts w:ascii="宋体" w:hAnsi="宋体" w:cs="宋体"/>
                <w:kern w:val="0"/>
                <w:sz w:val="24"/>
              </w:rPr>
            </w:pPr>
            <w:r>
              <w:rPr>
                <w:rFonts w:hint="eastAsia" w:ascii="宋体" w:hAnsi="宋体" w:cs="宋体"/>
                <w:sz w:val="24"/>
              </w:rPr>
              <w:t>12682</w:t>
            </w:r>
          </w:p>
        </w:tc>
        <w:tc>
          <w:tcPr>
            <w:tcW w:w="1866" w:type="dxa"/>
            <w:vAlign w:val="center"/>
          </w:tcPr>
          <w:p w14:paraId="36F5034E">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159B30F4">
            <w:pPr>
              <w:spacing w:line="360" w:lineRule="auto"/>
              <w:jc w:val="center"/>
              <w:rPr>
                <w:rFonts w:ascii="宋体" w:hAnsi="宋体" w:cs="宋体"/>
                <w:kern w:val="0"/>
                <w:sz w:val="24"/>
              </w:rPr>
            </w:pPr>
            <w:r>
              <w:rPr>
                <w:rFonts w:hint="eastAsia" w:ascii="宋体" w:hAnsi="宋体" w:cs="宋体"/>
                <w:sz w:val="24"/>
              </w:rPr>
              <w:t>15.29%</w:t>
            </w:r>
          </w:p>
        </w:tc>
        <w:tc>
          <w:tcPr>
            <w:tcW w:w="1071" w:type="dxa"/>
          </w:tcPr>
          <w:p w14:paraId="0EE775CE">
            <w:pPr>
              <w:spacing w:line="360" w:lineRule="auto"/>
              <w:rPr>
                <w:rFonts w:ascii="宋体" w:hAnsi="宋体" w:cs="宋体"/>
                <w:kern w:val="0"/>
                <w:sz w:val="22"/>
              </w:rPr>
            </w:pPr>
            <w:r>
              <w:rPr>
                <w:rFonts w:hint="eastAsia" w:ascii="宋体" w:hAnsi="宋体" w:cs="宋体"/>
                <w:sz w:val="24"/>
              </w:rPr>
              <w:t>此项指标已达目标值。</w:t>
            </w:r>
          </w:p>
        </w:tc>
      </w:tr>
      <w:tr w14:paraId="760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5B8B7A35">
            <w:pPr>
              <w:spacing w:line="360" w:lineRule="auto"/>
              <w:jc w:val="center"/>
              <w:rPr>
                <w:rFonts w:ascii="宋体" w:hAnsi="宋体" w:cs="宋体"/>
                <w:kern w:val="0"/>
                <w:sz w:val="24"/>
              </w:rPr>
            </w:pPr>
          </w:p>
        </w:tc>
        <w:tc>
          <w:tcPr>
            <w:tcW w:w="2051" w:type="dxa"/>
            <w:vMerge w:val="continue"/>
            <w:vAlign w:val="center"/>
          </w:tcPr>
          <w:p w14:paraId="03A2C997">
            <w:pPr>
              <w:spacing w:line="360" w:lineRule="auto"/>
              <w:jc w:val="center"/>
              <w:rPr>
                <w:rFonts w:ascii="宋体" w:hAnsi="宋体" w:cs="宋体"/>
                <w:kern w:val="0"/>
                <w:sz w:val="24"/>
              </w:rPr>
            </w:pPr>
          </w:p>
        </w:tc>
        <w:tc>
          <w:tcPr>
            <w:tcW w:w="2061" w:type="dxa"/>
            <w:vAlign w:val="center"/>
          </w:tcPr>
          <w:p w14:paraId="7E202ABD">
            <w:pPr>
              <w:spacing w:line="360" w:lineRule="auto"/>
              <w:jc w:val="center"/>
              <w:rPr>
                <w:rFonts w:ascii="宋体" w:hAnsi="宋体" w:cs="宋体"/>
                <w:kern w:val="0"/>
                <w:sz w:val="24"/>
              </w:rPr>
            </w:pPr>
            <w:r>
              <w:rPr>
                <w:rFonts w:hint="eastAsia" w:ascii="宋体" w:hAnsi="宋体" w:cs="宋体"/>
                <w:sz w:val="24"/>
              </w:rPr>
              <w:t>年度贷款发放额</w:t>
            </w:r>
          </w:p>
        </w:tc>
        <w:tc>
          <w:tcPr>
            <w:tcW w:w="1987" w:type="dxa"/>
            <w:vAlign w:val="center"/>
          </w:tcPr>
          <w:p w14:paraId="1D1F23AC">
            <w:pPr>
              <w:spacing w:line="360" w:lineRule="auto"/>
              <w:jc w:val="center"/>
              <w:rPr>
                <w:rFonts w:ascii="宋体" w:hAnsi="宋体" w:cs="宋体"/>
                <w:kern w:val="0"/>
                <w:sz w:val="24"/>
              </w:rPr>
            </w:pPr>
            <w:r>
              <w:rPr>
                <w:rFonts w:hint="eastAsia" w:ascii="宋体" w:hAnsi="宋体" w:cs="宋体"/>
                <w:sz w:val="24"/>
              </w:rPr>
              <w:t>&gt;=22.5</w:t>
            </w:r>
          </w:p>
        </w:tc>
        <w:tc>
          <w:tcPr>
            <w:tcW w:w="1799" w:type="dxa"/>
            <w:vAlign w:val="center"/>
          </w:tcPr>
          <w:p w14:paraId="39F4ED15">
            <w:pPr>
              <w:spacing w:line="360" w:lineRule="auto"/>
              <w:jc w:val="center"/>
              <w:rPr>
                <w:rFonts w:ascii="宋体" w:hAnsi="宋体" w:cs="宋体"/>
                <w:kern w:val="0"/>
                <w:sz w:val="24"/>
              </w:rPr>
            </w:pPr>
            <w:r>
              <w:rPr>
                <w:rFonts w:hint="eastAsia" w:ascii="宋体" w:hAnsi="宋体" w:cs="宋体"/>
                <w:sz w:val="24"/>
              </w:rPr>
              <w:t>55.81</w:t>
            </w:r>
          </w:p>
        </w:tc>
        <w:tc>
          <w:tcPr>
            <w:tcW w:w="1866" w:type="dxa"/>
            <w:vAlign w:val="center"/>
          </w:tcPr>
          <w:p w14:paraId="3C3C0C8E">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15055E71">
            <w:pPr>
              <w:spacing w:line="360" w:lineRule="auto"/>
              <w:jc w:val="center"/>
              <w:rPr>
                <w:rFonts w:ascii="宋体" w:hAnsi="宋体" w:cs="宋体"/>
                <w:kern w:val="0"/>
                <w:sz w:val="24"/>
              </w:rPr>
            </w:pPr>
            <w:r>
              <w:rPr>
                <w:rFonts w:hint="eastAsia" w:ascii="宋体" w:hAnsi="宋体" w:cs="宋体"/>
                <w:sz w:val="24"/>
              </w:rPr>
              <w:t>148.04%</w:t>
            </w:r>
          </w:p>
        </w:tc>
        <w:tc>
          <w:tcPr>
            <w:tcW w:w="1071" w:type="dxa"/>
          </w:tcPr>
          <w:p w14:paraId="3942E4DB">
            <w:pPr>
              <w:spacing w:line="360" w:lineRule="auto"/>
              <w:rPr>
                <w:rFonts w:ascii="宋体" w:hAnsi="宋体" w:cs="宋体"/>
                <w:kern w:val="0"/>
                <w:sz w:val="22"/>
              </w:rPr>
            </w:pPr>
            <w:r>
              <w:rPr>
                <w:rFonts w:hint="eastAsia" w:ascii="宋体" w:hAnsi="宋体" w:cs="宋体"/>
                <w:sz w:val="24"/>
              </w:rPr>
              <w:t>上调公积金贷款最高限额、下调贷款利率、跨区域购房享受首套房贷款利率、降低首付比例、加大军人贷款支持力度，拓宽支持范围、助力城市更新，促进房地产市场平稳健康发展。</w:t>
            </w:r>
          </w:p>
        </w:tc>
      </w:tr>
      <w:tr w14:paraId="0777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C03C99D">
            <w:pPr>
              <w:spacing w:line="360" w:lineRule="auto"/>
              <w:jc w:val="center"/>
              <w:rPr>
                <w:rFonts w:ascii="宋体" w:hAnsi="宋体" w:cs="宋体"/>
                <w:kern w:val="0"/>
                <w:sz w:val="24"/>
              </w:rPr>
            </w:pPr>
          </w:p>
        </w:tc>
        <w:tc>
          <w:tcPr>
            <w:tcW w:w="2051" w:type="dxa"/>
            <w:vMerge w:val="continue"/>
            <w:vAlign w:val="center"/>
          </w:tcPr>
          <w:p w14:paraId="79308292">
            <w:pPr>
              <w:spacing w:line="360" w:lineRule="auto"/>
              <w:jc w:val="center"/>
              <w:rPr>
                <w:rFonts w:ascii="宋体" w:hAnsi="宋体" w:cs="宋体"/>
                <w:kern w:val="0"/>
                <w:sz w:val="24"/>
              </w:rPr>
            </w:pPr>
          </w:p>
        </w:tc>
        <w:tc>
          <w:tcPr>
            <w:tcW w:w="2061" w:type="dxa"/>
            <w:vAlign w:val="center"/>
          </w:tcPr>
          <w:p w14:paraId="22685B49">
            <w:pPr>
              <w:spacing w:line="360" w:lineRule="auto"/>
              <w:jc w:val="center"/>
              <w:rPr>
                <w:rFonts w:ascii="宋体" w:hAnsi="宋体" w:cs="宋体"/>
                <w:kern w:val="0"/>
                <w:sz w:val="24"/>
              </w:rPr>
            </w:pPr>
            <w:r>
              <w:rPr>
                <w:rFonts w:hint="eastAsia" w:ascii="宋体" w:hAnsi="宋体" w:cs="宋体"/>
                <w:sz w:val="24"/>
              </w:rPr>
              <w:t>银行进驻公积金大厅窗口数量</w:t>
            </w:r>
          </w:p>
        </w:tc>
        <w:tc>
          <w:tcPr>
            <w:tcW w:w="1987" w:type="dxa"/>
            <w:vAlign w:val="center"/>
          </w:tcPr>
          <w:p w14:paraId="5BEBD34D">
            <w:pPr>
              <w:spacing w:line="360" w:lineRule="auto"/>
              <w:jc w:val="center"/>
              <w:rPr>
                <w:rFonts w:ascii="宋体" w:hAnsi="宋体" w:cs="宋体"/>
                <w:kern w:val="0"/>
                <w:sz w:val="24"/>
              </w:rPr>
            </w:pPr>
            <w:r>
              <w:rPr>
                <w:rFonts w:hint="eastAsia" w:ascii="宋体" w:hAnsi="宋体" w:cs="宋体"/>
                <w:sz w:val="24"/>
              </w:rPr>
              <w:t>&gt;=24</w:t>
            </w:r>
          </w:p>
        </w:tc>
        <w:tc>
          <w:tcPr>
            <w:tcW w:w="1799" w:type="dxa"/>
            <w:vAlign w:val="center"/>
          </w:tcPr>
          <w:p w14:paraId="01E033B6">
            <w:pPr>
              <w:spacing w:line="360" w:lineRule="auto"/>
              <w:jc w:val="center"/>
              <w:rPr>
                <w:rFonts w:ascii="宋体" w:hAnsi="宋体" w:cs="宋体"/>
                <w:kern w:val="0"/>
                <w:sz w:val="24"/>
              </w:rPr>
            </w:pPr>
            <w:r>
              <w:rPr>
                <w:rFonts w:hint="eastAsia" w:ascii="宋体" w:hAnsi="宋体" w:cs="宋体"/>
                <w:sz w:val="24"/>
              </w:rPr>
              <w:t>25</w:t>
            </w:r>
          </w:p>
        </w:tc>
        <w:tc>
          <w:tcPr>
            <w:tcW w:w="1866" w:type="dxa"/>
            <w:vAlign w:val="center"/>
          </w:tcPr>
          <w:p w14:paraId="2FE1D5D8">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7E72A065">
            <w:pPr>
              <w:spacing w:line="360" w:lineRule="auto"/>
              <w:jc w:val="center"/>
              <w:rPr>
                <w:rFonts w:ascii="宋体" w:hAnsi="宋体" w:cs="宋体"/>
                <w:kern w:val="0"/>
                <w:sz w:val="24"/>
              </w:rPr>
            </w:pPr>
            <w:r>
              <w:rPr>
                <w:rFonts w:hint="eastAsia" w:ascii="宋体" w:hAnsi="宋体" w:cs="宋体"/>
                <w:sz w:val="24"/>
              </w:rPr>
              <w:t>4.17%</w:t>
            </w:r>
          </w:p>
        </w:tc>
        <w:tc>
          <w:tcPr>
            <w:tcW w:w="1071" w:type="dxa"/>
          </w:tcPr>
          <w:p w14:paraId="173036CC">
            <w:pPr>
              <w:spacing w:line="360" w:lineRule="auto"/>
              <w:rPr>
                <w:rFonts w:ascii="宋体" w:hAnsi="宋体" w:cs="宋体"/>
                <w:kern w:val="0"/>
                <w:sz w:val="22"/>
              </w:rPr>
            </w:pPr>
            <w:r>
              <w:rPr>
                <w:rFonts w:hint="eastAsia" w:ascii="宋体" w:hAnsi="宋体" w:cs="宋体"/>
                <w:sz w:val="24"/>
              </w:rPr>
              <w:t>进驻大厅银行类别及人员已达目标值。</w:t>
            </w:r>
          </w:p>
        </w:tc>
      </w:tr>
      <w:tr w14:paraId="515B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425C570F">
            <w:pPr>
              <w:spacing w:line="360" w:lineRule="auto"/>
              <w:jc w:val="center"/>
              <w:rPr>
                <w:rFonts w:ascii="宋体" w:hAnsi="宋体" w:cs="宋体"/>
                <w:kern w:val="0"/>
                <w:sz w:val="24"/>
              </w:rPr>
            </w:pPr>
          </w:p>
        </w:tc>
        <w:tc>
          <w:tcPr>
            <w:tcW w:w="2051" w:type="dxa"/>
            <w:vMerge w:val="continue"/>
            <w:vAlign w:val="center"/>
          </w:tcPr>
          <w:p w14:paraId="686F8464">
            <w:pPr>
              <w:spacing w:line="360" w:lineRule="auto"/>
              <w:jc w:val="center"/>
              <w:rPr>
                <w:rFonts w:ascii="宋体" w:hAnsi="宋体" w:cs="宋体"/>
                <w:kern w:val="0"/>
                <w:sz w:val="24"/>
              </w:rPr>
            </w:pPr>
          </w:p>
        </w:tc>
        <w:tc>
          <w:tcPr>
            <w:tcW w:w="2061" w:type="dxa"/>
            <w:vAlign w:val="center"/>
          </w:tcPr>
          <w:p w14:paraId="3976115E">
            <w:pPr>
              <w:spacing w:line="360" w:lineRule="auto"/>
              <w:jc w:val="center"/>
              <w:rPr>
                <w:rFonts w:ascii="宋体" w:hAnsi="宋体" w:cs="宋体"/>
                <w:kern w:val="0"/>
                <w:sz w:val="24"/>
              </w:rPr>
            </w:pPr>
            <w:r>
              <w:rPr>
                <w:rFonts w:hint="eastAsia" w:ascii="宋体" w:hAnsi="宋体" w:cs="宋体"/>
                <w:sz w:val="24"/>
              </w:rPr>
              <w:t>年度提取额</w:t>
            </w:r>
          </w:p>
        </w:tc>
        <w:tc>
          <w:tcPr>
            <w:tcW w:w="1987" w:type="dxa"/>
            <w:vAlign w:val="center"/>
          </w:tcPr>
          <w:p w14:paraId="5314DFED">
            <w:pPr>
              <w:spacing w:line="360" w:lineRule="auto"/>
              <w:jc w:val="center"/>
              <w:rPr>
                <w:rFonts w:ascii="宋体" w:hAnsi="宋体" w:cs="宋体"/>
                <w:kern w:val="0"/>
                <w:sz w:val="24"/>
              </w:rPr>
            </w:pPr>
            <w:r>
              <w:rPr>
                <w:rFonts w:hint="eastAsia" w:ascii="宋体" w:hAnsi="宋体" w:cs="宋体"/>
                <w:sz w:val="24"/>
              </w:rPr>
              <w:t>&gt;=38</w:t>
            </w:r>
          </w:p>
        </w:tc>
        <w:tc>
          <w:tcPr>
            <w:tcW w:w="1799" w:type="dxa"/>
            <w:vAlign w:val="center"/>
          </w:tcPr>
          <w:p w14:paraId="39879D08">
            <w:pPr>
              <w:spacing w:line="360" w:lineRule="auto"/>
              <w:jc w:val="center"/>
              <w:rPr>
                <w:rFonts w:ascii="宋体" w:hAnsi="宋体" w:cs="宋体"/>
                <w:kern w:val="0"/>
                <w:sz w:val="24"/>
              </w:rPr>
            </w:pPr>
            <w:r>
              <w:rPr>
                <w:rFonts w:hint="eastAsia" w:ascii="宋体" w:hAnsi="宋体" w:cs="宋体"/>
                <w:sz w:val="24"/>
              </w:rPr>
              <w:t>40.53</w:t>
            </w:r>
          </w:p>
        </w:tc>
        <w:tc>
          <w:tcPr>
            <w:tcW w:w="1866" w:type="dxa"/>
            <w:vAlign w:val="center"/>
          </w:tcPr>
          <w:p w14:paraId="6906229D">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45B95E2F">
            <w:pPr>
              <w:spacing w:line="360" w:lineRule="auto"/>
              <w:jc w:val="center"/>
              <w:rPr>
                <w:rFonts w:ascii="宋体" w:hAnsi="宋体" w:cs="宋体"/>
                <w:kern w:val="0"/>
                <w:sz w:val="24"/>
              </w:rPr>
            </w:pPr>
            <w:r>
              <w:rPr>
                <w:rFonts w:hint="eastAsia" w:ascii="宋体" w:hAnsi="宋体" w:cs="宋体"/>
                <w:sz w:val="24"/>
              </w:rPr>
              <w:t>6.66%</w:t>
            </w:r>
          </w:p>
        </w:tc>
        <w:tc>
          <w:tcPr>
            <w:tcW w:w="1071" w:type="dxa"/>
          </w:tcPr>
          <w:p w14:paraId="1078468B">
            <w:pPr>
              <w:spacing w:line="360" w:lineRule="auto"/>
              <w:rPr>
                <w:rFonts w:ascii="宋体" w:hAnsi="宋体" w:cs="宋体"/>
                <w:kern w:val="0"/>
                <w:sz w:val="22"/>
              </w:rPr>
            </w:pPr>
            <w:r>
              <w:rPr>
                <w:rFonts w:hint="eastAsia" w:ascii="宋体" w:hAnsi="宋体" w:cs="宋体"/>
                <w:sz w:val="24"/>
              </w:rPr>
              <w:t>此项指标已达目标值。</w:t>
            </w:r>
          </w:p>
        </w:tc>
      </w:tr>
      <w:tr w14:paraId="346D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0D61235D">
            <w:pPr>
              <w:spacing w:line="360" w:lineRule="auto"/>
              <w:jc w:val="center"/>
              <w:rPr>
                <w:rFonts w:ascii="宋体" w:hAnsi="宋体" w:cs="宋体"/>
                <w:kern w:val="0"/>
                <w:sz w:val="24"/>
              </w:rPr>
            </w:pPr>
          </w:p>
        </w:tc>
        <w:tc>
          <w:tcPr>
            <w:tcW w:w="2051" w:type="dxa"/>
            <w:vMerge w:val="continue"/>
            <w:vAlign w:val="center"/>
          </w:tcPr>
          <w:p w14:paraId="14F2CB66">
            <w:pPr>
              <w:spacing w:line="360" w:lineRule="auto"/>
              <w:jc w:val="center"/>
              <w:rPr>
                <w:rFonts w:ascii="宋体" w:hAnsi="宋体" w:cs="宋体"/>
                <w:kern w:val="0"/>
                <w:sz w:val="24"/>
              </w:rPr>
            </w:pPr>
          </w:p>
        </w:tc>
        <w:tc>
          <w:tcPr>
            <w:tcW w:w="2061" w:type="dxa"/>
            <w:vAlign w:val="center"/>
          </w:tcPr>
          <w:p w14:paraId="62B57299">
            <w:pPr>
              <w:spacing w:line="360" w:lineRule="auto"/>
              <w:jc w:val="center"/>
              <w:rPr>
                <w:rFonts w:ascii="宋体" w:hAnsi="宋体" w:cs="宋体"/>
                <w:kern w:val="0"/>
                <w:sz w:val="24"/>
              </w:rPr>
            </w:pPr>
            <w:r>
              <w:rPr>
                <w:rFonts w:hint="eastAsia" w:ascii="宋体" w:hAnsi="宋体" w:cs="宋体"/>
                <w:sz w:val="24"/>
              </w:rPr>
              <w:t>年末灵活就业实缴开户人数</w:t>
            </w:r>
          </w:p>
        </w:tc>
        <w:tc>
          <w:tcPr>
            <w:tcW w:w="1987" w:type="dxa"/>
            <w:vAlign w:val="center"/>
          </w:tcPr>
          <w:p w14:paraId="58F0BD49">
            <w:pPr>
              <w:spacing w:line="360" w:lineRule="auto"/>
              <w:jc w:val="center"/>
              <w:rPr>
                <w:rFonts w:ascii="宋体" w:hAnsi="宋体" w:cs="宋体"/>
                <w:kern w:val="0"/>
                <w:sz w:val="24"/>
              </w:rPr>
            </w:pPr>
            <w:r>
              <w:rPr>
                <w:rFonts w:hint="eastAsia" w:ascii="宋体" w:hAnsi="宋体" w:cs="宋体"/>
                <w:sz w:val="24"/>
              </w:rPr>
              <w:t>&gt;=1000</w:t>
            </w:r>
          </w:p>
        </w:tc>
        <w:tc>
          <w:tcPr>
            <w:tcW w:w="1799" w:type="dxa"/>
            <w:vAlign w:val="center"/>
          </w:tcPr>
          <w:p w14:paraId="029C4353">
            <w:pPr>
              <w:spacing w:line="360" w:lineRule="auto"/>
              <w:jc w:val="center"/>
              <w:rPr>
                <w:rFonts w:ascii="宋体" w:hAnsi="宋体" w:cs="宋体"/>
                <w:kern w:val="0"/>
                <w:sz w:val="24"/>
              </w:rPr>
            </w:pPr>
            <w:r>
              <w:rPr>
                <w:rFonts w:hint="eastAsia" w:ascii="宋体" w:hAnsi="宋体" w:cs="宋体"/>
                <w:sz w:val="24"/>
              </w:rPr>
              <w:t>11195</w:t>
            </w:r>
          </w:p>
        </w:tc>
        <w:tc>
          <w:tcPr>
            <w:tcW w:w="1866" w:type="dxa"/>
            <w:vAlign w:val="center"/>
          </w:tcPr>
          <w:p w14:paraId="1EA28A97">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312F4A9F">
            <w:pPr>
              <w:spacing w:line="360" w:lineRule="auto"/>
              <w:jc w:val="center"/>
              <w:rPr>
                <w:rFonts w:ascii="宋体" w:hAnsi="宋体" w:cs="宋体"/>
                <w:kern w:val="0"/>
                <w:sz w:val="24"/>
              </w:rPr>
            </w:pPr>
            <w:r>
              <w:rPr>
                <w:rFonts w:hint="eastAsia" w:ascii="宋体" w:hAnsi="宋体" w:cs="宋体"/>
                <w:sz w:val="24"/>
              </w:rPr>
              <w:t>1019.50%</w:t>
            </w:r>
          </w:p>
        </w:tc>
        <w:tc>
          <w:tcPr>
            <w:tcW w:w="1071" w:type="dxa"/>
          </w:tcPr>
          <w:p w14:paraId="4426832E">
            <w:pPr>
              <w:spacing w:line="360" w:lineRule="auto"/>
              <w:rPr>
                <w:rFonts w:ascii="宋体" w:hAnsi="宋体" w:cs="宋体"/>
                <w:kern w:val="0"/>
                <w:sz w:val="22"/>
              </w:rPr>
            </w:pPr>
            <w:r>
              <w:rPr>
                <w:rFonts w:hint="eastAsia" w:ascii="宋体" w:hAnsi="宋体" w:cs="宋体"/>
                <w:sz w:val="24"/>
              </w:rPr>
              <w:t>主动参与苏州市灵活就业人员参加住房公积金制度试点，用好“六大利好”“八项突破”有力举措，深入宣传、精准推动、靠前服务，支持和保障新业态就业群体安居乐居。</w:t>
            </w:r>
          </w:p>
        </w:tc>
      </w:tr>
      <w:tr w14:paraId="774E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7548BF62">
            <w:pPr>
              <w:spacing w:line="360" w:lineRule="auto"/>
              <w:jc w:val="center"/>
              <w:rPr>
                <w:rFonts w:ascii="宋体" w:hAnsi="宋体" w:cs="宋体"/>
                <w:kern w:val="0"/>
                <w:sz w:val="24"/>
              </w:rPr>
            </w:pPr>
          </w:p>
        </w:tc>
        <w:tc>
          <w:tcPr>
            <w:tcW w:w="2051" w:type="dxa"/>
            <w:vMerge w:val="continue"/>
            <w:vAlign w:val="center"/>
          </w:tcPr>
          <w:p w14:paraId="1F20BEF3">
            <w:pPr>
              <w:spacing w:line="360" w:lineRule="auto"/>
              <w:jc w:val="center"/>
              <w:rPr>
                <w:rFonts w:ascii="宋体" w:hAnsi="宋体" w:cs="宋体"/>
                <w:kern w:val="0"/>
                <w:sz w:val="24"/>
              </w:rPr>
            </w:pPr>
          </w:p>
        </w:tc>
        <w:tc>
          <w:tcPr>
            <w:tcW w:w="2061" w:type="dxa"/>
            <w:vAlign w:val="center"/>
          </w:tcPr>
          <w:p w14:paraId="5C742405">
            <w:pPr>
              <w:spacing w:line="360" w:lineRule="auto"/>
              <w:jc w:val="center"/>
              <w:rPr>
                <w:rFonts w:ascii="宋体" w:hAnsi="宋体" w:cs="宋体"/>
                <w:kern w:val="0"/>
                <w:sz w:val="24"/>
              </w:rPr>
            </w:pPr>
            <w:r>
              <w:rPr>
                <w:rFonts w:hint="eastAsia" w:ascii="宋体" w:hAnsi="宋体" w:cs="宋体"/>
                <w:sz w:val="24"/>
              </w:rPr>
              <w:t>提升行政执法规范化水平</w:t>
            </w:r>
          </w:p>
        </w:tc>
        <w:tc>
          <w:tcPr>
            <w:tcW w:w="1987" w:type="dxa"/>
            <w:vAlign w:val="center"/>
          </w:tcPr>
          <w:p w14:paraId="23242F9C">
            <w:pPr>
              <w:spacing w:line="360" w:lineRule="auto"/>
              <w:jc w:val="center"/>
              <w:rPr>
                <w:rFonts w:ascii="宋体" w:hAnsi="宋体" w:cs="宋体"/>
                <w:kern w:val="0"/>
                <w:sz w:val="24"/>
              </w:rPr>
            </w:pPr>
            <w:r>
              <w:rPr>
                <w:rFonts w:hint="eastAsia" w:ascii="宋体" w:hAnsi="宋体" w:cs="宋体"/>
                <w:sz w:val="24"/>
              </w:rPr>
              <w:t>较显著</w:t>
            </w:r>
          </w:p>
        </w:tc>
        <w:tc>
          <w:tcPr>
            <w:tcW w:w="1799" w:type="dxa"/>
            <w:vAlign w:val="center"/>
          </w:tcPr>
          <w:p w14:paraId="5BBB39D7">
            <w:pPr>
              <w:spacing w:line="360" w:lineRule="auto"/>
              <w:jc w:val="center"/>
              <w:rPr>
                <w:rFonts w:ascii="宋体" w:hAnsi="宋体" w:cs="宋体"/>
                <w:kern w:val="0"/>
                <w:sz w:val="24"/>
              </w:rPr>
            </w:pPr>
            <w:r>
              <w:rPr>
                <w:rFonts w:hint="eastAsia" w:ascii="宋体" w:hAnsi="宋体" w:cs="宋体"/>
                <w:sz w:val="24"/>
              </w:rPr>
              <w:t>较显著</w:t>
            </w:r>
          </w:p>
        </w:tc>
        <w:tc>
          <w:tcPr>
            <w:tcW w:w="1866" w:type="dxa"/>
            <w:vAlign w:val="center"/>
          </w:tcPr>
          <w:p w14:paraId="26C138ED">
            <w:pPr>
              <w:spacing w:line="360" w:lineRule="auto"/>
              <w:jc w:val="center"/>
              <w:rPr>
                <w:rFonts w:ascii="宋体" w:hAnsi="宋体" w:cs="宋体"/>
                <w:kern w:val="0"/>
                <w:sz w:val="24"/>
              </w:rPr>
            </w:pPr>
            <w:r>
              <w:rPr>
                <w:rFonts w:hint="eastAsia" w:ascii="宋体" w:hAnsi="宋体" w:cs="宋体"/>
                <w:sz w:val="24"/>
              </w:rPr>
              <w:t>文件</w:t>
            </w:r>
          </w:p>
        </w:tc>
        <w:tc>
          <w:tcPr>
            <w:tcW w:w="1787" w:type="dxa"/>
            <w:vAlign w:val="center"/>
          </w:tcPr>
          <w:p w14:paraId="6E2BAB39">
            <w:pPr>
              <w:spacing w:line="360" w:lineRule="auto"/>
              <w:jc w:val="center"/>
              <w:rPr>
                <w:rFonts w:ascii="宋体" w:hAnsi="宋体" w:cs="宋体"/>
                <w:kern w:val="0"/>
                <w:sz w:val="24"/>
              </w:rPr>
            </w:pPr>
            <w:r>
              <w:rPr>
                <w:rFonts w:hint="eastAsia" w:ascii="宋体" w:hAnsi="宋体" w:cs="宋体"/>
                <w:sz w:val="24"/>
              </w:rPr>
              <w:t>0%</w:t>
            </w:r>
          </w:p>
        </w:tc>
        <w:tc>
          <w:tcPr>
            <w:tcW w:w="1071" w:type="dxa"/>
          </w:tcPr>
          <w:p w14:paraId="30B2A04C">
            <w:pPr>
              <w:spacing w:line="360" w:lineRule="auto"/>
              <w:rPr>
                <w:rFonts w:ascii="宋体" w:hAnsi="宋体" w:cs="宋体"/>
                <w:kern w:val="0"/>
                <w:sz w:val="22"/>
              </w:rPr>
            </w:pPr>
          </w:p>
        </w:tc>
      </w:tr>
      <w:tr w14:paraId="355C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67" w:type="dxa"/>
            <w:vMerge w:val="continue"/>
            <w:vAlign w:val="center"/>
          </w:tcPr>
          <w:p w14:paraId="230478C1">
            <w:pPr>
              <w:spacing w:line="360" w:lineRule="auto"/>
              <w:jc w:val="center"/>
              <w:rPr>
                <w:rFonts w:ascii="宋体" w:hAnsi="宋体" w:cs="宋体"/>
                <w:kern w:val="0"/>
                <w:sz w:val="24"/>
              </w:rPr>
            </w:pPr>
          </w:p>
        </w:tc>
        <w:tc>
          <w:tcPr>
            <w:tcW w:w="2051" w:type="dxa"/>
            <w:vMerge w:val="continue"/>
            <w:vAlign w:val="center"/>
          </w:tcPr>
          <w:p w14:paraId="3AAC0401">
            <w:pPr>
              <w:spacing w:line="360" w:lineRule="auto"/>
              <w:jc w:val="center"/>
              <w:rPr>
                <w:rFonts w:ascii="宋体" w:hAnsi="宋体" w:cs="宋体"/>
                <w:kern w:val="0"/>
                <w:sz w:val="24"/>
              </w:rPr>
            </w:pPr>
          </w:p>
        </w:tc>
        <w:tc>
          <w:tcPr>
            <w:tcW w:w="2061" w:type="dxa"/>
            <w:vAlign w:val="center"/>
          </w:tcPr>
          <w:p w14:paraId="288072A5">
            <w:pPr>
              <w:spacing w:line="360" w:lineRule="auto"/>
              <w:jc w:val="center"/>
              <w:rPr>
                <w:rFonts w:ascii="宋体" w:hAnsi="宋体" w:cs="宋体"/>
                <w:kern w:val="0"/>
                <w:sz w:val="24"/>
              </w:rPr>
            </w:pPr>
            <w:r>
              <w:rPr>
                <w:rFonts w:hint="eastAsia" w:ascii="宋体" w:hAnsi="宋体" w:cs="宋体"/>
                <w:sz w:val="24"/>
              </w:rPr>
              <w:t>个人基数调整率</w:t>
            </w:r>
          </w:p>
        </w:tc>
        <w:tc>
          <w:tcPr>
            <w:tcW w:w="1987" w:type="dxa"/>
            <w:vAlign w:val="center"/>
          </w:tcPr>
          <w:p w14:paraId="6B6FDB6A">
            <w:pPr>
              <w:spacing w:line="360" w:lineRule="auto"/>
              <w:jc w:val="center"/>
              <w:rPr>
                <w:rFonts w:ascii="宋体" w:hAnsi="宋体" w:cs="宋体"/>
                <w:kern w:val="0"/>
                <w:sz w:val="24"/>
              </w:rPr>
            </w:pPr>
            <w:r>
              <w:rPr>
                <w:rFonts w:hint="eastAsia" w:ascii="宋体" w:hAnsi="宋体" w:cs="宋体"/>
                <w:sz w:val="24"/>
              </w:rPr>
              <w:t>&gt;=72</w:t>
            </w:r>
          </w:p>
        </w:tc>
        <w:tc>
          <w:tcPr>
            <w:tcW w:w="1799" w:type="dxa"/>
            <w:vAlign w:val="center"/>
          </w:tcPr>
          <w:p w14:paraId="5311E5AE">
            <w:pPr>
              <w:spacing w:line="360" w:lineRule="auto"/>
              <w:jc w:val="center"/>
              <w:rPr>
                <w:rFonts w:ascii="宋体" w:hAnsi="宋体" w:cs="宋体"/>
                <w:kern w:val="0"/>
                <w:sz w:val="24"/>
              </w:rPr>
            </w:pPr>
            <w:r>
              <w:rPr>
                <w:rFonts w:hint="eastAsia" w:ascii="宋体" w:hAnsi="宋体" w:cs="宋体"/>
                <w:sz w:val="24"/>
              </w:rPr>
              <w:t>85</w:t>
            </w:r>
          </w:p>
        </w:tc>
        <w:tc>
          <w:tcPr>
            <w:tcW w:w="1866" w:type="dxa"/>
            <w:vAlign w:val="center"/>
          </w:tcPr>
          <w:p w14:paraId="45C2F4FD">
            <w:pPr>
              <w:spacing w:line="360" w:lineRule="auto"/>
              <w:jc w:val="center"/>
              <w:rPr>
                <w:rFonts w:ascii="宋体" w:hAnsi="宋体" w:cs="宋体"/>
                <w:kern w:val="0"/>
                <w:sz w:val="24"/>
              </w:rPr>
            </w:pPr>
            <w:r>
              <w:rPr>
                <w:rFonts w:hint="eastAsia" w:ascii="宋体" w:hAnsi="宋体" w:cs="宋体"/>
                <w:sz w:val="24"/>
              </w:rPr>
              <w:t>报表</w:t>
            </w:r>
          </w:p>
        </w:tc>
        <w:tc>
          <w:tcPr>
            <w:tcW w:w="1787" w:type="dxa"/>
            <w:vAlign w:val="center"/>
          </w:tcPr>
          <w:p w14:paraId="27E8E741">
            <w:pPr>
              <w:spacing w:line="360" w:lineRule="auto"/>
              <w:jc w:val="center"/>
              <w:rPr>
                <w:rFonts w:ascii="宋体" w:hAnsi="宋体" w:cs="宋体"/>
                <w:kern w:val="0"/>
                <w:sz w:val="24"/>
              </w:rPr>
            </w:pPr>
            <w:r>
              <w:rPr>
                <w:rFonts w:hint="eastAsia" w:ascii="宋体" w:hAnsi="宋体" w:cs="宋体"/>
                <w:sz w:val="24"/>
              </w:rPr>
              <w:t>18.06%</w:t>
            </w:r>
          </w:p>
        </w:tc>
        <w:tc>
          <w:tcPr>
            <w:tcW w:w="1071" w:type="dxa"/>
          </w:tcPr>
          <w:p w14:paraId="3580E885">
            <w:pPr>
              <w:spacing w:line="360" w:lineRule="auto"/>
              <w:rPr>
                <w:rFonts w:ascii="宋体" w:hAnsi="宋体" w:cs="宋体"/>
                <w:kern w:val="0"/>
                <w:sz w:val="22"/>
              </w:rPr>
            </w:pPr>
            <w:r>
              <w:rPr>
                <w:rFonts w:hint="eastAsia" w:ascii="宋体" w:hAnsi="宋体" w:cs="宋体"/>
                <w:sz w:val="24"/>
              </w:rPr>
              <w:t>此项指标已达目标值。</w:t>
            </w:r>
          </w:p>
        </w:tc>
      </w:tr>
    </w:tbl>
    <w:p w14:paraId="556E831D">
      <w:pPr>
        <w:spacing w:line="360" w:lineRule="auto"/>
        <w:ind w:left="600"/>
        <w:rPr>
          <w:rFonts w:ascii="黑体" w:hAnsi="黑体" w:eastAsia="黑体"/>
          <w:sz w:val="30"/>
        </w:rPr>
      </w:pPr>
    </w:p>
    <w:sectPr>
      <w:headerReference r:id="rId7" w:type="default"/>
      <w:footerReference r:id="rId8" w:type="default"/>
      <w:pgSz w:w="16840" w:h="11907" w:orient="landscape"/>
      <w:pgMar w:top="1559" w:right="1247" w:bottom="1400" w:left="1089"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AED88">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530D15E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9401">
    <w:pPr>
      <w:pStyle w:val="3"/>
      <w:framePr w:wrap="around" w:vAnchor="text" w:hAnchor="margin" w:xAlign="center" w:y="1"/>
      <w:rPr>
        <w:rStyle w:val="8"/>
      </w:rPr>
    </w:pPr>
    <w:r>
      <w:fldChar w:fldCharType="begin"/>
    </w:r>
    <w:r>
      <w:rPr>
        <w:rStyle w:val="8"/>
      </w:rPr>
      <w:instrText xml:space="preserve">PAGE  </w:instrText>
    </w:r>
    <w:r>
      <w:fldChar w:fldCharType="end"/>
    </w:r>
  </w:p>
  <w:p w14:paraId="391A4FF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2E99">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14</w:t>
    </w:r>
    <w:r>
      <w:fldChar w:fldCharType="end"/>
    </w:r>
  </w:p>
  <w:p w14:paraId="69F7821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FA3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8ED7">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C50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B9F1"/>
    <w:multiLevelType w:val="singleLevel"/>
    <w:tmpl w:val="5D7BB9F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0DB6"/>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3AAC"/>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1946"/>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40B3A8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59574DE"/>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已访问的超链接1"/>
    <w:qFormat/>
    <w:uiPriority w:val="0"/>
    <w:rPr>
      <w:color w:val="800080"/>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 w:type="paragraph" w:customStyle="1" w:styleId="13">
    <w:name w:val="目录 21"/>
    <w:basedOn w:val="1"/>
    <w:next w:val="1"/>
    <w:qFormat/>
    <w:uiPriority w:val="39"/>
    <w:pPr>
      <w:tabs>
        <w:tab w:val="right" w:leader="dot" w:pos="8494"/>
      </w:tabs>
      <w:spacing w:line="560" w:lineRule="exact"/>
      <w:ind w:left="210"/>
      <w:jc w:val="left"/>
    </w:pPr>
    <w:rPr>
      <w:rFonts w:ascii="仿宋_GB2312" w:hAnsi="Calibri" w:eastAsia="仿宋_GB2312" w:cs="Calibri"/>
      <w:smallCaps/>
      <w:sz w:val="28"/>
      <w:szCs w:val="28"/>
    </w:rPr>
  </w:style>
  <w:style w:type="paragraph" w:customStyle="1" w:styleId="14">
    <w:name w:val="目录 11"/>
    <w:basedOn w:val="1"/>
    <w:next w:val="1"/>
    <w:qFormat/>
    <w:uiPriority w:val="39"/>
    <w:pPr>
      <w:tabs>
        <w:tab w:val="left" w:pos="840"/>
        <w:tab w:val="right" w:leader="dot" w:pos="8296"/>
      </w:tabs>
      <w:spacing w:line="560" w:lineRule="exact"/>
      <w:jc w:val="left"/>
    </w:pPr>
    <w:rPr>
      <w:rFonts w:ascii="仿宋_GB2312" w:hAnsi="新宋体" w:eastAsia="仿宋_GB2312" w:cs="Calibri"/>
      <w:b/>
      <w:bCs/>
      <w:caps/>
      <w:sz w:val="28"/>
      <w:szCs w:val="28"/>
    </w:rPr>
  </w:style>
  <w:style w:type="paragraph" w:customStyle="1" w:styleId="15">
    <w:name w:val="Char Char Char Char Char Char Char"/>
    <w:basedOn w:val="1"/>
    <w:qFormat/>
    <w:uiPriority w:val="0"/>
    <w:rPr>
      <w:szCs w:val="21"/>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czj</Company>
  <Pages>20</Pages>
  <Words>3052</Words>
  <Characters>3355</Characters>
  <Lines>48</Lines>
  <Paragraphs>13</Paragraphs>
  <TotalTime>1</TotalTime>
  <ScaleCrop>false</ScaleCrop>
  <LinksUpToDate>false</LinksUpToDate>
  <CharactersWithSpaces>3355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2025-03-19T01:17:00Z</dcterms:created>
  <dc:creator>傅海英</dc:creator>
  <cp:lastModifiedBy>徐玲</cp:lastModifiedBy>
  <cp:lastPrinted>2019-06-21T02:10:00Z</cp:lastPrinted>
  <dcterms:modified xsi:type="dcterms:W3CDTF">2025-09-29T02:58:58Z</dcterms:modified>
  <dc:title>关于进行本市部门整体支出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739EEDB2ECE141DEAF0C3D87D58590AD_13</vt:lpwstr>
  </property>
  <property fmtid="{D5CDD505-2E9C-101B-9397-08002B2CF9AE}" pid="4" name="KSOTemplateDocerSaveRecord">
    <vt:lpwstr>eyJoZGlkIjoiODVmZWY0YWY0NTM5NWIxMDg1NTFlZDJmNjcyZWIxYWMiLCJ1c2VySWQiOiI3MjEyNzIzNTYifQ==</vt:lpwstr>
  </property>
</Properties>
</file>