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苏州市水利工程管理处</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（一）对苏州市太湖水利工程、长江防洪工程和其他重要水利工程实施统一管理，参与审查管理范围内的各类建设项目。</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（二）负责七浦塘工程、西塘河引水工程、胥口水利枢纽工程水闸泵站及堤防护岸、河道保洁、绿化和蓝藻打捞等日常管理和维修养护工作。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（三）根据雨情、水情和苏州市水利局的运行调度指令，及时做好防汛排涝和调水引流工作。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（四）负责全市水利工程水费、水资源费、占用农业灌溉水源、灌排工程设施开发补偿费以及胥口水利枢纽船闸船舶过闸费等行政事业性规费的征收和管理。</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（五）组织开展全市水利工程专业技术人员业务培训。</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根据单位职责分工，本单位内设机构包括综合科、规费科、运行调度科、创建达标科。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扎实筑牢防汛防台压舱石。聚焦防汛防台工作。做好极端天气防范应对工作，全年完成七浦塘江边泵站、裴家圩泵站等重点设施防汛排水任务；“贝碧嘉”强台风过境期间，24小时拉网式轮值轮守，并协助属地政府，第一时间安全撤离待闸区近80人安全上岸。落实落细汛前汛后工作。开展七浦塘、西塘河、周家浜及沿线跨河桥梁水下检测，实施堤防滑移抢修、冲刷段抛填加固等工程；结合汛前、汛后及日常检查，开展隐患治理工作，消除安全隐患145处；开展130公里堤防白蚁及害堤动物普查及治理工作。保障设备安全可靠。严格开展设备等级评定，完成裴家圩枢纽1-4号机组提质改造，七浦塘闸站金属结构防腐，裴家圩站变扩容改造；实施江边枢纽1号机组大修，胥口枢纽复线船闸及琳桥闸门防腐等维修工程，落实“分级预警—事前预防—事中应对—事后研判”的闭环管理机制。提升应急处置能力。七浦塘增设移动发电车1台，提高断电状况下闸站应急供电能力；开展七浦塘涵洞移动式液压泵应急启闭演练、胥口枢纽消防疏散演练等，结合“班前班后五分钟”安全教育，组织“线上”“线下”安全培训。</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不断提高水利服务民生能力。保障水资源生态供给。科学调度沿线闸站引水，积极对接沿线用水需求，做好主动服务，充分激活区域水资源，满足生态、生产、生活用水需求。持续改善水环境。常态化开展河道保洁，打捞水面漂浮物430.76吨；高藻期期间，每日开展蓝藻巡查，形成蓝藻日报，通过调度活水+作业打捞形式，积极应对蓝藻挑战。不断擦亮水文化展示名片。苏州治水科普园深化“1+N”载体建设，创建市级法治文化建设示范点，新增未成年人体验站功能定位，举办各类水科普培训研学活动。累计接待各类团体29次，入园人数超过1.2万人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着力提升安全管护能力。开展安全生产“六化”建设。完成以闸、站、堤等工程为单元的安全监管网格划分，编制并发布《苏州市水利工程管理处安全监管网格制度》，编制控制运用、巡视检查、工程观测、运行管理等工作手册共8类24册。落实水利安全生产“六项机制”。建立安全风险分级管控制度，完善31座闸站危险源辨识与风险评价；完成裴家圩枢纽、琳桥闸、黄花泾闸安全鉴定；按要求每月开展安全隐患辨识整改，已完成隐患整改62项。深化防溺水能力建设。推进技防设施建设，新增人体感应装置136处，基本实现生产区域全覆盖；补齐物防设施短板，增设临河防护围栏1660米，七浦塘支河侧陡坡全部完成隔离，封闭岸线护栏缺口39处，新增救生设施326套；加强防溺水日常巡查，针对节假日、夏季加密巡查频次，累计出动巡查人员4300人次，劝离（阻止）危险行为3000余次。建立巡堤查险工作机制。编制印发《西塘河引水工程巡堤查险机制》《七浦塘水利工程巡堤查险机制》，汛期超警戒期间开展太湖大堤巡堤查险114人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稳步提高工程管理水平。推进“水边”地带环境整治提升。清理河道沉船5艘，累计清除违规垦种、占用2655平方米，完成虎丘地块西塘河管理范围内偷倒垃圾清运；发现并移交水行政案件2起；联合渔政部门开展禁捕夜查活动2次。提升水利信息安全保障。完成大中型闸站安全监测系统布设投运，升级裴家圩泵站自动化控制系统，改造西塘河闸站远控5座、七浦塘闸站限位升级24座。开展信息化安全提升，完成闸站远控系统网络安全等级保护设备增设；修复闸站远控系统完成高危漏洞，视频及工控线路分离。提高工程管理标准化水平。整改销单江边泵站标准化管理省级初评中发现的问题进行，完成标准化初评报告整编并提交水利部；推进堤防工程标准化管理，七浦塘堤防标准化通过市级年度复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深化加强“党建+人才”建设。筑牢理论思想根基。运用好“三会一课”、主题党日，赴苏州烈士陵园开展“行走的思政课”，赴柳亚子纪念馆和元荡村数字乡村客厅开展“走看学做比党建”等现场教学活动。积极参加组织安排的党组织书记和组织委员培训、意识形态领域及领导干部能力提升等活动。加强人才队伍建设。依托水利工程行业培训，组织“全市泵闸实操培训班”。以青年学习小组为主体开展“构建高效船民服务体系，打造水上服务区样板”关键小事调研攻关。全年开展泵站运行管理技能培训、“展馆讲解应知应会”培训白蚁普查与防治培训等业务类专题培训10次。深化党风廉政建设。深入开展党纪学习教育，持续引导全体党员深入学习修订后的《中国共产党纪律处分条例》。配合市水务局做好巡视巡察和经济责任审计，巡视巡察涉及问题整改取得明显进展。加强规费征收和监管。2024年，首次将苏州工业园区清源华衍水务有限公司表具校验纳入管理范围，全年完成用水企业54块表具校验工作。开展用水户走访、座谈10次，船舶过闸视频抽查24次。配合局水资源处做好水资源费改税试点工作平稳转换。</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苏州市水利工程管理处</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苏州市水利工程管理处</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7,315.60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152.72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166.48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152.72</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6,528.88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620.24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7,468.32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7,468.32</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7,468.32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7,468.32</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7,468.32</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7,468.32</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166.48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166.48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159.82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159.82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4.34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4.34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104.21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104.21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51.27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51.27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抚恤</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6.66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6.66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死亡抚恤</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6.66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6.66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152.72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152.72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152.72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152.72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152.72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152.72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6,528.88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6,528.88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农业农村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2130106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科技转化与推广服务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6,513.88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6,513.88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水利工程运行与维护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6,513.88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6,513.88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620.24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620.24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620.24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620.24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180.51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180.51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227.87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227.87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211.86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211.86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7,468.32</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2,205.55</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5,262.76</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166.48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166.48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159.82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159.82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4.34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4.34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104.21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104.21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51.27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51.27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抚恤</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6.66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6.66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2080801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死亡抚恤</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6.66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6.66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152.72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152.72</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152.72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152.72</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152.72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152.72</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6,528.88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1,418.83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5,110.04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农业农村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15.00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2130106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科技转化与推广服务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15.00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6,513.88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1,418.83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5,095.04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水利工程运行与维护</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6,513.88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1,418.83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5,095.04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620.24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620.24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620.24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620.24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180.51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180.51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227.87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227.87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211.86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211.86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7,315.60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152.72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166.48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166.48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152.72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152.72</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6,528.88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6,528.88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620.24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620.24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7,468.32</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7,468.32</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7,315.60</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152.72</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7,468.32</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7,468.32</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7,315.60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152.72</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7,468.32</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2,205.55</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5,262.76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166.48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166.48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159.82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159.82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4.34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4.34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104.21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104.21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51.27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51.27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抚恤</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6.66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6.66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死亡抚恤</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6.66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6.66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152.72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152.72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152.72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152.72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152.72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152.72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6,528.88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1,418.83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5,110.04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农业农村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15.00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2130106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科技转化与推广服务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15.00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6,513.88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1,418.83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5,095.04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水利工程运行与维护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6,513.88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1,418.83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5,095.04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620.24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620.24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620.24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620.24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180.51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180.51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227.87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227.87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211.86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211.86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2,205.55</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2,054.70</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150.85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1,942.74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1,942.74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220.55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220.55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344.80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344.80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871.86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871.86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104.21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104.21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51.27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51.27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57.71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57.71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3.12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41.83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41.83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180.51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180.51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7.48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59.41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59.41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150.85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150.85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24.96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1.95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1.95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6.52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6.52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4.95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4.95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3.15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0.36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30.00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1.81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21.32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21.32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31.20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16.62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111.96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111.96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101.97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101.97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6.66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6.66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0.05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3.28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7,315.60</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2,205.55</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5,110.04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166.48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166.48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159.82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159.82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4.34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4.34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104.21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104.21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51.27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51.27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抚恤</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6.66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6.66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死亡抚恤</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6.66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6.66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6,528.88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1,418.83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5,110.04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农业农村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15.00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15.00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2130106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科技转化与推广服务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15.00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15.00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6,513.88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1,418.83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5,095.04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水利工程运行与维护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6,513.88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1,418.83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5,095.04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620.24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620.24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620.24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620.24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180.51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180.51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227.87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227.87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211.86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211.86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2,205.55</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2,054.70</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150.85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1,942.74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1,942.74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220.55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220.55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344.80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344.80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871.86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871.86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104.21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104.21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51.27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51.27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57.71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57.71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3.12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41.83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41.83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180.51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180.51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7.48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7.48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59.41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59.41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150.85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150.85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24.96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24.96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1.95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1.95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6.52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6.52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4.95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4.95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3.15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3.15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0.36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30.00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1.81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21.32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21.32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31.20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31.20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16.62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16.62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111.96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111.96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101.97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101.97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6.66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6.66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0.05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3.28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35.36</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35.00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35.00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0.36</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10.15</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21.68</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21.32</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21.32</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0.36</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10.15</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28</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212</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152.72</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152.72</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152.72</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152.72</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152.72</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152.72</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152.72</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152.72</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苏州市水利工程管理处</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2,348.40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690.56</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1,657.84</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2,348.40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1,533.11</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2024年度收入、支出决算总计7,468.32万元。与上年相比，收、支总计各减少437.5万元，减少5.53%。其中：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（一）收入决算总计7,468.32万元。包括：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7,468.32万元。与上年相比，减少437.5万元，减少5.53%，变动原因：1.人员调整致人员经费收入减少；2.“七浦塘运行维护费”、“胥口西塘河运行维护费”、“经营成本及税费”等项目经费收入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（二）支出决算总计7,468.32万元。包括：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7,468.32万元。与上年相比，减少418.78万元，减少5.31%，变动原因：1.人员调整致人员经费支出减少；2.“七浦塘运行维护费”、“胥口西塘河运行维护费”、“经营成本及税费”等项目经费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3.年末结转和结余0万元。与上年相比，减少18.72万元，减少100%，变动原因：本年支付进度更科学。</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7,468.32万元，其中：财政拨款收入7,468.32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2024年度本年支出决算合计7,468.32万元，其中：基本支出2,205.55万元，占29.53%；项目支出5,262.76万元，占70.47%；上缴上级支出0万元，占0%；经营支出0万元，占0%；对附属单位补助支出0万元，占0%。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7,468.32万元。与上年相比，收、支总计各减少437.5万元，减少5.53%，变动原因：1.人员调整致人员经费收入、支出减少；2.“七浦塘运行维护费”、“胥口西塘河运行维护费”、“经营成本及税费”等项目经费收入、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2024年度财政拨款支出决算7,468.32万元，占本年支出合计的100%。与2024年度财政拨款支出年初预算8,067.14万元相比，完成年初预算的92.58%。其中：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事业单位离退休（项）。年初预算0万元，支出决算4.34万元，（年初预算数为0万元，无法计算完成比率）决算数与年初预算数的差异原因：2名职工退休，年中追加退休人员一次性补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2.行政事业单位养老支出（款）机关事业单位基本养老保险缴费支出（项）。年初预算104.21万元，支出决算104.21万元，完成年初预算的100%。决算数与年初预算数相同。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3.行政事业单位养老支出（款）机关事业单位职业年金缴费支出（项）。年初预算51.27万元，支出决算51.27万元，完成年初预算的100%。决算数与年初预算数相同。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4.抚恤（款）死亡抚恤（项）。年初预算0万元，支出决算6.66万元，（年初预算数为0万元，无法计算完成比率）决算数与年初预算数的差异原因：退休人员逝世，年中追加经费。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（二）城乡社区支出（类）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国有土地使用权出让收入安排的支出（款）城市建设支出（项）。年初预算1,133万元，支出决算152.72万元，完成年初预算的13.48%。决算数与年初预算数的差异原因：胥口枢纽闸区改造及西塘河沿线河道整治工程、西塘河裴家圩枢纽1-4号机组提质增资改造和闸站设备维修工程、堤防提升及安全护栏改造工程项目经费调整至代建方；调整追加七浦塘入江段冲刷应急维修加固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（三）农林水支出（类）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1.农业农村（款）科技转化与推广服务（项）。年初预算0万元，支出决算15万元，（年初预算数为0万元，无法计算完成比率）决算数与年初预算数的差异原因：年中追加经费。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2.水利（款）水利工程运行与维护（项）。年初预算6,228.4万元，支出决算6,513.88万元，完成年初预算的104.58%。决算数与年初预算数的差异原因：人员经费增加。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1.住房改革支出（款）住房公积金（项）。年初预算144.48万元，支出决算180.51万元，完成年初预算的124.94%。决算数与年初预算数的差异原因：年中追加经费。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2.住房改革支出（款）提租补贴（项）。年初预算227.87万元，支出决算227.87万元，完成年初预算的100%。决算数与年初预算数相同。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3.住房改革支出（款）购房补贴（项）。年初预算177.91万元，支出决算211.86万元，完成年初预算的119.08%。决算数与年初预算数的差异原因：年中追加经费。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2024年度财政拨款基本支出决算2,205.55万元，其中：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（一）人员经费2,054.7万元。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公务员医疗补助缴费、其他社会保障缴费、住房公积金、医疗费、其他工资福利支出、退休费、抚恤金、奖励金、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（二）公用经费150.85万元。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主要包括：办公费、水费、邮电费、差旅费、维修（护）费、培训费、公务接待费、专用材料费、工会经费、福利费、公务用车运行维护费、其他交通费用、其他商品和服务支出。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7,315.6万元。与上年相比，减少571.5万元，减少7.25%，变动原因：1.人员调整致人员经费支出减少；2.“七浦塘运行维护费”、“胥口西塘河运行维护费”、“经营成本及税费”等项目经费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2024年度一般公共预算财政拨款基本支出决算2,205.55万元，其中：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（一）人员经费2,054.7万元。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公务员医疗补助缴费、其他社会保障缴费、住房公积金、医疗费、其他工资福利支出、退休费、抚恤金、奖励金、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（二）公用经费150.85万元。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主要包括：办公费、水费、邮电费、差旅费、维修（护）费、培训费、公务接待费、专用材料费、工会经费、福利费、公务用车运行维护费、其他交通费用、其他商品和服务支出。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21.68万元（其中：一般公共预算支出21.68万元；政府性基金预算支出0万元；国有资本经营预算支出0万元）。与上年相比，减少3.11万元，变动原因：公务用车运行维护费减少。其中，因公出国（境）费支出0万元，占“三公”经费的0%；公务用车购置及运行维护费支出21.32万元，占“三公”经费的98.34%；公务接待费支出0.36万元，占“三公”经费的1.66%。2024年度财政拨款“三公”经费支出预算35.36万元（其中：一般公共预算支出35.36万元；政府性基金预算支出0万元；国有资本经营预算支出0万元）。决算数与预算数的差异原因：厉行节约，减少“三公”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35万元（其中：一般公共预算支出35万元；政府性基金预算支出0万元；国有资本经营预算支出0万元），支出决算21.32万元（其中：一般公共预算支出21.32万元；政府性基金预算支出0万元；国有资本经营预算支出0万元），完成调整后预算的60.91%，决算数与预算数的差异原因：车况较好，维修费用相对较少。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21.32万元。公务用车运行维护费主要用于按规定保留的公务用车的燃料费、维修费、过桥过路费、保险费、安全奖励费用等支出。截至2024年12月31日，使用财政拨款开支的公务用车保有量为10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0.36万元（其中：一般公共预算支出0.36万元；政府性基金预算支出0万元；国有资本经营预算支出0万元），支出决算0.36万元（其中：一般公共预算支出0.36万元；政府性基金预算支出0万元；国有资本经营预算支出0万元），完成调整后预算的100%，决算数与预算数相同。其中：国内公务接待支出0.36万元，接待2批次，28人次，开支内容：省级接待1次，市级接待1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10.15万元（其中：一般公共预算支出10.15万元；政府性基金预算支出0万元；国有资本经营预算支出0万元），支出决算10.15万元（其中：一般公共预算支出10.15万元；政府性基金预算支出0万元；国有资本经营预算支出0万元），完成调整后预算的100%，决算数与预算数相同。2024年度全年组织培训1个，组织培训212人次，开支内容：2024年度行业培训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2024年度政府性基金预算财政拨款支出决算152.72万元。与上年相比，增加152.72万元（上年决算数为0万元，无法计算增减比率），变动原因：调整追加七浦塘入江段冲刷应急维修加固经费。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2,348.4万元，其中：政府采购货物支出0万元、政府采购工程支出690.56万元、政府采购服务支出1,657.84万元。政府采购授予中小企业合同金额2,348.4万元，占政府采购支出总额的100%，其中：授予小微企业合同金额1,533.11万元，占授予中小企业合同金额的65.28%。</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10辆，其中：副部(省)级及以上领导用车0辆、主要领导干部用车0辆、机要通信用车0辆、应急保障用车0辆、执法执勤用车0辆、特种专业技术用车0辆、离退休干部用车0辆、其他用车10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本单位共对上年度已实施完成的11个项目开展了绩效自评价，涉及财政性资金合计6,102.16万元；本单位共开展1项单位整体支出绩效自评价，涉及财政性资金合计8,295.13万元。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二十二、社会保障和就业支出(类)抚恤(款)死亡抚恤(项)</w:t>
      </w:r>
      <w:r>
        <w:rPr>
          <w:b w:val="on"/>
          <w:rFonts w:ascii="仿宋" w:eastAsia="仿宋" w:hAnsi="仿宋" w:cs="仿宋"/>
          <w:u w:color="auto"/>
        </w:rPr>
        <w:t>：</w:t>
      </w:r>
      <w:r>
        <w:rPr>
          <w:rFonts w:hint="eastAsia" w:ascii="仿宋" w:hAnsi="仿宋" w:eastAsia="仿宋" w:cs="仿宋"/>
        </w:rPr>
        <w:t>反映按规定用于烈士和牺牲、病故人员家属的一次性和定期抚恤金、丧葬补助费以及烈士褒扬金。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二十三、城乡社区支出(类)国有土地使用权出让收入安排的支出(款)城市建设支出(项)</w:t>
      </w:r>
      <w:r>
        <w:rPr>
          <w:b w:val="on"/>
          <w:rFonts w:ascii="仿宋" w:eastAsia="仿宋" w:hAnsi="仿宋" w:cs="仿宋"/>
          <w:u w:color="auto"/>
        </w:rPr>
        <w:t>：</w:t>
      </w:r>
      <w:r>
        <w:rPr>
          <w:rFonts w:hint="eastAsia" w:ascii="仿宋" w:hAnsi="仿宋" w:eastAsia="仿宋" w:cs="仿宋"/>
        </w:rPr>
        <w:t>反映土地出让收入用于完善国有土地使用功能的配套设施建设和城市基础设施建设支出。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二十四、农林水支出(类)农业农村(款)科技转化与推广服务(项)</w:t>
      </w:r>
      <w:r>
        <w:rPr>
          <w:b w:val="on"/>
          <w:rFonts w:ascii="仿宋" w:eastAsia="仿宋" w:hAnsi="仿宋" w:cs="仿宋"/>
          <w:u w:color="auto"/>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二十五、农林水支出(类)水利(款)水利工程运行与维护(项)</w:t>
      </w:r>
      <w:r>
        <w:rPr>
          <w:b w:val="on"/>
          <w:rFonts w:ascii="仿宋" w:eastAsia="仿宋" w:hAnsi="仿宋" w:cs="仿宋"/>
          <w:u w:color="auto"/>
        </w:rPr>
        <w:t>：</w:t>
      </w:r>
      <w:r>
        <w:rPr>
          <w:rFonts w:hint="eastAsia" w:ascii="仿宋" w:hAnsi="仿宋" w:eastAsia="仿宋" w:cs="仿宋"/>
        </w:rPr>
        <w:t>反映水利系统用于江、河、湖、滩等治理工程运行与维护方面的支出，以及纳入预算管理的水利工程管理单位的支出。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二十七、住房保障支出(类)住房改革支出(款)提租补贴(项)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二十八、住房保障支出(类)住房改革支出(款)购房补贴(项)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苏州市水利工程管理处</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