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43B2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14:paraId="428D5994">
            <w:pPr>
              <w:pStyle w:val="8"/>
              <w:spacing w:line="360" w:lineRule="auto"/>
              <w:jc w:val="both"/>
              <w:rPr>
                <w:rFonts w:hint="eastAsia" w:ascii="仿宋" w:hAnsi="仿宋" w:eastAsia="仿宋" w:cs="仿宋"/>
                <w:b/>
                <w:bCs/>
                <w:color w:val="FF0000"/>
                <w:sz w:val="22"/>
                <w:szCs w:val="22"/>
              </w:rPr>
            </w:pPr>
            <w:r>
              <w:rPr>
                <w:rFonts w:hint="eastAsia" w:ascii="仿宋" w:hAnsi="仿宋" w:eastAsia="仿宋" w:cs="仿宋"/>
                <w:b/>
                <w:bCs/>
                <w:color w:val="FF0000"/>
                <w:sz w:val="22"/>
                <w:szCs w:val="22"/>
              </w:rPr>
              <w:t/>
            </w:r>
          </w:p>
        </w:tc>
      </w:tr>
      <w:tr w14:paraId="2E68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2C0A9E52">
            <w:pPr>
              <w:ind w:right="284" w:rightChars="129"/>
              <w:jc w:val="center"/>
              <w:rPr>
                <w:rFonts w:hint="eastAsia" w:ascii="宋体" w:hAnsi="宋体" w:eastAsia="宋体" w:cs="宋体"/>
                <w:b/>
                <w:bCs/>
                <w:sz w:val="52"/>
                <w:szCs w:val="52"/>
                <w:lang w:val="en-US"/>
              </w:rPr>
            </w:pPr>
            <w:r>
              <w:rPr>
                <w:rFonts w:hint="eastAsia" w:ascii="宋体" w:hAnsi="宋体" w:eastAsia="宋体" w:cs="宋体"/>
                <w:b/>
                <w:bCs/>
                <w:sz w:val="52"/>
                <w:szCs w:val="52"/>
                <w:lang w:val="en-US"/>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2024年度</w:t>
              <w:br w:type="textWrapping"/>
              <w:t/>
            </w:r>
            <w:r>
              <w:rPr>
                <w:b w:val="on"/>
                <w:rFonts w:ascii="宋体" w:eastAsia="宋体" w:hAnsi="宋体" w:cs="宋体"/>
                <w:sz w:val="52"/>
                <w:u w:color="auto"/>
              </w:rPr>
              <w:t>苏州市水利工程建设处</w:t>
            </w:r>
            <w:r>
              <w:rPr>
                <w:b w:val="on"/>
                <w:rFonts w:ascii="宋体" w:eastAsia="宋体" w:hAnsi="宋体" w:cs="宋体"/>
                <w:sz w:val="52"/>
                <w:u w:color="auto"/>
              </w:rPr>
              <w:t xml:space="preserve"></w:t>
              <w:br w:type="textWrapping"/>
              <w:t>单位决算公开</w:t>
            </w:r>
            <w:r>
              <w:rPr>
                <w:b w:val="on"/>
                <w:rFonts w:ascii="宋体" w:eastAsia="宋体" w:hAnsi="宋体" w:cs="宋体"/>
                <w:sz w:val="52"/>
                <w:u w:color="auto"/>
              </w:rPr>
              <w:t/>
            </w:r>
            <w:r>
              <w:rPr>
                <w:b w:val="on"/>
                <w:rFonts w:ascii="宋体" w:eastAsia="宋体" w:hAnsi="宋体" w:cs="宋体"/>
                <w:sz w:val="52"/>
                <w:u w:color="auto"/>
              </w:rPr>
              <w:t/>
            </w:r>
          </w:p>
        </w:tc>
      </w:tr>
    </w:tbl>
    <w:p w14:paraId="7727C8B0">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4C4B0D29">
      <w:pPr>
        <w:pStyle w:val="8"/>
        <w:spacing w:before="4"/>
        <w:rPr>
          <w:rFonts w:hint="eastAsia" w:ascii="华文仿宋" w:hAnsi="华文仿宋" w:eastAsia="华文仿宋" w:cs="仿宋"/>
          <w:sz w:val="10"/>
        </w:rPr>
      </w:pPr>
    </w:p>
    <w:p w14:paraId="7644B63B">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50FFB8E">
      <w:pPr>
        <w:pStyle w:val="8"/>
        <w:spacing w:before="7"/>
        <w:rPr>
          <w:rFonts w:hint="eastAsia" w:ascii="仿宋" w:hAnsi="仿宋" w:eastAsia="仿宋" w:cs="仿宋"/>
          <w:sz w:val="27"/>
        </w:rPr>
      </w:pPr>
    </w:p>
    <w:p w14:paraId="113255D3">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单位</w:t>
      </w:r>
      <w:r>
        <w:rPr>
          <w:rFonts w:hint="eastAsia" w:ascii="黑体" w:hAnsi="黑体" w:eastAsia="黑体" w:cs="黑体"/>
        </w:rPr>
        <w:t>概况</w:t>
      </w:r>
    </w:p>
    <w:p w14:paraId="53132DF5">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21D6F396">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机构设置及决算单位构成情况</w:t>
      </w:r>
    </w:p>
    <w:p w14:paraId="4E4B8454">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14:paraId="42206541">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u/>
        </w:rPr>
        <w:t>年度</w:t>
      </w:r>
      <w:r>
        <w:rPr>
          <w:rFonts w:ascii="黑体" w:eastAsia="黑体" w:hAnsi="黑体" w:cs="黑体"/>
          <w:u w:color="auto"/>
        </w:rPr>
        <w:t>单位</w:t>
      </w:r>
      <w:r>
        <w:rPr>
          <w:rFonts w:ascii="黑体" w:eastAsia="黑体" w:hAnsi="黑体" w:cs="黑体"/>
          <w:u w:color="auto"/>
        </w:rPr>
        <w:t>决算表</w:t>
      </w:r>
    </w:p>
    <w:p w14:paraId="6FD9472D">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7D8C7E0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11CB0BE4">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3593D25E">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02FA1DE5">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12101CC1">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14:paraId="50598114">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14:paraId="14B9C086">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51BA082">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7FE96E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39346ABF">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AEFF66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52CDBA05">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39662669">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u/>
        </w:rPr>
        <w:t>年度</w:t>
      </w:r>
      <w:r>
        <w:rPr>
          <w:rFonts w:ascii="黑体" w:eastAsia="黑体" w:hAnsi="黑体" w:cs="黑体"/>
          <w:u w:color="auto"/>
        </w:rPr>
        <w:t>单位</w:t>
      </w:r>
      <w:r>
        <w:rPr>
          <w:rFonts w:ascii="黑体" w:eastAsia="黑体" w:hAnsi="黑体" w:cs="黑体"/>
          <w:u w:color="auto"/>
        </w:rPr>
        <w:t>决算情况说明</w:t>
      </w:r>
    </w:p>
    <w:p w14:paraId="1EDC66C2">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085EE770">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3BE167B0">
      <w:pPr>
        <w:pStyle w:val="8"/>
        <w:spacing w:before="1"/>
        <w:rPr>
          <w:rFonts w:hint="eastAsia" w:ascii="华文仿宋" w:hAnsi="华文仿宋" w:eastAsia="华文仿宋" w:cs="仿宋"/>
          <w:sz w:val="14"/>
        </w:rPr>
      </w:pPr>
    </w:p>
    <w:p w14:paraId="5153A706">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单位</w:t>
      </w:r>
      <w:r>
        <w:rPr>
          <w:rFonts w:hint="eastAsia" w:ascii="宋体" w:hAnsi="宋体" w:eastAsia="宋体" w:cs="宋体"/>
          <w:b/>
          <w:bCs/>
        </w:rPr>
        <w:t>概况</w:t>
      </w:r>
    </w:p>
    <w:p w14:paraId="113B7417">
      <w:pPr>
        <w:ind w:right="504" w:rightChars="229"/>
        <w:jc w:val="both"/>
        <w:rPr>
          <w:rFonts w:hint="eastAsia"/>
        </w:rPr>
      </w:pPr>
    </w:p>
    <w:p w14:paraId="30E140D7">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组织实施市级承担的水利水务工程建设；参与市级承担的水利水务工程建设前期工作；受市水务局委托，协助审核市级承担的水利水务工程施工图。</w:t>
      </w:r>
      <w:r>
        <w:rPr>
          <w:rFonts w:ascii="仿宋" w:eastAsia="仿宋" w:hAnsi="仿宋" w:cs="仿宋"/>
          <w:u w:color="auto"/>
        </w:rPr>
        <w:t/>
      </w:r>
    </w:p>
    <w:p w14:paraId="2EB15450">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单位</w:t>
      </w:r>
      <w:r>
        <w:rPr>
          <w:rFonts w:hint="eastAsia" w:ascii="黑体" w:hAnsi="黑体" w:eastAsia="黑体" w:cs="黑体"/>
        </w:rPr>
        <w:t>机构设置及决算单位构成情况</w:t>
      </w:r>
    </w:p>
    <w:p w14:paraId="63FC5E6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hint="eastAsia" w:ascii="仿宋" w:hAnsi="仿宋" w:eastAsia="仿宋" w:cs="仿宋"/>
          <w:lang w:val="en-US"/>
          <w:u/>
        </w:rPr>
        <w:t>，</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综合科、项目管理科、工程管理科、监督管理科。</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14:paraId="4C8733A4">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2024</w:t>
      </w:r>
      <w:r>
        <w:rPr>
          <w:rFonts w:hint="eastAsia" w:ascii="黑体" w:hAnsi="黑体" w:eastAsia="黑体" w:cs="黑体"/>
        </w:rPr>
        <w:t>年度主要工作完成情况</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本年度，建设处共计推进工程10项，其中在建项目2项，前期准备项目1项，待竣工验收项目5项，尾款支付项目2项，年度累计安排资金2.7亿元。</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一是在建项目“不松劲”。吴淞江（江苏段）整治工程（市本级）完成年度投资任务完成率100%；胥江引水工程累计完成投资2.313亿元，形象进度98.5%。</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是前期准备项目“不断档”。北福山塘江边泵站完成项目建议书、可行性研究和初步设计批复，用地预审与选址意见书、航评和稳评批复，以及施工图设计编制、专家审查和修改等工作，并于年底前陆续完成技术咨询标段、土建、监理、通航安全维护等标段的招标工作。</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是完工待竣工项目“不掉线”。京杭大运河苏州段堤防加固工程（姑苏区）完成档案专项验收和征收搬迁决算审计，及财务决算报告初稿；城区泵闸站改扩建及降噪工程已获财务决算批复；胥口枢纽闸区改造及西塘河沿线河道整治工程完成结算审计；西塘河裴家圩枢纽改造1-4号机组提质增资改造维修工程和堤防提升及安全护栏改造工程正在推进结算审计。</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四是尾款支付项目“不停歇”。高藻期苏州城区水源保障项目处于尾款支付阶段，平江历史片区生态净水项目已开展竣工财务决算编制。</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围绕“安全第一、预防为主、综合治理”安全生产方针，认真落实市委“六个坚决不能发生”，聚焦“六化”建设，确保各项安全生产工作平稳运行。一是强化风险管控。持续推进水利安全生产风险管控“六项机制”，每月更新隐患月报、事故月报，做好危险源辨识、管控工作，累计排查整治一般隐患50个，无重大隐患，实现安全生产零事故。二是强化隐患排查整治。8月高温期间，进行夏季高温专项检查3次；9月落实风前风后全覆盖隐患排查整治，风前撤离全部在建工地人员共236人次，风后第一时间组织开展复工前安全检查，风后3天内各在建工地有序复工，总计上报损失253万元；中秋国庆节前开展“四不两直”安全生产检查，共发现整改问题11个。三是强化消防管理。开展在建项目消防安全风险隐患排查，检查内容共28项，其中发现问题18项，完成问题整改18项。今年已组织消防应急演练3次。四是强化教育培训。今年已组织安全生产教育培训11次，参与安全生产教育培训5次，完成安全员换证9人次；汛前开展在建项目防汛应急演练3次。</w:t>
      </w:r>
      <w:r>
        <w:rPr>
          <w:rFonts w:ascii="仿宋" w:eastAsia="仿宋" w:hAnsi="仿宋" w:cs="仿宋"/>
          <w:u w:color="auto"/>
        </w:rPr>
        <w:t/>
      </w:r>
    </w:p>
    <w:p w14:paraId="28148AB0">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371951F6">
      <w:pPr>
        <w:pStyle w:val="8"/>
        <w:spacing w:line="360" w:lineRule="auto"/>
        <w:ind w:left="440" w:leftChars="200" w:right="504" w:rightChars="229" w:firstLine="658"/>
        <w:jc w:val="both"/>
        <w:rPr>
          <w:rFonts w:hint="eastAsia" w:ascii="仿宋" w:hAnsi="仿宋" w:eastAsia="仿宋" w:cs="仿宋"/>
          <w:lang w:val="en-US"/>
        </w:rPr>
      </w:pPr>
    </w:p>
    <w:p w14:paraId="616A23E8">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3FF057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25773E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00717D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B29D37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6EA371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F44191B">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4283C97F">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苏州市水利工程建设处</w:t>
      </w:r>
    </w:p>
    <w:p w14:paraId="54D5D8D0">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u/>
        </w:rPr>
        <w:t>单位</w:t>
      </w:r>
      <w:r>
        <w:rPr>
          <w:b w:val="on"/>
          <w:rFonts w:ascii="宋体" w:eastAsia="宋体" w:hAnsi="宋体" w:cs="宋体"/>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color w:val="000000"/>
                <w:lang w:eastAsia="ar-SA"/>
              </w:rPr>
              <w:t>苏州市水利工程建设处</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hint="eastAsia" w:ascii="仿宋" w:hAnsi="仿宋" w:eastAsia="仿宋" w:cs="仿宋"/>
                <w:color w:val="000000"/>
                <w:lang w:eastAsia="ar-SA"/>
                <w:u/>
              </w:rPr>
              <w:t/>
            </w:r>
            <w:r>
              <w:rPr>
                <w:color w:val="000000"/>
                <w:rFonts w:ascii="仿宋" w:eastAsia="仿宋" w:hAnsi="仿宋" w:cs="仿宋"/>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12,719.12</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14,769.61</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45.38</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14,769.61</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12,530.77</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142.97</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color w:val="000000"/>
                <w:lang w:eastAsia="ar-SA"/>
              </w:rPr>
              <w:t/>
            </w: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27,488.73</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27,488.73</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r>
              <w:rPr>
                <w:rFonts w:hint="eastAsia" w:ascii="仿宋" w:hAnsi="仿宋" w:eastAsia="仿宋" w:cs="仿宋"/>
                <w:color w:val="000000"/>
                <w:lang w:eastAsia="ar-SA"/>
              </w:rPr>
              <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r>
              <w:rPr>
                <w:rFonts w:hint="eastAsia" w:ascii="仿宋" w:hAnsi="仿宋" w:eastAsia="仿宋" w:cs="仿宋"/>
                <w:color w:val="000000"/>
                <w:lang w:eastAsia="ar-SA"/>
              </w:rPr>
              <w:t/>
            </w: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27,488.73</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27,488.73</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w:t>
      </w:r>
      <w:r>
        <w:rPr>
          <w:rFonts w:hint="eastAsia" w:ascii="仿宋" w:hAnsi="仿宋" w:eastAsia="仿宋" w:cs="仿宋"/>
          <w:lang w:val="en-US"/>
        </w:rPr>
        <w:t/>
      </w:r>
      <w:r>
        <w:rPr>
          <w:rFonts w:hint="eastAsia" w:ascii="仿宋" w:hAnsi="仿宋" w:eastAsia="仿宋" w:cs="仿宋"/>
          <w:color w:val="000000"/>
          <w:lang w:val="en-US"/>
        </w:rPr>
        <w:t>本表金额单位转换时可能存在尾数误差。</w:t>
      </w:r>
      <w:r>
        <w:rPr>
          <w:rFonts w:hint="eastAsia" w:ascii="仿宋" w:hAnsi="仿宋" w:eastAsia="仿宋" w:cs="仿宋"/>
          <w:lang w:val="en-US"/>
        </w:rPr>
        <w:t/>
      </w:r>
    </w:p>
    <w:p w14:paraId="178F782D">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苏州市水利工程建设处</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27,488.73</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27,488.73</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45.38</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45.38</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45.38</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45.38</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30.25</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30.25</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15.13</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15.13</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城乡社区支出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14,769.61</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14,769.61</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14,248.17</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14,248.17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2120803</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城市建设支出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14,248.17</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14,248.17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21298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超长期特别国债安排的支出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521.43</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521.43</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2129801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城乡社区公共设施</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521.43</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521.43</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213</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农林水支出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12,530.77</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12,530.77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21301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农业农村</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10.00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10.00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2130106</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科技转化与推广服务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10.00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10.00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21303</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水利</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12,520.77</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12,520.77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2130305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水利工程建设</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12,000.00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12,000.00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2130306</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水利工程运行与维护</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520.77</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520.77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142.97</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142.97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142.97</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142.97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49.38</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49.38</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15.84</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15.84</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2210203</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购房补贴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77.75</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77.75</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34A6961F">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苏州市水利工程建设处</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27,488.73</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573.99</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26,914.74</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r>
              <w:rPr>
                <w:rFonts w:hint="eastAsia" w:ascii="仿宋" w:hAnsi="仿宋" w:eastAsia="仿宋" w:cs="仿宋"/>
                <w:sz w:val="22"/>
                <w:szCs w:val="22"/>
              </w:rPr>
              <w:t/>
            </w: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r>
              <w:rPr>
                <w:rFonts w:hint="eastAsia" w:ascii="仿宋" w:hAnsi="仿宋" w:eastAsia="仿宋" w:cs="仿宋"/>
                <w:sz w:val="22"/>
                <w:szCs w:val="22"/>
              </w:rPr>
              <w:t/>
            </w: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r>
              <w:rPr>
                <w:rFonts w:hint="eastAsia" w:ascii="仿宋" w:hAnsi="仿宋" w:eastAsia="仿宋" w:cs="仿宋"/>
                <w:sz w:val="22"/>
                <w:szCs w:val="22"/>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45.38</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45.38</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45.38</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45.38</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2080505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30.25</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30.25</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15.13</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15.13</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城乡社区支出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14,769.61</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14,769.61</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21208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国有土地使用权出让收入安排的支出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14,248.17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14,248.17</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2120803</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城市建设支出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14,248.17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14,248.17</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21298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超长期特别国债安排的支出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521.43</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521.43</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2129801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城乡社区公共设施</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521.43</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521.43</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213</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农林水支出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12,530.77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385.63</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12,145.13</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21301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农业农村</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10.00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10.00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2130106</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科技转化与推广服务</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10.00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10.00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21303</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水利</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12,520.77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385.63</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12,135.13</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2130305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水利工程建设</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12,000.00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12,000.00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2130306</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水利工程运行与维护</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520.77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385.63</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135.13</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142.97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142.97</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142.97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142.97</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49.38</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49.38</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15.84</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15.84</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2210203</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购房补贴</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77.75</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77.75</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28EE200B">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苏州市水利工程建设处</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12,719.12</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14,769.61</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45.38</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45.38</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14,769.61</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14,769.61</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12,530.77</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12,530.77</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142.97</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142.97</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27,488.73</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27,488.73</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12,719.12</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r>
              <w:rPr>
                <w:rFonts w:hint="eastAsia" w:ascii="仿宋" w:hAnsi="仿宋" w:eastAsia="仿宋" w:cs="仿宋"/>
                <w:sz w:val="22"/>
                <w:szCs w:val="22"/>
              </w:rPr>
              <w:t>14,769.61</w:t>
            </w: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27,488.73</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27,488.73</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12,719.12</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r>
              <w:rPr>
                <w:rFonts w:hint="eastAsia" w:ascii="仿宋" w:hAnsi="仿宋" w:eastAsia="仿宋" w:cs="仿宋"/>
                <w:sz w:val="22"/>
                <w:szCs w:val="22"/>
              </w:rPr>
              <w:t>14,769.61</w:t>
            </w: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r>
              <w:rPr>
                <w:rFonts w:hint="eastAsia" w:ascii="仿宋" w:hAnsi="仿宋" w:eastAsia="仿宋" w:cs="仿宋"/>
                <w:sz w:val="22"/>
                <w:szCs w:val="22"/>
              </w:rPr>
              <w:t/>
            </w: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18A2EAFC">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苏州市水利工程建设处</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27,488.73</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573.99</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26,914.74</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45.38</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45.38</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45.38</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45.38</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30.25</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30.25</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15.13</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15.13</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城乡社区支出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14,769.61</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14,769.61</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14,248.17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14,248.17</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2120803</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城市建设支出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14,248.17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14,248.17</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21298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超长期特别国债安排的支出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521.43</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521.43</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2129801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城乡社区公共设施</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521.43</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521.43</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213</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农林水支出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12,530.77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385.63</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12,145.13</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21301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农业农村</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10.00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10.00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2130106</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科技转化与推广服务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10.00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10.00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21303</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水利</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12,520.77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385.63</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12,135.13</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2130305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水利工程建设</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12,000.00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12,000.00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2130306</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水利工程运行与维护</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520.77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385.63</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135.13</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142.97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142.97</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142.97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142.97</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49.38</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49.38</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15.84</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15.84</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2210203</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购房补贴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77.75</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77.75</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6868AFDE">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苏州市水利工程建设处</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r>
              <w:rPr>
                <w:rFonts w:hint="eastAsia" w:ascii="仿宋" w:hAnsi="仿宋" w:eastAsia="仿宋" w:cs="仿宋"/>
                <w:sz w:val="22"/>
                <w:szCs w:val="22"/>
              </w:rPr>
              <w:t>573.99</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r>
              <w:rPr>
                <w:rFonts w:hint="eastAsia" w:ascii="仿宋" w:hAnsi="仿宋" w:eastAsia="仿宋" w:cs="仿宋"/>
                <w:sz w:val="22"/>
                <w:szCs w:val="22"/>
              </w:rPr>
              <w:t>543.12</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r>
              <w:rPr>
                <w:rFonts w:hint="eastAsia" w:ascii="仿宋" w:hAnsi="仿宋" w:eastAsia="仿宋" w:cs="仿宋"/>
                <w:sz w:val="22"/>
                <w:szCs w:val="22"/>
              </w:rPr>
              <w:t>30.86</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542.68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542.68</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65.18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65.18</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93.70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93.70</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255.12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255.12</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30.25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30.25</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15.13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15.13</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16.47</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16.47</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0.84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0.84</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16.61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16.61</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49.38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49.38</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30.86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30.86</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6.80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6.80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0.50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2.00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3.50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3.50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1.00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5.14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5.14</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0.38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0.38</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8.40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8.40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3.14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3.14</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0.45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0.45</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0.45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0.45</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2AC5EB37">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苏州市水利工程建设处</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
            </w: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12,719.12</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r>
              <w:rPr>
                <w:rFonts w:hint="eastAsia" w:ascii="仿宋" w:hAnsi="仿宋" w:eastAsia="仿宋" w:cs="仿宋"/>
                <w:sz w:val="22"/>
                <w:szCs w:val="22"/>
              </w:rPr>
              <w:t>573.99</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12,145.13</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45.38</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45.38</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45.38</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45.38</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30.25</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30.25</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15.13</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15.13</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213</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农林水支出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12,530.77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385.63</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12,145.13</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21301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农业农村</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10.00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10.00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2130106</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科技转化与推广服务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10.00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10.00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21303</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水利</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12,520.77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385.63</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12,135.13</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2130305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水利工程建设</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12,000.00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12,000.00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2130306</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水利工程运行与维护</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520.77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385.63</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135.13</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142.97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142.97</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142.97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142.97</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49.38</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49.38</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15.84</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15.84</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2210203</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购房补贴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77.75</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77.75</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116DA0E1">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苏州市水利工程建设处</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r>
              <w:rPr>
                <w:rFonts w:hint="eastAsia" w:ascii="仿宋" w:hAnsi="仿宋" w:eastAsia="仿宋" w:cs="仿宋"/>
                <w:sz w:val="22"/>
                <w:szCs w:val="22"/>
              </w:rPr>
              <w:t>573.99</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r>
              <w:rPr>
                <w:rFonts w:hint="eastAsia" w:ascii="仿宋" w:hAnsi="仿宋" w:eastAsia="仿宋" w:cs="仿宋"/>
                <w:sz w:val="22"/>
                <w:szCs w:val="22"/>
              </w:rPr>
              <w:t>543.12</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r>
              <w:rPr>
                <w:rFonts w:hint="eastAsia" w:ascii="仿宋" w:hAnsi="仿宋" w:eastAsia="仿宋" w:cs="仿宋"/>
                <w:sz w:val="22"/>
                <w:szCs w:val="22"/>
              </w:rPr>
              <w:t>30.86</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542.68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542.68</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65.18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65.18</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93.70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93.70</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255.12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255.12</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30.25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30.25</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15.13</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15.13</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16.47</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16.47</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0.84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0.84</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16.61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16.61</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49.38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49.38</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30.86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30.86</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6.80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6.80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0.50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0.50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2.00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2.00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3.50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3.50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1.00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1.00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5.14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5.14</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0.38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0.38</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8.40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8.40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3.14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3.14</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0.45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0.45</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0.45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0.45</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766E6922">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bookmarkStart w:id="0" w:name="_GoBack"/>
            <w:bookmarkEnd w:id="0"/>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苏州市水利工程建设处</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hint="eastAsia" w:ascii="仿宋" w:hAnsi="仿宋" w:eastAsia="仿宋" w:cs="仿宋"/>
                <w:u/>
              </w:rPr>
              <w:t/>
            </w:r>
            <w:r>
              <w:rPr>
                <w:rFonts w:ascii="仿宋" w:eastAsia="仿宋" w:hAnsi="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1.00</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1.00</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0.80</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1.00</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1.00</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1</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40</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u/>
        </w:rPr>
        <w:t>本表反映本年度财政拨款“三公”经费、会议费和培训费支出情况。其中，预算数为全年预算数，反映按规定程序调整后的预算数；决算数是包括当年财政拨款和以前年度结转资金安排的实际支出。</w:t>
      </w:r>
      <w:r>
        <w:rPr>
          <w:rFonts w:ascii="仿宋" w:eastAsia="仿宋" w:hAnsi="仿宋" w:cs="仿宋"/>
          <w:u w:color="auto"/>
        </w:rPr>
        <w:t/>
      </w:r>
      <w:r>
        <w:rPr>
          <w:rFonts w:hint="eastAsia" w:ascii="仿宋" w:hAnsi="仿宋" w:eastAsia="仿宋" w:cs="仿宋"/>
          <w:lang w:val="en-US"/>
        </w:rPr>
        <w:t>本表金额单位转换时可能存在尾数误差</w:t>
      </w:r>
      <w:r>
        <w:rPr>
          <w:rFonts w:hint="eastAsia" w:ascii="仿宋" w:hAnsi="仿宋" w:eastAsia="仿宋" w:cs="仿宋"/>
        </w:rPr>
        <w:t>。</w:t>
      </w:r>
      <w:r>
        <w:rPr>
          <w:rFonts w:hint="eastAsia" w:ascii="仿宋" w:hAnsi="仿宋" w:eastAsia="仿宋" w:cs="仿宋"/>
          <w:lang w:val="en-US"/>
        </w:rPr>
        <w:t/>
      </w:r>
    </w:p>
    <w:p w14:paraId="39A3B424">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苏州市水利工程建设处</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r>
              <w:rPr>
                <w:rFonts w:hint="eastAsia" w:ascii="仿宋" w:hAnsi="仿宋" w:eastAsia="仿宋" w:cs="仿宋"/>
                <w:sz w:val="22"/>
                <w:szCs w:val="22"/>
              </w:rPr>
              <w:t>14,769.61</w:t>
            </w: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r>
              <w:rPr>
                <w:rFonts w:hint="eastAsia" w:ascii="仿宋" w:hAnsi="仿宋" w:eastAsia="仿宋" w:cs="仿宋"/>
                <w:sz w:val="22"/>
                <w:szCs w:val="22"/>
              </w:rPr>
              <w:t>14,769.61</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212</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城乡社区支出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14,769.61</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14,769.61</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21208</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14,248.17</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14,248.17</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2120803</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xml:space="preserve">    城市建设支出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14,248.17</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14,248.17</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21298</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xml:space="preserve">  超长期特别国债安排的支出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521.43</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521.43</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2129801</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xml:space="preserve">    城乡社区公共设施</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521.43</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521.43</w:t>
            </w: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5F790C60">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苏州市水利工程建设处</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r>
              <w:rPr>
                <w:rFonts w:hint="eastAsia" w:ascii="仿宋" w:hAnsi="仿宋" w:eastAsia="仿宋" w:cs="仿宋"/>
              </w:rPr>
              <w:t/>
            </w: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r>
              <w:rPr>
                <w:rFonts w:hint="eastAsia" w:ascii="仿宋" w:hAnsi="仿宋" w:eastAsia="仿宋" w:cs="仿宋"/>
              </w:rPr>
              <w:t/>
            </w: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r>
        <w:rPr>
          <w:rFonts w:hint="eastAsia" w:ascii="仿宋" w:hAnsi="仿宋" w:eastAsia="仿宋" w:cs="仿宋"/>
          <w:lang w:val="en-US"/>
        </w:rPr>
        <w:t/>
      </w:r>
      <w:r>
        <w:rPr>
          <w:rFonts w:hint="eastAsia" w:ascii="仿宋" w:hAnsi="仿宋" w:eastAsia="仿宋" w:cs="仿宋"/>
          <w:lang w:val="en-US"/>
        </w:rPr>
        <w:t/>
      </w:r>
    </w:p>
    <w:p w14:paraId="1779740A">
      <w:pPr>
        <w:ind w:left="440" w:leftChars="200"/>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w:t>
      </w:r>
      <w:r>
        <w:rPr>
          <w:rFonts w:ascii="仿宋" w:eastAsia="仿宋" w:hAnsi="仿宋" w:cs="仿宋"/>
          <w:u w:color="auto"/>
        </w:rPr>
        <w:t>单位</w:t>
      </w:r>
      <w:r>
        <w:rPr>
          <w:rFonts w:ascii="仿宋" w:eastAsia="仿宋" w:hAnsi="仿宋" w:cs="仿宋"/>
          <w:u w:color="auto"/>
        </w:rPr>
        <w:t>无</w:t>
      </w:r>
      <w:r>
        <w:rPr>
          <w:rFonts w:hint="eastAsia" w:ascii="仿宋" w:hAnsi="仿宋" w:eastAsia="仿宋" w:cs="仿宋"/>
        </w:rPr>
        <w:t>国有资本经营预算支出</w:t>
      </w:r>
      <w:r>
        <w:rPr>
          <w:rFonts w:hint="eastAsia" w:ascii="仿宋" w:hAnsi="仿宋" w:eastAsia="仿宋" w:cs="仿宋"/>
          <w:lang w:val="en-US"/>
          <w:u/>
        </w:rPr>
        <w:t>决算，故本表为空。</w:t>
      </w:r>
      <w:r>
        <w:rPr>
          <w:rFonts w:ascii="仿宋" w:eastAsia="仿宋" w:hAnsi="仿宋" w:cs="仿宋"/>
          <w:u w:color="auto"/>
        </w:rPr>
        <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苏州市水利工程建设处</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r>
        <w:rPr>
          <w:rFonts w:hint="eastAsia" w:ascii="仿宋" w:hAnsi="仿宋" w:eastAsia="仿宋" w:cs="仿宋"/>
          <w:lang w:val="en-US"/>
        </w:rPr>
        <w:t/>
      </w:r>
      <w:r>
        <w:rPr>
          <w:rFonts w:hint="eastAsia" w:ascii="仿宋" w:hAnsi="仿宋" w:eastAsia="仿宋" w:cs="仿宋"/>
          <w:lang w:val="en-US"/>
        </w:rPr>
        <w:t/>
      </w:r>
    </w:p>
    <w:p w14:paraId="20CA0BD9">
      <w:pPr>
        <w:tabs>
          <w:tab w:val="left" w:pos="440"/>
        </w:tabs>
        <w:spacing w:before="25"/>
        <w:ind w:left="440" w:leftChars="200"/>
        <w:jc w:val="both"/>
        <w:rPr>
          <w:rFonts w:hint="eastAsia" w:ascii="仿宋" w:hAnsi="仿宋" w:eastAsia="仿宋" w:cs="仿宋"/>
        </w:rPr>
      </w:pPr>
      <w:r>
        <w:rPr>
          <w:rFonts w:hint="eastAsia" w:ascii="仿宋" w:hAnsi="仿宋" w:eastAsia="仿宋" w:cs="仿宋"/>
          <w:lang w:val="en-US"/>
        </w:rPr>
        <w:t/>
      </w: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w:t>
      </w:r>
      <w:r>
        <w:rPr>
          <w:rFonts w:hint="eastAsia" w:ascii="仿宋" w:hAnsi="仿宋" w:eastAsia="仿宋" w:cs="仿宋"/>
          <w:lang w:val="en-US"/>
        </w:rPr>
        <w:t>财政拨款</w:t>
      </w:r>
      <w:r>
        <w:rPr>
          <w:rFonts w:hint="eastAsia" w:ascii="仿宋" w:hAnsi="仿宋" w:eastAsia="仿宋" w:cs="仿宋"/>
        </w:rPr>
        <w:t>机关运行经费支出决算</w:t>
      </w:r>
      <w:r>
        <w:rPr>
          <w:rFonts w:hint="eastAsia" w:ascii="仿宋" w:hAnsi="仿宋" w:eastAsia="仿宋" w:cs="仿宋"/>
          <w:lang w:val="en-US"/>
        </w:rPr>
        <w:t>，</w:t>
      </w:r>
      <w:r>
        <w:rPr>
          <w:rFonts w:hint="eastAsia" w:ascii="仿宋" w:hAnsi="仿宋" w:eastAsia="仿宋" w:cs="仿宋"/>
          <w:u/>
        </w:rPr>
        <w:t>故本表为空。</w:t>
      </w:r>
      <w:r>
        <w:rPr>
          <w:rFonts w:ascii="仿宋" w:eastAsia="仿宋" w:hAnsi="仿宋" w:cs="仿宋"/>
          <w:u w:color="auto"/>
        </w:rPr>
        <w:t/>
      </w:r>
    </w:p>
    <w:p w14:paraId="0235525C">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苏州市水利工程建设处</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u/>
        </w:rPr>
        <w:t>政府采购支出信息为单位纳入部门预算范围的各项政府采购支出情况。</w:t>
      </w:r>
      <w:r>
        <w:rPr>
          <w:rFonts w:ascii="仿宋" w:eastAsia="仿宋" w:hAnsi="仿宋" w:cs="仿宋"/>
          <w:u w:color="auto"/>
        </w:rPr>
        <w:t/>
      </w:r>
      <w:r>
        <w:rPr>
          <w:rFonts w:hint="eastAsia" w:ascii="仿宋" w:hAnsi="仿宋" w:eastAsia="仿宋" w:cs="仿宋"/>
          <w:lang w:val="en-US"/>
        </w:rPr>
        <w:t/>
      </w:r>
    </w:p>
    <w:p w14:paraId="2AF34E11">
      <w:pPr>
        <w:ind w:left="440" w:leftChars="200"/>
        <w:jc w:val="both"/>
        <w:rPr>
          <w:rFonts w:hint="eastAsia" w:ascii="仿宋" w:hAnsi="仿宋" w:eastAsia="仿宋" w:cs="仿宋"/>
          <w:lang w:val="en-US"/>
        </w:rPr>
      </w:pPr>
      <w:r>
        <w:rPr>
          <w:rFonts w:hint="eastAsia" w:ascii="仿宋" w:hAnsi="仿宋" w:eastAsia="仿宋" w:cs="仿宋"/>
          <w:lang w:val="en-US"/>
        </w:rPr>
        <w:t/>
      </w: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无政府采购支出决算</w:t>
      </w:r>
      <w:r>
        <w:rPr>
          <w:rFonts w:hint="eastAsia" w:ascii="仿宋" w:hAnsi="仿宋" w:eastAsia="仿宋" w:cs="仿宋"/>
          <w:lang w:val="en-US"/>
        </w:rPr>
        <w:t>，</w:t>
      </w:r>
      <w:r>
        <w:rPr>
          <w:rFonts w:hint="eastAsia" w:ascii="仿宋" w:hAnsi="仿宋" w:eastAsia="仿宋" w:cs="仿宋"/>
        </w:rPr>
        <w:t>故本表为空。</w:t>
      </w:r>
      <w:r>
        <w:rPr>
          <w:rFonts w:hint="eastAsia" w:ascii="仿宋" w:hAnsi="仿宋" w:eastAsia="仿宋" w:cs="仿宋"/>
          <w:lang w:val="en-US"/>
        </w:rPr>
        <w:t/>
      </w:r>
    </w:p>
    <w:p w14:paraId="5306ADDA">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42486F91">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单位</w:t>
      </w:r>
      <w:r>
        <w:rPr>
          <w:rFonts w:hint="eastAsia" w:ascii="宋体" w:hAnsi="宋体" w:eastAsia="宋体" w:cs="宋体"/>
          <w:b/>
          <w:bCs/>
          <w:color w:val="000000"/>
          <w:lang w:eastAsia="ar-SA"/>
        </w:rPr>
        <w:t>决算情况说明</w:t>
      </w:r>
    </w:p>
    <w:p w14:paraId="6FECF2AD">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一、收入支出决算总体情况说明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2024年度收入、支出决算总计27,488.73万元。与上年相比，收、支总计各增加3,869.64万元，增长16.38%。其中：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（一）收入决算总计27,488.73万元。包括：</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本年收入决算合计27,488.73万元。与上年相比，增加3,928.43万元，增长16.67%，变动原因：2024年基建项目吴淞江工程较上年增加2000万元、高藻期项目较上年增加3700万元、胥江项目较上年增加2000万元、平江净水项目已完工较上年减少2800万元、京杭项目已竣工决算较上年减少1200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2.使用非财政拨款结余（含专用结余）0万元。与上年决算数相同。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3.年初结转和结余0万元。与上年相比，减少58.79万元，减少100%，变动原因：基建账户销户上缴国库、财政收走结余。</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（二）支出决算总计27,488.73万元。包括：</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本年支出决算合计27,488.73万元。与上年相比，增加3,891.65万元，增长16.49%，变动原因：2024年基建项目吴淞江工程较上年增加2000万元、高藻期项目较上年增加3700万元、胥江项目较上年增加2000万元、平江净水项目已完工较上年减少2800万元、京杭项目已竣工决算较上年减少1200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2.结余分配0万元。与上年决算数相同。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3.年末结转和结余0万元。与上年相比，减少22.01万元，减少100%，变动原因：工程决算应收应付调整4.89万元和财政收回结余资金17.12万元上划。</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二、收入决算情况说明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年收入决算合计27,488.73万元，其中：财政拨款收入27,488.73万元，占100%；上级补助收入0万元，占0%；财政专户管理教育收费0万元，占0%；事业收入（不含专户管理教育收费）0万元，占0%；经营收入0万元，占0%；附属单位上缴收入0万元，占0%；其他收入0万元，占0%。</w:t>
      </w:r>
      <w:r>
        <w:rPr>
          <w:rFonts w:ascii="仿宋" w:eastAsia="仿宋" w:hAnsi="仿宋" w:cs="仿宋"/>
          <w:u w:color="auto"/>
        </w:rPr>
        <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t/>
        <w:drawing>
          <wp:inline distT="0" distR="0" distB="0" distL="0">
            <wp:extent cx="6134100" cy="3429000"/>
            <wp:docPr id="14" name="Drawing 14" descr="Generated"/>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true"/>
                    </pic:cNvPicPr>
                  </pic:nvPicPr>
                  <pic:blipFill>
                    <a:blip r:embed="rId21"/>
                    <a:stretch>
                      <a:fillRect/>
                    </a:stretch>
                  </pic:blipFill>
                  <pic:spPr>
                    <a:xfrm>
                      <a:off x="0" y="0"/>
                      <a:ext cx="6134100" cy="3429000"/>
                    </a:xfrm>
                    <a:prstGeom prst="rect">
                      <a:avLst/>
                    </a:prstGeom>
                  </pic:spPr>
                </pic:pic>
              </a:graphicData>
            </a:graphic>
          </wp:inline>
        </w:drawing>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2024年度本年支出决算合计27,488.73万元，其中：基本支出573.99万元，占2.09%；项目支出26,914.74万元，占97.91%；上缴上级支出0万元，占0%；经营支出0万元，占0%；对附属单位补助支出0万元，占0%。</w:t>
      </w:r>
      <w:r>
        <w:rPr>
          <w:rFonts w:ascii="仿宋" w:eastAsia="仿宋" w:hAnsi="仿宋" w:cs="仿宋"/>
          <w:u w:color="auto"/>
        </w:rPr>
        <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t/>
        <w:drawing>
          <wp:inline distT="0" distR="0" distB="0" distL="0">
            <wp:extent cx="6134100" cy="3429000"/>
            <wp:docPr id="15" name="Drawing 15" descr="Generated"/>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true"/>
                    </pic:cNvPicPr>
                  </pic:nvPicPr>
                  <pic:blipFill>
                    <a:blip r:embed="rId22"/>
                    <a:stretch>
                      <a:fillRect/>
                    </a:stretch>
                  </pic:blipFill>
                  <pic:spPr>
                    <a:xfrm>
                      <a:off x="0" y="0"/>
                      <a:ext cx="6134100" cy="3429000"/>
                    </a:xfrm>
                    <a:prstGeom prst="rect">
                      <a:avLst/>
                    </a:prstGeom>
                  </pic:spPr>
                </pic:pic>
              </a:graphicData>
            </a:graphic>
          </wp:inline>
        </w:drawing>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四、财政拨款收入支出决算总体情况说明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收入、支出决算总计27,488.73万元。与上年相比，收、支总计各增加3,916.15万元，增长16.61%，变动原因：2024年基建项目吴淞江工程较上年增加2000万元、高藻期项目较上年增加3700万元、胥江项目较上年增加2000万元、平江净水项目已完工较上年减少2800万元、京杭项目已竣工决算较上年减少1200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五、财政拨款支出决算情况说明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2024年度财政拨款支出决算27,488.73万元，占本年支出合计的100%。与2024年度财政拨款支出年初预算643.61万元相比，完成年初预算的4,271.02%。其中：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（一）社会保障和就业支出（类）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1.行政事业单位养老支出（款）机关事业单位基本养老保险缴费支出（项）。年初预算30.25万元，支出决算30.25万元，完成年初预算的100%。决算数与年初预算数相同。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2.行政事业单位养老支出（款）机关事业单位职业年金缴费支出（项）。年初预算15.13万元，支出决算15.13万元，完成年初预算的100%。决算数与年初预算数相同。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（二）城乡社区支出（类）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国有土地使用权出让收入安排的支出（款）城市建设支出（项）。年初预算0万元，支出决算14,248.17万元，（年初预算数为0万元，无法计算完成比率）决算数与年初预算数的差异原因：年初预算不包含基建项目的政府性基金数字，后期调整加入了政府性基金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超长期特别国债安排的支出（款）城乡社区公共设施（项）。年初预算0万元，支出决算521.43万元，（年初预算数为0万元，无法计算完成比率）决算数与年初预算数的差异原因：年初预算不包含基建项目的超长期特别国债，后期调整加入。</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（三）农林水支出（类）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1.农业农村（款）科技转化与推广服务（项）。年初预算0万元，支出决算10万元，（年初预算数为0万元，无法计算完成比率）决算数与年初预算数的差异原因：年初预算不包含省级补助的科技经费。</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2.水利（款）水利工程建设（项）。年初预算0万元，支出决算12,000万元，（年初预算数为0万元，无法计算完成比率）决算数与年初预算数的差异原因：年初预算不包含省专项补助。</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水利（款）水利工程运行与维护（项）。年初预算473.42万元，支出决算520.77万元，完成年初预算的110%。决算数与年初预算数的差异原因：年初预算不包含基建项目的政府性基金数字，后期调整加入了政府性基金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（四）住房保障支出（类）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1.住房改革支出（款）住房公积金（项）。年初预算39.42万元，支出决算49.38万元，完成年初预算的125.27%。决算数与年初预算数的差异原因：公积金调整基数。</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2.住房改革支出（款）提租补贴（项）。年初预算15.84万元，支出决算15.84万元，完成年初预算的100%。决算数与年初预算数相同。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3.住房改革支出（款）购房补贴（项）。年初预算69.55万元，支出决算77.75万元，完成年初预算的111.79%。决算数与年初预算数的差异原因：基数调整。</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六、财政拨款基本支出决算情况说明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2024年度财政拨款基本支出决算573.99万元，其中：</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（一）人员经费543.12万元。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主要包括：基本工资、津贴补贴、绩效工资、机关事业单位基本养老保险缴费、职业年金缴费、职工基本医疗保险缴费、公务员医疗补助缴费、其他社会保障缴费、住房公积金、医疗费补助。</w:t>
      </w:r>
      <w:r>
        <w:rPr>
          <w:rFonts w:ascii="仿宋" w:eastAsia="仿宋" w:hAnsi="仿宋" w:cs="仿宋"/>
          <w:u w:color="auto"/>
        </w:rPr>
        <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（二）公用经费30.86万元。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主要包括：办公费、印刷费、邮电费、差旅费、培训费、工会经费、福利费、其他交通费用、其他商品和服务支出。</w:t>
      </w:r>
      <w:r>
        <w:rPr>
          <w:rFonts w:ascii="仿宋" w:eastAsia="仿宋" w:hAnsi="仿宋" w:cs="仿宋"/>
          <w:u w:color="auto"/>
        </w:rPr>
        <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七、一般公共预算支出决算情况说明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2024年度一般公共预算财政拨款支出决算12,719.12万元。与上年相比，增加5,708.76万元，增长81.43%，变动原因：吴淞江工程较上年增加数。</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八、一般公共预算基本支出决算情况说明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2024年度一般公共预算财政拨款基本支出决算573.99万元，其中：</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（一）人员经费543.12万元。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主要包括：基本工资、津贴补贴、绩效工资、机关事业单位基本养老保险缴费、职业年金缴费、职工基本医疗保险缴费、公务员医疗补助缴费、其他社会保障缴费、住房公积金、医疗费补助。</w:t>
      </w:r>
      <w:r>
        <w:rPr>
          <w:rFonts w:ascii="仿宋" w:eastAsia="仿宋" w:hAnsi="仿宋" w:cs="仿宋"/>
          <w:u w:color="auto"/>
        </w:rPr>
        <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（二）公用经费30.86万元。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主要包括：办公费、印刷费、邮电费、差旅费、培训费、工会经费、福利费、其他交通费用、其他商品和服务支出。</w:t>
      </w:r>
      <w:r>
        <w:rPr>
          <w:rFonts w:ascii="仿宋" w:eastAsia="仿宋" w:hAnsi="仿宋" w:cs="仿宋"/>
          <w:u w:color="auto"/>
        </w:rPr>
        <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九、财政拨款“三公”经费、会议费、培训费支出情况说明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（一）财政拨款“三公”经费支出总体情况说明。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2024年度财政拨款“三公”经费支出决算0万元（其中：一般公共预算支出0万元；政府性基金预算支出0万元；国有资本经营预算支出0万元）。与上年决算数相同。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（二）财政拨款“三公”经费支出具体情况说明。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公务用车购置及运行维护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（1）公务用车购置支出决算0万元。本年度使用财政拨款购置公务用车0辆。</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公务用车运行维护费支出决算0万元。公务用车运行维护费主要用于按规定保留的公务用车的燃料费、维修费、过桥过路费、保险费、安全奖励费用等支出。截至2024年12月31日，使用财政拨款开支的公务用车保有量为0辆。</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公务接待费支出预算1万元（其中：一般公共预算支出1万元；政府性基金预算支出0万元；国有资本经营预算支出0万元），支出决算0万元（其中：一般公共预算支出0万元；政府性基金预算支出0万元；国有资本经营预算支出0万元），完成调整后预算的0%，决算数与预算数的差异原因：本年未发生公务接待费。其中：国内公务接待支出0万元，接待0批次，0人次；国（境）外公务接待支出0万元，接待0批次，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（三）财政拨款会议费支出决算情况说明。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会议费支出预算0.8万元（其中：一般公共预算支出0.8万元；政府性基金预算支出0万元；国有资本经营预算支出0万元），支出决算0万元（其中：一般公共预算支出0万元；政府性基金预算支出0万元；国有资本经营预算支出0万元），完成调整后预算的0%，决算数与预算数的差异原因：本年未发生会议费。2024年度全年召开会议0个，参加会议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（四）财政拨款培训费支出决算情况说明。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培训费支出预算1万元（其中：一般公共预算支出1万元；政府性基金预算支出0万元；国有资本经营预算支出0万元），支出决算1万元（其中：一般公共预算支出1万元；政府性基金预算支出0万元；国有资本经营预算支出0万元），完成调整后预算的100%，决算数与预算数相同。2024年度全年组织培训1个，组织培训40人次，开支内容：为加强全市水利工程建设项目法人管理工作，开展2024年项目法人能力提升培训班，共40人次二天。</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十、政府性基金预算财政拨款支出决算情况说明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2024年度政府性基金预算财政拨款支出决算14,769.61万元。与上年相比，减少1,775.49万元，减少10.73%，变动原因：京杭项目已竣工决算。</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十一、国有资本经营预算财政拨款支出决算情况说明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2024年度国有资本经营预算财政拨款支出决算0万元。与上年决算数相同。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十二、财政拨款机关运行经费支出决算情况说明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2024年度机关运行经费支出决算0万元（其中：一般公共预算支出0万元；政府性基金预算支出0万元；国有资本经营预算支出0万元）。与上年决算数相同。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十三、政府采购支出决算情况说明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2024年度政府采购支出总额0万元，其中：政府采购货物支出0万元、政府采购工程支出0万元、政府采购服务支出0万元。政府采购授予中小企业合同金额0万元，其中：授予小微企业合同金额0万元。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十四、国有资产占用情况说明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截至2024年12月31日，本单位共有车辆0辆，其中：副部(省)级及以上领导用车0辆、主要领导干部用车0辆、机要通信用车0辆、应急保障用车0辆、执法执勤用车0辆、特种专业技术用车0辆、离退休干部用车0辆、其他用车0辆；单价100万元（含）以上的设备0台（套）。</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十五、预算绩效评价工作开展情况</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2024年度，本单位共0个项目开展了财政重点绩效评价，涉及财政性资金合计0万元；本单位未开展单位整体支出财政重点绩效评价，涉及财政性资金0万元。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本单位共对上年度已实施完成的7个项目开展了绩效自评价，涉及财政性资金合计136.21万元；本单位共开展1项单位整体支出绩效自评价，涉及财政性资金合计643.61万元。</w:t>
      </w:r>
      <w:r>
        <w:rPr>
          <w:rFonts w:ascii="仿宋" w:eastAsia="仿宋" w:hAnsi="仿宋" w:cs="仿宋"/>
          <w:u w:color="auto"/>
        </w:rPr>
        <w:t/>
      </w:r>
    </w:p>
    <w:p w14:paraId="1FD08161">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1D00300C">
      <w:pPr>
        <w:pStyle w:val="8"/>
        <w:tabs>
          <w:tab w:val="left" w:pos="3864"/>
          <w:tab w:val="left" w:pos="6248"/>
          <w:tab w:val="left" w:pos="7386"/>
        </w:tabs>
        <w:ind w:left="440" w:leftChars="200" w:firstLine="659" w:firstLineChars="206"/>
        <w:jc w:val="both"/>
        <w:rPr>
          <w:rFonts w:hint="eastAsia" w:ascii="仿宋" w:hAnsi="仿宋" w:eastAsia="仿宋" w:cs="仿宋"/>
        </w:rPr>
      </w:pP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一、财政拨款收入</w:t>
      </w:r>
      <w:r>
        <w:rPr>
          <w:b w:val="on"/>
          <w:rFonts w:ascii="仿宋" w:eastAsia="仿宋" w:hAnsi="仿宋" w:cs="仿宋"/>
          <w:u w:color="auto"/>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二、上级补助收入</w:t>
      </w:r>
      <w:r>
        <w:rPr>
          <w:b w:val="on"/>
          <w:rFonts w:ascii="仿宋" w:eastAsia="仿宋" w:hAnsi="仿宋" w:cs="仿宋"/>
          <w:u w:color="auto"/>
        </w:rPr>
        <w:t>：</w:t>
      </w:r>
      <w:r>
        <w:rPr>
          <w:rFonts w:hint="eastAsia" w:ascii="仿宋" w:hAnsi="仿宋" w:eastAsia="仿宋" w:cs="仿宋"/>
        </w:rPr>
        <w:t>指事业单位从主管部门和上级单位取得的非财政补助收入。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三、财政专户管理教育收费</w:t>
      </w:r>
      <w:r>
        <w:rPr>
          <w:b w:val="on"/>
          <w:rFonts w:ascii="仿宋" w:eastAsia="仿宋" w:hAnsi="仿宋" w:cs="仿宋"/>
          <w:u w:color="auto"/>
        </w:rPr>
        <w:t>：</w:t>
      </w:r>
      <w:r>
        <w:rPr>
          <w:rFonts w:hint="eastAsia" w:ascii="仿宋" w:hAnsi="仿宋" w:eastAsia="仿宋" w:cs="仿宋"/>
        </w:rPr>
        <w:t>指缴入财政专户、实行专项管理的高中以上学费、住宿费、高校委托培养费、函大、电大、夜大及短训班培训费等教育收费。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四、事业收入</w:t>
      </w:r>
      <w:r>
        <w:rPr>
          <w:b w:val="on"/>
          <w:rFonts w:ascii="仿宋" w:eastAsia="仿宋" w:hAnsi="仿宋" w:cs="仿宋"/>
          <w:u w:color="auto"/>
        </w:rPr>
        <w:t>：</w:t>
      </w:r>
      <w:r>
        <w:rPr>
          <w:rFonts w:hint="eastAsia" w:ascii="仿宋" w:hAnsi="仿宋" w:eastAsia="仿宋" w:cs="仿宋"/>
        </w:rPr>
        <w:t>指事业单位开展专业业务活动及其辅助活动取得的收入。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五、经营收入</w:t>
      </w:r>
      <w:r>
        <w:rPr>
          <w:b w:val="on"/>
          <w:rFonts w:ascii="仿宋" w:eastAsia="仿宋" w:hAnsi="仿宋" w:cs="仿宋"/>
          <w:u w:color="auto"/>
        </w:rPr>
        <w:t>：</w:t>
      </w:r>
      <w:r>
        <w:rPr>
          <w:rFonts w:hint="eastAsia" w:ascii="仿宋" w:hAnsi="仿宋" w:eastAsia="仿宋" w:cs="仿宋"/>
        </w:rPr>
        <w:t>指事业单位在专业业务活动及其辅助活动之外开展非独立核算经营活动取得的收入。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六、附属单位上缴收入</w:t>
      </w:r>
      <w:r>
        <w:rPr>
          <w:b w:val="on"/>
          <w:rFonts w:ascii="仿宋" w:eastAsia="仿宋" w:hAnsi="仿宋" w:cs="仿宋"/>
          <w:u w:color="auto"/>
        </w:rPr>
        <w:t>：</w:t>
      </w:r>
      <w:r>
        <w:rPr>
          <w:rFonts w:hint="eastAsia" w:ascii="仿宋" w:hAnsi="仿宋" w:eastAsia="仿宋" w:cs="仿宋"/>
        </w:rPr>
        <w:t>指事业单位附属独立核算单位按照有关规定上缴的收入。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七、其他收入</w:t>
      </w:r>
      <w:r>
        <w:rPr>
          <w:b w:val="on"/>
          <w:rFonts w:ascii="仿宋" w:eastAsia="仿宋" w:hAnsi="仿宋" w:cs="仿宋"/>
          <w:u w:color="auto"/>
        </w:rPr>
        <w:t>：</w:t>
      </w:r>
      <w:r>
        <w:rPr>
          <w:rFonts w:hint="eastAsia" w:ascii="仿宋" w:hAnsi="仿宋" w:eastAsia="仿宋" w:cs="仿宋"/>
        </w:rPr>
        <w:t>指单位取得的除上述“财政拨款收入”、 “上级补助收入”、“事业收入”、“经营收入”、“附属单位上缴收入”等以外的各项收入。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八、使用非财政拨款结余（含专用结余）</w:t>
      </w:r>
      <w:r>
        <w:rPr>
          <w:b w:val="on"/>
          <w:rFonts w:ascii="仿宋" w:eastAsia="仿宋" w:hAnsi="仿宋" w:cs="仿宋"/>
          <w:u w:color="auto"/>
        </w:rPr>
        <w:t>：</w:t>
      </w:r>
      <w:r>
        <w:rPr>
          <w:rFonts w:hint="eastAsia" w:ascii="仿宋" w:hAnsi="仿宋" w:eastAsia="仿宋" w:cs="仿宋"/>
        </w:rPr>
        <w:t>指事业单位按照预算管理要求使用非财政拨款结余（含专用结余）弥补当年收支差额的数额。</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九、年初结转和结余</w:t>
      </w:r>
      <w:r>
        <w:rPr>
          <w:b w:val="on"/>
          <w:rFonts w:ascii="仿宋" w:eastAsia="仿宋" w:hAnsi="仿宋" w:cs="仿宋"/>
          <w:u w:color="auto"/>
        </w:rPr>
        <w:t>：</w:t>
      </w:r>
      <w:r>
        <w:rPr>
          <w:rFonts w:hint="eastAsia" w:ascii="仿宋" w:hAnsi="仿宋" w:eastAsia="仿宋" w:cs="仿宋"/>
        </w:rPr>
        <w:t>指单位上年结转本年使用的基本支出结转、项目支出结转和结余、经营结余。</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十、结余分配</w:t>
      </w:r>
      <w:r>
        <w:rPr>
          <w:b w:val="on"/>
          <w:rFonts w:ascii="仿宋" w:eastAsia="仿宋" w:hAnsi="仿宋" w:cs="仿宋"/>
          <w:u w:color="auto"/>
        </w:rPr>
        <w:t>：</w:t>
      </w:r>
      <w:r>
        <w:rPr>
          <w:rFonts w:hint="eastAsia" w:ascii="仿宋" w:hAnsi="仿宋" w:eastAsia="仿宋" w:cs="仿宋"/>
        </w:rPr>
        <w:t>指事业单位按规定缴纳的所得税以及从非财政拨款结余中提取各类结余的情况。</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十一、年末结转和结余资金</w:t>
      </w:r>
      <w:r>
        <w:rPr>
          <w:b w:val="on"/>
          <w:rFonts w:ascii="仿宋" w:eastAsia="仿宋" w:hAnsi="仿宋" w:cs="仿宋"/>
          <w:u w:color="auto"/>
        </w:rPr>
        <w:t>：</w:t>
      </w:r>
      <w:r>
        <w:rPr>
          <w:rFonts w:hint="eastAsia" w:ascii="仿宋" w:hAnsi="仿宋" w:eastAsia="仿宋" w:cs="仿宋"/>
        </w:rPr>
        <w:t>指单位结转下年的基本支出结转、项目支出结转和结余、经营结余。</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十二、基本支出</w:t>
      </w:r>
      <w:r>
        <w:rPr>
          <w:b w:val="on"/>
          <w:rFonts w:ascii="仿宋" w:eastAsia="仿宋" w:hAnsi="仿宋" w:cs="仿宋"/>
          <w:u w:color="auto"/>
        </w:rPr>
        <w:t>：</w:t>
      </w:r>
      <w:r>
        <w:rPr>
          <w:rFonts w:hint="eastAsia" w:ascii="仿宋" w:hAnsi="仿宋" w:eastAsia="仿宋" w:cs="仿宋"/>
        </w:rPr>
        <w:t>指为保障机构正常运转、完成日常工作任务所发生的支出，包括人员经费和公用经费。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十三、项目支出</w:t>
      </w:r>
      <w:r>
        <w:rPr>
          <w:b w:val="on"/>
          <w:rFonts w:ascii="仿宋" w:eastAsia="仿宋" w:hAnsi="仿宋" w:cs="仿宋"/>
          <w:u w:color="auto"/>
        </w:rPr>
        <w:t>：</w:t>
      </w:r>
      <w:r>
        <w:rPr>
          <w:rFonts w:hint="eastAsia" w:ascii="仿宋" w:hAnsi="仿宋" w:eastAsia="仿宋" w:cs="仿宋"/>
        </w:rPr>
        <w:t>指在为完成特定的工作任务和事业发展目标所发生的支出。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十四、上缴上级支出</w:t>
      </w:r>
      <w:r>
        <w:rPr>
          <w:b w:val="on"/>
          <w:rFonts w:ascii="仿宋" w:eastAsia="仿宋" w:hAnsi="仿宋" w:cs="仿宋"/>
          <w:u w:color="auto"/>
        </w:rPr>
        <w:t>：</w:t>
      </w:r>
      <w:r>
        <w:rPr>
          <w:rFonts w:hint="eastAsia" w:ascii="仿宋" w:hAnsi="仿宋" w:eastAsia="仿宋" w:cs="仿宋"/>
        </w:rPr>
        <w:t>指事业单位按照财政部门和主管部门的规定上缴上级单位的支出。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十五、经营支出</w:t>
      </w:r>
      <w:r>
        <w:rPr>
          <w:b w:val="on"/>
          <w:rFonts w:ascii="仿宋" w:eastAsia="仿宋" w:hAnsi="仿宋" w:cs="仿宋"/>
          <w:u w:color="auto"/>
        </w:rPr>
        <w:t>：</w:t>
      </w:r>
      <w:r>
        <w:rPr>
          <w:rFonts w:hint="eastAsia" w:ascii="仿宋" w:hAnsi="仿宋" w:eastAsia="仿宋" w:cs="仿宋"/>
        </w:rPr>
        <w:t>指事业单位在专业业务活动及其辅助活动之外开展非独立核算经营活动发生的支出。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十六、对附属单位补助支出</w:t>
      </w:r>
      <w:r>
        <w:rPr>
          <w:b w:val="on"/>
          <w:rFonts w:ascii="仿宋" w:eastAsia="仿宋" w:hAnsi="仿宋" w:cs="仿宋"/>
          <w:u w:color="auto"/>
        </w:rPr>
        <w:t>：</w:t>
      </w:r>
      <w:r>
        <w:rPr>
          <w:rFonts w:hint="eastAsia" w:ascii="仿宋" w:hAnsi="仿宋" w:eastAsia="仿宋" w:cs="仿宋"/>
        </w:rPr>
        <w:t>指事业单位用财政拨款收入之外的收入对附属单位补助发生的支出。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十七、“三公”经费</w:t>
      </w:r>
      <w:r>
        <w:rPr>
          <w:b w:val="on"/>
          <w:rFonts w:ascii="仿宋" w:eastAsia="仿宋" w:hAnsi="仿宋" w:cs="仿宋"/>
          <w:u w:color="auto"/>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十八、机关运行经费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十九、社会保障和就业支出(类)行政事业单位养老支出(款)机关事业单位基本养老保险缴费支出(项)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二十一、城乡社区支出(类)国有土地使用权出让收入安排的支出(款)城市建设支出(项)</w:t>
      </w:r>
      <w:r>
        <w:rPr>
          <w:b w:val="on"/>
          <w:rFonts w:ascii="仿宋" w:eastAsia="仿宋" w:hAnsi="仿宋" w:cs="仿宋"/>
          <w:u w:color="auto"/>
        </w:rPr>
        <w:t>：</w:t>
      </w:r>
      <w:r>
        <w:rPr>
          <w:rFonts w:hint="eastAsia" w:ascii="仿宋" w:hAnsi="仿宋" w:eastAsia="仿宋" w:cs="仿宋"/>
        </w:rPr>
        <w:t>反映土地出让收入用于完善国有土地使用功能的配套设施建设和城市基础设施建设支出。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二十二、城乡社区支出(类)超长期特别国债安排的支出(款)城乡社区公共设施(项)</w:t>
      </w:r>
      <w:r>
        <w:rPr>
          <w:b w:val="on"/>
          <w:rFonts w:ascii="仿宋" w:eastAsia="仿宋" w:hAnsi="仿宋" w:cs="仿宋"/>
          <w:u w:color="auto"/>
        </w:rPr>
        <w:t>：</w:t>
      </w:r>
      <w:r>
        <w:rPr>
          <w:rFonts w:hint="eastAsia" w:ascii="仿宋" w:hAnsi="仿宋" w:eastAsia="仿宋" w:cs="仿宋"/>
        </w:rPr>
        <w:t>反映使用超长期特别国债收入安排的城乡社区道路、桥涵、燃气、供暖、公共交通等公共设施建设维护与管理方面的支出。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二十三、农林水支出(类)农业农村(款)科技转化与推广服务(项)</w:t>
      </w:r>
      <w:r>
        <w:rPr>
          <w:b w:val="on"/>
          <w:rFonts w:ascii="仿宋" w:eastAsia="仿宋" w:hAnsi="仿宋" w:cs="仿宋"/>
          <w:u w:color="auto"/>
        </w:rPr>
        <w:t>：</w:t>
      </w:r>
      <w:r>
        <w:rPr>
          <w:rFonts w:hint="eastAsia" w:ascii="仿宋" w:hAnsi="仿宋" w:eastAsia="仿宋" w:cs="仿宋"/>
        </w:rPr>
        <w:t>反映用于农业科技成果转化，农业科技人才奖励，农业新品种、新机具、新技术引进、试验、示范、推广及服务，农村人居环境整治等方面的技术试验示范支出。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二十四、农林水支出(类)水利(款)水利工程建设(项)</w:t>
      </w:r>
      <w:r>
        <w:rPr>
          <w:b w:val="on"/>
          <w:rFonts w:ascii="仿宋" w:eastAsia="仿宋" w:hAnsi="仿宋" w:cs="仿宋"/>
          <w:u w:color="auto"/>
        </w:rPr>
        <w:t>：</w:t>
      </w:r>
      <w:r>
        <w:rPr>
          <w:rFonts w:hint="eastAsia" w:ascii="仿宋" w:hAnsi="仿宋" w:eastAsia="仿宋" w:cs="仿宋"/>
        </w:rPr>
        <w:t>反映水利系统用于江、河、湖、滩等水利工程建设支出，包括堤防、河道、水库、水利枢纽、涵闸、灌区、供水、蓄滞洪区等水利工程及其附属设备、设施的建设、改造更新、病险水库除险加固、大型灌区改造、农村电气化建设等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二十五、农林水支出(类)水利(款)水利工程运行与维护(项)</w:t>
      </w:r>
      <w:r>
        <w:rPr>
          <w:b w:val="on"/>
          <w:rFonts w:ascii="仿宋" w:eastAsia="仿宋" w:hAnsi="仿宋" w:cs="仿宋"/>
          <w:u w:color="auto"/>
        </w:rPr>
        <w:t>：</w:t>
      </w:r>
      <w:r>
        <w:rPr>
          <w:rFonts w:hint="eastAsia" w:ascii="仿宋" w:hAnsi="仿宋" w:eastAsia="仿宋" w:cs="仿宋"/>
        </w:rPr>
        <w:t>反映水利系统用于江、河、湖、滩等治理工程运行与维护方面的支出，以及纳入预算管理的水利工程管理单位的支出。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二十六、住房保障支出(类)住房改革支出(款)住房公积金(项)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二十七、住房保障支出(类)住房改革支出(款)提租补贴(项)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二十八、住房保障支出(类)住房改革支出(款)购房补贴(项)</w:t>
      </w:r>
      <w:r>
        <w:rPr>
          <w:b w:val="on"/>
          <w:rFonts w:ascii="仿宋" w:eastAsia="仿宋" w:hAnsi="仿宋" w:cs="仿宋"/>
          <w:u w:color="auto"/>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BF59">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tENd9csBAACcAwAADgAAAGRycy9lMm9Eb2MueG1srVPNjtMwEL4j8Q6W 79RpJVAVNV3tqlqEhABp4QFcx24s+U8et0lfAN6AExfuPFefg7GTdGG57IFLMp6ZfPN9nyebm8Ea cpIRtHcNXS4qSqQTvtXu0NAvn+9frSmBxF3LjXeyoWcJ9Gb78sWmD7Vc+c6bVkaCIA7qPjS0SynU jIHopOWw8EE6LCofLU94jAfWRt4jujVsVVVvWO9jG6IXEgCzu7FIJ8T4HECvlBZy58XRSpdG1CgN TygJOh2AbgtbpaRIH5UCmYhpKCpN5YlDMN7nJ9tueH2IPHRaTBT4cyg80WS5djj0CrXjiZNj1P9A WS2iB6/SQnjLRiHFEVSxrJ5489DxIIsWtBrC1XT4f7Diw+lTJLrFTaDEcYsXfvn+7fLj1+XnV7Ks Vq+zQ32AGhsfAram4c4PuXvKAyaz8EFFm98oiWAd/T1f/ZVDIiJ/tF6t1xWWBNbmA+Kwx89DhPRW ekty0NCIF1h85af3kMbWuSVPc/5eG4N5Xhv3VwIxc4Zl7iPHHKVhP0zE9749o54e776hDledEvPO obV5TeYgzsF+Do4h6kOH1JaFF4TbY0IShVueMMJOg/HSirppwfJW/HkuXY8/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LRDXfXLAQAAnAMAAA4AAAAAAAAAAQAgAAAAHgEAAGRycy9lMm9E b2MueG1sUEsFBgAAAAAGAAYAWQEAAFsFAAAAAA== ">
              <v:fill on="f" focussize="0,0"/>
              <v:stroke on="f"/>
              <v:imagedata o:title=""/>
              <o:lock v:ext="edit" aspectratio="f"/>
              <v:textbox inset="0mm,0mm,0mm,0mm" style="mso-fit-shape-to-text:t;">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3RFbMcsBAACdAwAADgAAAGRycy9lMm9Eb2MueG1srVPNjtMwEL4j8Q6W 79RpkVAVNV3tqlqEhABp4QFcx24s+U8et0lfAN6AExfuPFefg7GTdGG57IFLMp6ZfPN93zibm8Ea cpIRtHcNXS4qSqQTvtXu0NAvn+9frSmBxF3LjXeyoWcJ9Gb78sWmD7Vc+c6bVkaCIA7qPjS0SynU jIHopOWw8EE6LCofLU94jAfWRt4jujVsVVVvWO9jG6IXEgCzu7FIJ8T4HECvlBZy58XRSpdG1CgN TygJOh2AbgtbpaRIH5UCmYhpKCpN5YlDMN7nJ9tueH2IPHRaTBT4cyg80WS5djj0CrXjiZNj1P9A WS2iB6/SQnjLRiHFEVSxrJ5489DxIIsWtBrC1XT4f7Diw+lTJLrFm4CWOG5x45fv3y4/fl1+fiXL 6vUqW9QHqLHzIWBvGu78gO1zHjCZlQ8q2vxGTQTriHa+GiyHRET+aL1aryssCazNB8Rnj5+HCOmt 9JbkoKERN1iM5af3kMbWuSVPc/5eG1O2aNxfCcTMGZa5jxxzlIb9MAna+/aMenpcfkMd3nVKzDuH 3iK/NAdxDvZzcAxRHzqktiy8INweE5Io3PKEEXYajFsr6qYblq/Fn+fS9fhXbX8D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N0RWzHLAQAAnQMAAA4AAAAAAAAAAQAgAAAAHgEAAGRycy9lMm9E b2MueG1sUEsFBgAAAAAGAAYAWQEAAFsFAAAAAA== ">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FxzAh8wBAACdAwAADgAAAGRycy9lMm9Eb2MueG1srVNLbtswEN0XyB0I 7mNKDlAYguWghZEiQNAWSHsAmqIsAvyBQ1vyBdobdNVN9z2Xz9EhJTlpusmiG2o4M3zz3sxofTsY TY4ygHK2puWioERa4Rpl9zX9+uXuekUJRG4brp2VNT1JoLebqzfr3ldy6TqnGxkIglioel/TLkZf MQaik4bDwnlpMdi6YHjEa9izJvAe0Y1my6J4y3oXGh+ckADo3Y5BOiGG1wC6tlVCbp04GGnjiBqk 5hElQac80E1m27ZSxE9tCzISXVNUGvOJRdDepZNt1rzaB+47JSYK/DUUXmgyXFkseoHa8sjJIah/ oIwSwYFr40I4w0YhuSOooixe9Oax415mLdhq8Jemw/+DFR+PnwNRDW5CSYnlBid+/vH9/PP3+dc3 UhY3N6lFvYcKMx895sbhvRswffYDOpPyoQ0mfVETwTg2+HRpsBwiEenRarlaFRgSGJsviM+envsA 8YN0hiSjpgEnmBvLjw8Qx9Q5JVWz7k5pnaeo7V8OxEwelriPHJMVh90wCdq55oR6ehx+TS3uOiX6 3mJv057MRpiN3WwcfFD7DqmVmRf4d4eIJDK3VGGEnQrj1LK6acPSWjy/56ynv2rzB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AXHMCHzAEAAJ0DAAAOAAAAAAAAAAEAIAAAAB4BAABkcnMvZTJv RG9jLnhtbFBLBQYAAAAABgAGAFkBAABcBQAAAAA= ">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DBhR6ssBAACdAwAADgAAAGRycy9lMm9Eb2MueG1srVPNjtMwEL4j8Q6W 79RpQaiKmq5A1SIkBEjLPoDr2I0l/8njNukLwBtw4sKd5+pzMHaSLiyXPXBxxjPjb75vZrK5Gawh JxlBe9fQ5aKiRDrhW+0ODb3/cvtiTQkk7lpuvJMNPUugN9vnzzZ9qOXKd960MhIEcVD3oaFdSqFm DEQnLYeFD9JhUPloecJrPLA28h7RrWGrqnrNeh/bEL2QAOjdjUE6IcanAHqltJA7L45WujSiRml4 QknQ6QB0W9gqJUX6pBTIRExDUWkqJxZBe59Ptt3w+hB56LSYKPCnUHikyXLtsOgVascTJ8eo/4Gy WkQPXqWF8JaNQkpHUMWyetSbu44HWbRgqyFcmw7/D1Z8PH2ORLe4CStKHLc48cv3b5cfvy4/v5Jl 9fJVblEfoMbMu4C5aXjrB0yf/YDOrHxQ0eYvaiIYxwafrw2WQyIiP1qv1usKQwJj8wXx2cPzECG9 k96SbDQ04gRLY/npA6QxdU7J1Zy/1caUKRr3lwMxs4dl7iPHbKVhP0yC9r49o54eh99Qh7tOiXnv sLd5T2YjzsZ+No4h6kOH1JaFF4Q3x4QkCrdcYYSdCuPUirppw/Ja/HkvWQ9/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AwYUerLAQAAnQMAAA4AAAAAAAAAAQAgAAAAHgEAAGRycy9lMm9E b2MueG1sUEsFBgAAAAAGAAYAWQEAAFsFAAAAAA== ">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y2xO8MwBAACdAwAADgAAAGRycy9lMm9Eb2MueG1srVNLbtswEN0XyB0I 7mPKDlAIguWghZEiQNAWSHsAmqIsAvyBQ1vyBdobdNVN9z2Xz9EhJTlpusmiG2o4M3zz3sxofTsY TY4ygHK2pstFQYm0wjXK7mv69cvddUkJRG4brp2VNT1JoLebqzfr3ldy5TqnGxkIglioel/TLkZf MQaik4bDwnlpMdi6YHjEa9izJvAe0Y1mq6J4y3oXGh+ckADo3Y5BOiGG1wC6tlVCbp04GGnjiBqk 5hElQac80E1m27ZSxE9tCzISXVNUGvOJRdDepZNt1rzaB+47JSYK/DUUXmgyXFkseoHa8sjJIah/ oIwSwYFr40I4w0YhuSOoYlm86M1jx73MWrDV4C9Nh/8HKz4ePweiGtyEG0osNzjx84/v55+/z7++ kWVxU6YW9R4qzHz0mBuH927A9NkP6EzKhzaY9EVNBOPY4NOlwXKIRKRH5aosCwwJjM0XxGdPz32A +EE6Q5JR04ATzI3lxweIY+qckqpZd6e0zlPU9i8HYiYPS9xHjsmKw26YBO1cc0I9PQ6/phZ3nRJ9 b7G3aU9mI8zGbjYOPqh9h9SWmRf4d4eIJDK3VGGEnQrj1LK6acPSWjy/56ynv2rzB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DLbE7wzAEAAJ0DAAAOAAAAAAAAAAEAIAAAAB4BAABkcnMvZTJv RG9jLnhtbFBLBQYAAAAABgAGAFkBAABcBQAAAAA= ">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C0D">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B8YBXMwBAACcAwAADgAAAGRycy9lMm9Eb2MueG1srVNLbtswEN0XyB0I 7mNKRlEYguUggZEiQNAWSHsAmqIsAvyBQ1vyBdobdNVN9z2Xz9EhJTltusmiG2o4M3zz3sxofTMY TY4ygHK2puWioERa4Rpl9zX98vn+ekUJRG4brp2VNT1JoDebqzfr3ldy6TqnGxkIglioel/TLkZf MQaik4bDwnlpMdi6YHjEa9izJvAe0Y1my6J4x3oXGh+ckADo3Y5BOiGG1wC6tlVCbp04GGnjiBqk 5hElQac80E1m27ZSxI9tCzISXVNUGvOJRdDepZNt1rzaB+47JSYK/DUUXmgyXFkseoHa8sjJIah/ oIwSwYFr40I4w0YhuSOooixe9Oap415mLdhq8Jemw/+DFR+OnwJRTU2XlFhucODn79/OP36df34l ZfG2TB3qPVSY+OQxNQ53bsC9mf2AziR8aINJX5REMI79PV36K4dIRHq0Wq5WBYYExuYL4rPn5z5A fC+dIcmoacAB5r7y4yPEMXVOSdWsu1da5yFq+5cDMZOHJe4jx2TFYTdMgnauOaGeHmdfU4urTol+ sNjatCazEWZjNxsHH9S+Q2pl5gX+9hCRROaWKoywU2EcWlY3LVjaij/vOev5p9r8Bl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AHxgFczAEAAJwDAAAOAAAAAAAAAAEAIAAAAB4BAABkcnMvZTJv RG9jLnhtbFBLBQYAAAAABgAGAFkBAABcBQAAAAA= ">
              <v:fill on="f" focussize="0,0"/>
              <v:stroke on="f"/>
              <v:imagedata o:title=""/>
              <o:lock v:ext="edit" aspectratio="f"/>
              <v:textbox inset="0mm,0mm,0mm,0mm" style="mso-fit-shape-to-text:t;">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vIt3tcsBAACcAwAADgAAAGRycy9lMm9Eb2MueG1srVPNjtMwEL4j8Q6W 79RpV0IlaroCVYuQECAtPIDr2I0l/8njNukLwBtw4sKd5+pzMHaSLiyXPXBxxjPjb75vZrK5Hawh JxlBe9fQ5aKiRDrhW+0ODf3y+e7FmhJI3LXceCcbepZAb7fPn236UMuV77xpZSQI4qDuQ0O7lELN GIhOWg4LH6TDoPLR8oTXeGBt5D2iW8NWVfWS9T62IXohAdC7G4N0QoxPAfRKaSF3XhytdGlEjdLw hJKg0wHotrBVSor0USmQiZiGotJUTiyC9j6fbLvh9SHy0GkxUeBPofBIk+XaYdEr1I4nTo5R/wNl tYgevEoL4S0bhZSOoIpl9ag39x0PsmjBVkO4Nh3+H6z4cPoUiW4bekOJ4xYHfvn+7fLj1+XnV7Ks bl7lDvUBaky8D5iahjd+wL2Z/YDOLHxQ0eYvSiIYx/6er/2VQyIiP1qv1usKQwJj8wXx2cPzECG9 ld6SbDQ04gBLX/npPaQxdU7J1Zy/08aUIRr3lwMxs4dl7iPHbKVhP0yC9r49o54eZ99Qh6tOiXnn sLV5TWYjzsZ+No4h6kOH1JaFF4TXx4QkCrdcYYSdCuPQirppwfJW/HkvWQ8/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LyLd7XLAQAAnAMAAA4AAAAAAAAAAQAgAAAAHgEAAGRycy9lMm9E b2MueG1sUEsFBgAAAAAGAAYAWQEAAFsFAAAAAA== ">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Pj0BHcsBAACcAwAADgAAAGRycy9lMm9Eb2MueG1srVNLbtswEN0X6B0I 7mvKRlAYguUghZEiQNAWSHsAmqIsAvyBQ1vyBdobdNVN9z2Xz9EhJdn5bLLIhhrODN/MezNaXfdG k4MMoJyt6HxWUCKtcLWyu4r++H77YUkJRG5rrp2VFT1KoNfr9+9WnS/lwrVO1zIQBLFQdr6ibYy+ ZAxEKw2HmfPSYrBxwfCI17BjdeAdohvNFkXxkXUu1D44IQHQuxmCdEQMrwF0TaOE3DixN9LGATVI zSNSglZ5oOvcbdNIEb82DchIdEWRacwnFkF7m062XvFyF7hvlRhb4K9p4Rknw5XFomeoDY+c7IN6 AWWUCA5cE2fCGTYQyYogi3nxTJuHlnuZuaDU4M+iw9vBii+Hb4GouqJXlFhucOCn379Of/6d/v4k 8+IqK9R5KDHxwWNq7D+5HvcmKZf8gM5EvG+CSV+kRDCO+h7P+so+EpEeLRfLZYEhgbHpgjjs8twH iJ+lMyQZFQ04wKwrP9xDHFKnlFTNululdR6itk8ciJk87NJjsmK/7cfGt64+Ip8OZ19Ri6tOib6z KG1ak8kIk7GdjL0Patdia/PcF/ibfcQmcm+pwgA7FsahZXbjgqWteHzPWZefav0f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D49AR3LAQAAnAMAAA4AAAAAAAAAAQAgAAAAHgEAAGRycy9lMm9E b2MueG1sUEsFBgAAAAAGAAYAWQEAAFsFAAAAAA== ">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WeBJGcsBAACcAwAADgAAAGRycy9lMm9Eb2MueG1srVPNjtMwEL4j8Q6W 79RpJaCKmq5A1SIkBEjLPoDr2I0l/8njNukLwBtw4sKd5+pzMHaSLiyXPXBxxjPjb75vZrK5Gawh JxlBe9fQ5aKiRDrhW+0ODb3/cvtiTQkk7lpuvJMNPUugN9vnzzZ9qOXKd960MhIEcVD3oaFdSqFm DEQnLYeFD9JhUPloecJrPLA28h7RrWGrqnrFeh/bEL2QAOjdjUE6IcanAHqltJA7L45WujSiRml4 QknQ6QB0W9gqJUX6pBTIRExDUWkqJxZBe59Ptt3w+hB56LSYKPCnUHikyXLtsOgVascTJ8eo/4Gy WkQPXqWF8JaNQkpHUMWyetSbu44HWbRgqyFcmw7/D1Z8PH2ORLcNfUmJ4xYHfvn+7fLj1+XnV7Ks Vq9zh/oANSbeBUxNw1s/4N7MfkBnFj6oaPMXJRGMY3/P1/7KIRGRH61X63WFIYGx+YL47OF5iJDe SW9JNhoacYClr/z0AdKYOqfkas7famPKEI37y4GY2cMy95FjttKwHyZBe9+eUU+Ps2+ow1WnxLx3 2Nq8JrMRZ2M/G8cQ9aFDasvCC8KbY0IShVuuMMJOhXFoRd20YHkr/ryXrIefavsb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FngSRnLAQAAnAMAAA4AAAAAAAAAAQAgAAAAHgEAAGRycy9lMm9E b2MueG1sUEsFBgAAAAAGAAYAWQEAAFsFAAAAAA== ">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SsxCrssBAACcAwAADgAAAGRycy9lMm9Eb2MueG1srVNLbtswEN0XyB0I 7mPJXgSCYDlIYKQoEKQF0h6ApkiLAH/g0JZ8gfYGXXXTfc/lc3RISU6bbrLohhrODN+8NzNa3w5G k6MIoJxt6HJRUiIsd62y+4Z++fxwXVECkdmWaWdFQ08C6O3m6t2697VYuc7pVgSCIBbq3je0i9HX RQG8E4bBwnlhMShdMCziNeyLNrAe0Y0uVmV5U/QutD44LgDQux2DdEIMbwF0Uiouto4fjLBxRA1C s4iSoFMe6CazlVLw+FFKEJHohqLSmE8sgvYuncVmzep9YL5TfKLA3kLhlSbDlMWiF6gti4wcgvoH yigeHDgZF9yZYhSSO4IqluWr3jx3zIusBVsN/tJ0+H+w/On4KRDVNvSGEssMDvz8/dv5x6/zz69k Wa6q1KHeQ42Jzx5T43DvBtyb2Q/oTMIHGUz6oiSCcezv6dJfMUTC06NqVVUlhjjG5gviFy/PfYD4 XjhDktHQgAPMfWXHR4hj6pySqln3oLTOQ9T2LwdiJk+RuI8ckxWH3TAJ2rn2hHp6nH1DLa46JfqD xdamNZmNMBu72Tj4oPYdUltmXuDvDhFJZG6pwgg7FcahZXXTgqWt+POes15+qs1v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ErMQq7LAQAAnAMAAA4AAAAAAAAAAQAgAAAAHgEAAGRycy9lMm9E b2MueG1sUEsFBgAAAAAGAAYAWQEAAFsFAAAAAA== ">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gMHZGMsBAACcAwAADgAAAGRycy9lMm9Eb2MueG1srVPNjtMwEL4j8Q6W 79RpD1CipitQtQgJAdKyD+A6dmPJf/K4TfoC8AacuHDnufocjJ2kC8tlD1yc8cz4m++bmWxuBmvI SUbQ3jV0uagokU74VrtDQ++/3L5YUwKJu5Yb72RDzxLozfb5s00farnynTetjARBHNR9aGiXUqgZ A9FJy2Hhg3QYVD5anvAaD6yNvEd0a9iqql6y3sc2RC8kAHp3Y5BOiPEpgF4pLeTOi6OVLo2oURqe UBJ0OgDdFrZKSZE+KQUyEdNQVJrKiUXQ3ueTbTe8PkQeOi0mCvwpFB5pslw7LHqF2vHEyTHqf6Cs FtGDV2khvGWjkNIRVLGsHvXmruNBFi3YagjXpsP/gxUfT58j0W1DX1HiuMWBX75/u/z4dfn5lSyr 1evcoT5AjYl3AVPT8NYPuDezH9CZhQ8q2vxFSQTj2N/ztb9ySETkR+vVel1hSGBsviA+e3geIqR3 0luSjYZGHGDpKz99gDSmzim5mvO32pgyROP+ciBm9rDMfeSYrTTsh0nQ3rdn1NPj7BvqcNUpMe8d tjavyWzE2djPxjFEfeiQ2rLwgvDmmJBE4ZYrjLBTYRxaUTctWN6KP+8l6+Gn2v4G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IDB2RjLAQAAnAMAAA4AAAAAAAAAAQAgAAAAHgEAAGRycy9lMm9E b2MueG1sUEsFBgAAAAAGAAYAWQEAAFsFAAAAAA== ">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NmyCN8kBAACcAwAADgAAAGRycy9lMm9Eb2MueG1srVNNrtMwEN4jcQfL e+q0SKiKmj6BqoeQECA9OIDr2I0l/8njNukF4Aas2LDnXD0HYydp4bF5CzbOeGb8zXzfTDZ3gzXk JCNo7xq6XFSUSCd8q92hoV8+379YUwKJu5Yb72RDzxLo3fb5s00farnynTetjARBHNR9aGiXUqgZ A9FJy2Hhg3QYVD5anvAaD6yNvEd0a9iqql6x3sc2RC8kAHp3Y5BOiPEpgF4pLeTOi6OVLo2oURqe kBJ0OgDdlm6VkiJ9VApkIqahyDSVE4ugvc8n2254fYg8dFpMLfCntPCIk+XaYdEr1I4nTo5R/wNl tYgevEoL4S0biRRFkMWyeqTNQ8eDLFxQaghX0eH/wYoPp0+R6LahOHbHLQ788v3b5cevy8+vZFm9 LAr1AWpMfAiYmoY3fsC9ycplP6AzEx9UtPmLlAjGUd/zVV85JCLyo/Vqva4wJDA2XxCH3Z6HCOmt 9JZko6ERB1h05af3kMbUOSVXc/5eG1OGaNxfDsTMHnbrMVtp2A9T43vfnpFPj7NvqMNVp8S8cyht XpPZiLOxn41jiPrQYWvL0heE18eETZTecoURdiqMQyvspgXLW/HnvWTdfqrtb1BLAwQKAAAAAACH TuJAAAAAAAAAAAAAAAAABgAAAF9yZWxzL1BLAwQUAAAACACHTuJAihRmPNEAAACUAQAACwAAAF9y ZWxzLy5yZWxzpZDBasMwDIbvg72D0X1xmsMYo04vo9Br6R7A2IpjGltGMtn69vMOg2X0tqN+oe8T //7wmRa1IkukbGDX9aAwO/IxBwPvl+PTCyipNnu7UEYDNxQ4jI8P+zMutrYjmWMR1ShZDMy1llet xc2YrHRUMLfNRJxsbSMHXay72oB66Ptnzb8ZMG6Y6uQN8MkPoC630sx/2Ck6JqGpdo6SpmmK7h5V B7Zlju7INuEbuUazHLAa8CwaB2pZ134EfV+/+6fe00c+47rVfoeM649Xb7ocvwBQSwMEFAAAAAgA h07iQH7m5SD3AAAA4QEAABMAAABbQ29udGVudF9UeXBlc10ueG1slZFBTsMwEEX3SNzB8hYlTrtA CCXpgrRLQKgcYGRPEotkbHlMaG+Pk7YbRJFY2jP/vye73BzGQUwY2Dqq5CovpEDSzljqKvm+32UP UnAEMjA4wkoekeWmvr0p90ePLFKauJJ9jP5RKdY9jsC580hp0rowQkzH0CkP+gM6VOuiuFfaUUSK WZw7ZF022MLnEMX2kK5PJgEHluLptDizKgneD1ZDTKZqIvODkp0JeUouO9xbz3dJQ6pfCfPkOuCc e0lPE6xB8QohPsOYNJQJrIz7ooBT/nfJbDly5trWasybwE2KveF0sbrWjmvXOP3f8u2SunSr5YPq b1BLAQIUABQAAAAIAIdO4kB+5uUg9wAAAOEBAAATAAAAAAAAAAEAIAAAADEEAABbQ29udGVudF9U eXBlc10ueG1sUEsBAhQACgAAAAAAh07iQAAAAAAAAAAAAAAAAAYAAAAAAAAAAAAQAAAAEwMAAF9y ZWxzL1BLAQIUABQAAAAIAIdO4kCKFGY80QAAAJQBAAALAAAAAAAAAAEAIAAAADcDAABfcmVscy8u cmVsc1BLAQIUAAoAAAAAAIdO4kAAAAAAAAAAAAAAAAAEAAAAAAAAAAAAEAAAAAAAAABkcnMvUEsB AhQAFAAAAAgAh07iQM6pebnPAAAABQEAAA8AAAAAAAAAAQAgAAAAIgAAAGRycy9kb3ducmV2Lnht bFBLAQIUABQAAAAIAIdO4kA2bII3yQEAAJwDAAAOAAAAAAAAAAEAIAAAAB4BAABkcnMvZTJvRG9j LnhtbFBLBQYAAAAABgAGAFkBAABZBQAAAAA= ">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GEZgcwBAACcAwAADgAAAGRycy9lMm9Eb2MueG1srVPNjtMwEL4j7TtY vm+TdCVUoqYrULUrJARIyz6A69iNJf/J4zbpC8AbcOLCnefqczB2ki4slz1wccYz42++b2ayvh2M JkcRQDnb0GpRUiIsd62y+4Y+frm7XlECkdmWaWdFQ08C6O3m6tW697VYus7pVgSCIBbq3je0i9HX RQG8E4bBwnlhMShdMCziNeyLNrAe0Y0ulmX5uuhdaH1wXACgdzsG6YQYXgLopFRcbB0/GGHjiBqE ZhElQac80E1mK6Xg8ZOUICLRDUWlMZ9YBO1dOovNmtX7wHyn+ESBvYTCM02GKYtFL1BbFhk5BPUP lFE8OHAyLrgzxSgkdwRVVOWz3jx0zIusBVsN/tJ0+H+w/OPxcyCqbegbSiwzOPDz92/nH7/OP7+S qrypUod6DzUmPnhMjcM7N+DezH5AZxI+yGDSFyURjGN/T5f+iiESnh6tlqtViSGOsfmC+MXTcx8g 3gtnSDIaGnCAua/s+AHimDqnpGrW3Smt8xC1/cuBmMlTJO4jx2TFYTdMgnauPaGeHmffUIurTol+ b7G1aU1mI8zGbjYOPqh9h9SqzAv820NEEplbqjDCToVxaFndtGBpK/6856ynn2rzG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D8YRmBzAEAAJwDAAAOAAAAAAAAAAEAIAAAAB4BAABkcnMvZTJv RG9jLnhtbFBLBQYAAAAABgAGAFkBAABcBQAAAAA= ">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苏州市水利工程建设处</w:t>
    </w:r>
    <w:r>
      <w:rPr>
        <w:rFonts w:hint="eastAsia"/>
        <w:lang w:val="en-US" w:eastAsia="zh-CN"/>
      </w:rPr>
      <w:t>2024</w:t>
    </w:r>
    <w:r>
      <w:rPr>
        <w:rFonts w:hint="eastAsia"/>
        <w:lang w:val="en-US"/>
        <w:u/>
      </w:rPr>
      <w:t>年度</w:t>
    </w:r>
    <w:r>
      <w:rPr>
        <w:u w:color="auto"/>
      </w:rPr>
      <w:t>单位</w:t>
    </w:r>
    <w:r>
      <w:rPr>
        <w:u w:color="auto"/>
      </w:rPr>
      <w:t>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36BC">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theme/theme1.xml" Type="http://schemas.openxmlformats.org/officeDocument/2006/relationships/theme"/><Relationship Id="rId19" Target="../customXml/item1.xml" Type="http://schemas.openxmlformats.org/officeDocument/2006/relationships/customXml"/><Relationship Id="rId2" Target="settings.xml" Type="http://schemas.openxmlformats.org/officeDocument/2006/relationships/settings"/><Relationship Id="rId20" Target="fontTable.xml" Type="http://schemas.openxmlformats.org/officeDocument/2006/relationships/fontTable"/><Relationship Id="rId21" Target="media/image1.jpeg" Type="http://schemas.openxmlformats.org/officeDocument/2006/relationships/image"/><Relationship Id="rId22"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443</Words>
  <Characters>1567</Characters>
  <Lines>58</Lines>
  <Paragraphs>16</Paragraphs>
  <TotalTime>22</TotalTime>
  <ScaleCrop>false</ScaleCrop>
  <LinksUpToDate>false</LinksUpToDate>
  <CharactersWithSpaces>1574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细雨</cp:lastModifiedBy>
  <dcterms:modified xsi:type="dcterms:W3CDTF">2025-07-11T02:17:18Z</dcterms:modified>
  <cp:revision>177</cp:revision>
  <dc:title>部门决算公开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