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r>
              <w:rPr>
                <w:rFonts w:hint="eastAsia" w:ascii="仿宋" w:hAnsi="仿宋" w:eastAsia="仿宋" w:cs="仿宋"/>
                <w:b/>
                <w:bCs/>
                <w:color w:val="FF0000"/>
                <w:sz w:val="22"/>
                <w:szCs w:val="22"/>
              </w:rPr>
              <w:t/>
            </w: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hint="eastAsia" w:ascii="宋体" w:hAnsi="宋体" w:eastAsia="宋体" w:cs="宋体"/>
                <w:b/>
                <w:bCs/>
                <w:sz w:val="52"/>
                <w:szCs w:val="52"/>
                <w:lang w:val="en-US"/>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2024年度</w:t>
              <w:br w:type="textWrapping"/>
              <w:t/>
            </w:r>
            <w:r>
              <w:rPr>
                <w:b w:val="on"/>
                <w:rFonts w:ascii="宋体" w:eastAsia="宋体" w:hAnsi="宋体" w:cs="宋体"/>
                <w:sz w:val="52"/>
                <w:u w:color="auto"/>
              </w:rPr>
              <w:t>苏州市供排水管理处</w:t>
            </w:r>
            <w:r>
              <w:rPr>
                <w:b w:val="on"/>
                <w:rFonts w:ascii="宋体" w:eastAsia="宋体" w:hAnsi="宋体" w:cs="宋体"/>
                <w:sz w:val="52"/>
                <w:u w:color="auto"/>
              </w:rPr>
              <w:t xml:space="preserve"></w:t>
              <w:br w:type="textWrapping"/>
              <w:t>单位决算公开</w:t>
            </w:r>
            <w:r>
              <w:rPr>
                <w:b w:val="on"/>
                <w:rFonts w:ascii="宋体" w:eastAsia="宋体" w:hAnsi="宋体" w:cs="宋体"/>
                <w:sz w:val="52"/>
                <w:u w:color="auto"/>
              </w:rPr>
              <w:t/>
            </w:r>
            <w:r>
              <w:rPr>
                <w:b w:val="on"/>
                <w:rFonts w:ascii="宋体" w:eastAsia="宋体" w:hAnsi="宋体" w:cs="宋体"/>
                <w:sz w:val="52"/>
                <w:u w:color="auto"/>
              </w:rPr>
              <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u/>
        </w:rPr>
        <w:t>年度</w:t>
      </w:r>
      <w:r>
        <w:rPr>
          <w:rFonts w:ascii="黑体" w:eastAsia="黑体" w:hAnsi="黑体" w:cs="黑体"/>
          <w:u w:color="auto"/>
        </w:rPr>
        <w:t>单位</w:t>
      </w:r>
      <w:r>
        <w:rPr>
          <w:rFonts w:ascii="黑体" w:eastAsia="黑体" w:hAnsi="黑体" w:cs="黑体"/>
          <w:u w:color="auto"/>
        </w:rPr>
        <w:t>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w:t>
      </w:r>
      <w:r>
        <w:rPr>
          <w:rFonts w:hint="eastAsia" w:ascii="宋体" w:hAnsi="宋体" w:eastAsia="宋体" w:cs="宋体"/>
          <w:b/>
          <w:bCs/>
        </w:rPr>
        <w:t>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（一）参与全市供排水（城乡供水、城镇生活污水、农村生活污水）行业有关法规、规章、制度、政策和标准的制定并贯彻实施。</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（二）参与全市供排水规划编制，协助编制供排水年度计划并监督实施；承担全市城乡供排水行业的业务统计，负责供排水设施及城市排水防涝设施日常管理工作的检查评估，协助做好考核评价工作。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（三）受市水务局委托，审核、论证全市重大供排水设施建设方案；协助做好全市供排水行业特许经营管理工作，具体负责实施城区污水处理特许经营。</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（四）受市水务局委托，承担排水许可受理及前期现场勘察；协助市水务局开展全市排水许可监督管理工作；指导全市供水用户、排水户日常管理工作。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（五）协助做好水价调整；受市水务局的委托，开展城区污水处理费及自备水源污水处理费征收。</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（六）负责供排水监测站质量管理体系的运行；组织开展全市供排水行业的水质监测监管工作；指导全市供排水企业实验室运行管理；提供供水、排水技术业务指导咨询和水质监测服务。</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（七）参与编制全市供排水行业应急预案，并督促预案的实施，协助指导供排水突发性公共事件应急处置工作。</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（八）开展供排水行业技术培训；指导新技术、新工艺的推广和应用。</w:t>
      </w:r>
      <w:r>
        <w:rPr>
          <w:rFonts w:ascii="仿宋" w:eastAsia="仿宋" w:hAnsi="仿宋" w:cs="仿宋"/>
          <w:u w:color="auto"/>
        </w:rPr>
        <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（九）承办苏州市水务局交办的其他事项。</w:t>
      </w:r>
      <w:r>
        <w:rPr>
          <w:rFonts w:ascii="仿宋" w:eastAsia="仿宋" w:hAnsi="仿宋" w:cs="仿宋"/>
          <w:u w:color="auto"/>
        </w:rPr>
        <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u/>
        </w:rPr>
        <w:t>，</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综合办、规划信息科、供水科、排水科、监管科、监测科。</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1、排水行业管理：对排水公司的3座污水处理厂运行管理进行监督考核；开展全市城镇污水处理工作技术性检查；开展农村生活污水治理设施运行维护监管。</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2、供水行业管理：全市21家自来水厂日常运行监督；二次供水设施监督检查。</w:t>
      </w:r>
      <w:r>
        <w:rPr>
          <w:rFonts w:ascii="仿宋" w:eastAsia="仿宋" w:hAnsi="仿宋" w:cs="仿宋"/>
          <w:u w:color="auto"/>
        </w:rPr>
        <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3、日常监测及水质检测：对供水企业、排水户、城镇污水厂、农村污水处理设施及市区河道等监管类水质进行采样及监测。</w:t>
      </w:r>
      <w:r>
        <w:rPr>
          <w:rFonts w:ascii="仿宋" w:eastAsia="仿宋" w:hAnsi="仿宋" w:cs="仿宋"/>
          <w:u w:color="auto"/>
        </w:rPr>
        <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苏州市供排水管理处</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u/>
        </w:rPr>
        <w:t>单位</w:t>
      </w:r>
      <w:r>
        <w:rPr>
          <w:b w:val="on"/>
          <w:rFonts w:ascii="宋体" w:eastAsia="宋体" w:hAnsi="宋体" w:cs="宋体"/>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color w:val="000000"/>
                <w:lang w:eastAsia="ar-SA"/>
              </w:rPr>
              <w:t>苏州市供排水管理处</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hint="eastAsia" w:ascii="仿宋" w:hAnsi="仿宋" w:eastAsia="仿宋" w:cs="仿宋"/>
                <w:color w:val="000000"/>
                <w:lang w:eastAsia="ar-SA"/>
                <w:u/>
              </w:rPr>
              <w:t/>
            </w:r>
            <w:r>
              <w:rPr>
                <w:color w:val="000000"/>
                <w:rFonts w:ascii="仿宋" w:eastAsia="仿宋" w:hAnsi="仿宋" w:cs="仿宋"/>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3,155.01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705.60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101.17</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705.60</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1,814.07</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1,239.76</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color w:val="000000"/>
                <w:lang w:eastAsia="ar-SA"/>
              </w:rPr>
              <w:t/>
            </w: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3,860.61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3,860.61</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r>
              <w:rPr>
                <w:rFonts w:hint="eastAsia" w:ascii="仿宋" w:hAnsi="仿宋" w:eastAsia="仿宋" w:cs="仿宋"/>
                <w:color w:val="000000"/>
                <w:lang w:eastAsia="ar-SA"/>
              </w:rPr>
              <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r>
              <w:rPr>
                <w:rFonts w:hint="eastAsia" w:ascii="仿宋" w:hAnsi="仿宋" w:eastAsia="仿宋" w:cs="仿宋"/>
                <w:color w:val="000000"/>
                <w:lang w:eastAsia="ar-SA"/>
              </w:rPr>
              <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3,860.61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3,860.61</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w:t>
      </w:r>
      <w:r>
        <w:rPr>
          <w:rFonts w:hint="eastAsia" w:ascii="仿宋" w:hAnsi="仿宋" w:eastAsia="仿宋" w:cs="仿宋"/>
          <w:lang w:val="en-US"/>
        </w:rPr>
        <w:t/>
      </w:r>
      <w:r>
        <w:rPr>
          <w:rFonts w:hint="eastAsia" w:ascii="仿宋" w:hAnsi="仿宋" w:eastAsia="仿宋" w:cs="仿宋"/>
          <w:color w:val="000000"/>
          <w:lang w:val="en-US"/>
        </w:rPr>
        <w:t>本表金额单位转换时可能存在尾数误差。</w:t>
      </w:r>
      <w:r>
        <w:rPr>
          <w:rFonts w:hint="eastAsia" w:ascii="仿宋" w:hAnsi="仿宋" w:eastAsia="仿宋" w:cs="仿宋"/>
          <w:lang w:val="en-US"/>
        </w:rPr>
        <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苏州市供排水管理处</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3,860.61</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3,860.61</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101.17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101.17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101.17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101.17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行政单位离退休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25.76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25.76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52.72</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52.72</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22.69</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22.69</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705.60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705.60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705.60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705.60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2120803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城市建设支出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705.60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705.60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农林水支出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1,814.07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1,814.07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水利</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1,814.07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1,814.07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2130306</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水利工程运行与维护</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1,814.07</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1,814.07</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1,239.76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1,239.76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1,239.76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1,239.76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77.60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77.60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1,053.26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1,053.26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2210203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 xml:space="preserve">    购房补贴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108.90</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108.90</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r>
              <w:rPr>
                <w:rFonts w:hint="eastAsia" w:ascii="仿宋" w:hAnsi="仿宋" w:eastAsia="仿宋" w:cs="仿宋"/>
                <w:sz w:val="20"/>
                <w:szCs w:val="20"/>
              </w:rPr>
              <w:t/>
            </w: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r>
              <w:rPr>
                <w:rFonts w:hint="eastAsia" w:ascii="仿宋" w:hAnsi="仿宋" w:eastAsia="仿宋" w:cs="仿宋"/>
                <w:sz w:val="20"/>
                <w:szCs w:val="20"/>
              </w:rPr>
              <w:t/>
            </w: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苏州市供排水管理处</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3,860.61</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2,050.51</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1,810.10</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r>
              <w:rPr>
                <w:rFonts w:hint="eastAsia" w:ascii="仿宋" w:hAnsi="仿宋" w:eastAsia="仿宋" w:cs="仿宋"/>
                <w:sz w:val="22"/>
                <w:szCs w:val="22"/>
              </w:rPr>
              <w:t/>
            </w: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r>
              <w:rPr>
                <w:rFonts w:hint="eastAsia" w:ascii="仿宋" w:hAnsi="仿宋" w:eastAsia="仿宋" w:cs="仿宋"/>
                <w:sz w:val="22"/>
                <w:szCs w:val="22"/>
              </w:rPr>
              <w:t/>
            </w: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r>
              <w:rPr>
                <w:rFonts w:hint="eastAsia" w:ascii="仿宋" w:hAnsi="仿宋" w:eastAsia="仿宋" w:cs="仿宋"/>
                <w:sz w:val="22"/>
                <w:szCs w:val="22"/>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101.17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101.17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101.17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101.17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行政单位离退休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25.76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25.76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52.72</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52.72</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22.69</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22.69</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城乡社区支出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705.60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705.60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国有土地使用权出让收入安排的支出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705.60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705.60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2120803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城市建设支出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705.60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705.60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农林水支出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1,814.07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709.57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1,104.50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水利</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1,814.07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709.57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1,104.50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2130306</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水利工程运行与维护</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1,814.07</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709.57</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1,104.50</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1,239.76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1,239.76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1,239.76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1,239.76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77.60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77.60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1,053.26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1,053.26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2210203</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 xml:space="preserve">    购房补贴</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108.90</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108.90</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r>
              <w:rPr>
                <w:rFonts w:hint="eastAsia" w:ascii="仿宋" w:hAnsi="仿宋" w:eastAsia="仿宋" w:cs="仿宋"/>
              </w:rPr>
              <w:t/>
            </w: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r>
              <w:rPr>
                <w:rFonts w:hint="eastAsia" w:ascii="仿宋" w:hAnsi="仿宋" w:eastAsia="仿宋" w:cs="仿宋"/>
              </w:rPr>
              <w:t/>
            </w: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r>
              <w:rPr>
                <w:rFonts w:hint="eastAsia" w:ascii="仿宋" w:hAnsi="仿宋" w:eastAsia="仿宋" w:cs="仿宋"/>
              </w:rPr>
              <w:t/>
            </w: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苏州市供排水管理处</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3,155.01</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705.60</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101.17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101.17</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705.60</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705.60</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1,814.07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1,814.07</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1,239.76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1,239.76</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r>
              <w:rPr>
                <w:rFonts w:hint="eastAsia" w:ascii="仿宋" w:hAnsi="仿宋" w:eastAsia="仿宋" w:cs="仿宋"/>
              </w:rPr>
              <w:t/>
            </w: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r>
              <w:rPr>
                <w:rFonts w:hint="eastAsia" w:ascii="仿宋" w:hAnsi="仿宋" w:eastAsia="仿宋" w:cs="仿宋"/>
              </w:rPr>
              <w:t/>
            </w: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3,860.61</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3,860.61</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3,155.01</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705.60</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3,860.61</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3,860.61</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3,155.01</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705.60</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r>
              <w:rPr>
                <w:rFonts w:hint="eastAsia" w:ascii="仿宋" w:hAnsi="仿宋" w:eastAsia="仿宋" w:cs="仿宋"/>
                <w:sz w:val="22"/>
                <w:szCs w:val="22"/>
              </w:rPr>
              <w:t/>
            </w: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苏州市供排水管理处</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3,860.61</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2,050.51</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1,810.10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101.17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101.17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101.17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101.17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行政单位离退休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25.76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25.76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52.72</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52.72</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22.69</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22.69</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705.60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705.60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705.60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705.60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2120803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城市建设支出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705.60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705.60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农林水支出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1,814.07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709.57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1,104.50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水利</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1,814.07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709.57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1,104.50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2130306</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水利工程运行与维护</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1,814.07</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709.57</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1,104.50</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1,239.76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1,239.76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1,239.76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1,239.76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77.60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77.60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1,053.26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1,053.26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2210203</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 xml:space="preserve">    购房补贴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108.90</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108.90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苏州市供排水管理处</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2,050.51</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1,948.83</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101.68</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854.74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854.74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97.16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97.16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169.44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169.44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324.79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324.79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52.72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52.72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22.69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22.69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33.53</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33.53</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1.38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1.38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9.56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9.56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77.60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77.60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0.18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0.18</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65.69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65.69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101.68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101.68</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16.01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16.01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1.00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0.24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0.24</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6.74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6.74</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8.40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8.40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1.88</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1.88</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6.45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6.45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0.10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2.06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2.06</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0.50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10.67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10.67</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11.71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11.71</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7.72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7.72</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13.55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13.55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8.00</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6.65</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6.65</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1,094.09</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1,094.09</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34.00</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1,004.74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1,004.74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8.62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8.62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4.84</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4.84</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36.71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36.71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0.16</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0.16</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5.02</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5.02</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val="on"/>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val="on"/>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r>
              <w:rPr>
                <w:rFonts w:hint="eastAsia" w:ascii="仿宋" w:hAnsi="仿宋" w:eastAsia="仿宋" w:cs="仿宋"/>
              </w:rPr>
              <w:t/>
            </w: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苏州市供排水管理处</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
            </w: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3,155.01</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2,050.51</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1,104.50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101.17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101.17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101.17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101.17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行政单位离退休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25.76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25.76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52.72</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52.72</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22.69</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22.69</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农林水支出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1,814.07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709.57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1,104.50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21303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水利</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1,814.07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709.57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1,104.50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2130306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水利工程运行与维护</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1,814.07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709.57</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1,104.50</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1,239.76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1,239.76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1,239.76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1,239.76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77.60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77.60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1,053.26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1,053.26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2210203</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 xml:space="preserve">    购房补贴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108.90</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108.90</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
            </w: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苏州市供排水管理处</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2,050.51</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1,948.83</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101.68</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854.74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854.74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97.16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97.16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169.44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169.44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324.79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324.79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52.72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52.72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22.69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22.69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33.53</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33.53</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1.38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1.38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9.56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9.56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77.60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77.60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0.18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0.18</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65.69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65.69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101.68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101.68</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16.01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16.01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1.00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0.24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0.24</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6.74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6.74</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8.40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8.40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1.88</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1.88</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6.45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6.45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0.10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0.10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2.06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2.06</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0.50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0.50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10.67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10.67</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11.71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11.71</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7.72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7.72</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13.55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13.55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8.00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8.00</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6.65</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6.65</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1,094.09</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1,094.09</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34.00</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34.00</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1,004.74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1,004.74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8.62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8.62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4.84</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4.84</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36.71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36.71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0.16</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0.16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5.02</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5.02</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val="on"/>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val="on"/>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r>
              <w:rPr>
                <w:rFonts w:hint="eastAsia" w:ascii="仿宋" w:hAnsi="仿宋" w:eastAsia="仿宋" w:cs="仿宋"/>
              </w:rPr>
              <w:t/>
            </w: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bookmarkStart w:id="0" w:name="_GoBack"/>
            <w:bookmarkEnd w:id="0"/>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苏州市供排水管理处</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hint="eastAsia" w:ascii="仿宋" w:hAnsi="仿宋" w:eastAsia="仿宋" w:cs="仿宋"/>
                <w:u/>
              </w:rPr>
              <w:t/>
            </w:r>
            <w:r>
              <w:rPr>
                <w:rFonts w:ascii="仿宋" w:eastAsia="仿宋" w:hAnsi="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12.50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10.00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10.00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2.50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1.00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4.00</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8.22</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7.72</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7.72</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0.50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0.10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2.06</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5</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3</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34</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1</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20</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1</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100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u/>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苏州市供排水管理处</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705.60</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705.60</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城乡社区支出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705.60</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705.60</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21208</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705.60</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705.60</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2120803</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 xml:space="preserve">    城市建设支出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705.60</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r>
              <w:rPr>
                <w:rFonts w:hint="eastAsia" w:ascii="仿宋" w:hAnsi="仿宋" w:eastAsia="仿宋" w:cs="仿宋"/>
              </w:rPr>
              <w:t/>
            </w: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705.60</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w:t>
      </w:r>
      <w:r>
        <w:rPr>
          <w:rFonts w:hint="eastAsia" w:ascii="仿宋" w:hAnsi="仿宋" w:eastAsia="仿宋" w:cs="仿宋"/>
          <w:lang w:val="en-US"/>
        </w:rPr>
        <w:t/>
      </w:r>
      <w:r>
        <w:rPr>
          <w:rFonts w:hint="eastAsia" w:ascii="仿宋" w:hAnsi="仿宋" w:eastAsia="仿宋" w:cs="仿宋"/>
        </w:rPr>
        <w:t>本表金额单位转换时可能存在尾数误差。</w:t>
      </w:r>
      <w:r>
        <w:rPr>
          <w:rFonts w:hint="eastAsia" w:ascii="仿宋" w:hAnsi="仿宋" w:eastAsia="仿宋" w:cs="仿宋"/>
          <w:lang w:val="en-US"/>
        </w:rPr>
        <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苏州市供排水管理处</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r>
              <w:rPr>
                <w:rFonts w:hint="eastAsia" w:ascii="仿宋" w:hAnsi="仿宋" w:eastAsia="仿宋" w:cs="仿宋"/>
                <w:sz w:val="22"/>
                <w:szCs w:val="22"/>
              </w:rPr>
              <w:t/>
            </w: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r>
              <w:rPr>
                <w:rFonts w:hint="eastAsia" w:ascii="仿宋" w:hAnsi="仿宋" w:eastAsia="仿宋" w:cs="仿宋"/>
                <w:sz w:val="22"/>
                <w:szCs w:val="22"/>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r>
              <w:rPr>
                <w:rFonts w:hint="eastAsia" w:ascii="仿宋" w:hAnsi="仿宋" w:eastAsia="仿宋" w:cs="仿宋"/>
              </w:rPr>
              <w:t/>
            </w: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r>
              <w:rPr>
                <w:rFonts w:hint="eastAsia" w:ascii="仿宋" w:hAnsi="仿宋" w:eastAsia="仿宋" w:cs="仿宋"/>
              </w:rPr>
              <w:t/>
            </w: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r>
              <w:rPr>
                <w:rFonts w:hint="eastAsia" w:ascii="仿宋" w:hAnsi="仿宋" w:eastAsia="仿宋" w:cs="仿宋"/>
              </w:rPr>
              <w:t/>
            </w: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r>
              <w:rPr>
                <w:rFonts w:hint="eastAsia" w:ascii="仿宋" w:hAnsi="仿宋" w:eastAsia="仿宋" w:cs="仿宋"/>
              </w:rPr>
              <w:t/>
            </w: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r>
              <w:rPr>
                <w:rFonts w:hint="eastAsia" w:ascii="仿宋" w:hAnsi="仿宋" w:eastAsia="仿宋" w:cs="仿宋"/>
              </w:rPr>
              <w:t/>
            </w: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r>
        <w:rPr>
          <w:rFonts w:hint="eastAsia" w:ascii="仿宋" w:hAnsi="仿宋" w:eastAsia="仿宋" w:cs="仿宋"/>
          <w:lang w:val="en-US"/>
        </w:rPr>
        <w:t/>
      </w:r>
      <w:r>
        <w:rPr>
          <w:rFonts w:hint="eastAsia" w:ascii="仿宋" w:hAnsi="仿宋" w:eastAsia="仿宋" w:cs="仿宋"/>
          <w:lang w:val="en-US"/>
        </w:rPr>
        <w:t/>
      </w:r>
    </w:p>
    <w:p w14:paraId="1779740A">
      <w:pPr>
        <w:ind w:left="440" w:leftChars="200"/>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w:t>
      </w:r>
      <w:r>
        <w:rPr>
          <w:rFonts w:ascii="仿宋" w:eastAsia="仿宋" w:hAnsi="仿宋" w:cs="仿宋"/>
          <w:u w:color="auto"/>
        </w:rPr>
        <w:t>单位</w:t>
      </w:r>
      <w:r>
        <w:rPr>
          <w:rFonts w:ascii="仿宋" w:eastAsia="仿宋" w:hAnsi="仿宋" w:cs="仿宋"/>
          <w:u w:color="auto"/>
        </w:rPr>
        <w:t>无</w:t>
      </w:r>
      <w:r>
        <w:rPr>
          <w:rFonts w:hint="eastAsia" w:ascii="仿宋" w:hAnsi="仿宋" w:eastAsia="仿宋" w:cs="仿宋"/>
        </w:rPr>
        <w:t>国有资本经营预算支出</w:t>
      </w:r>
      <w:r>
        <w:rPr>
          <w:rFonts w:hint="eastAsia" w:ascii="仿宋" w:hAnsi="仿宋" w:eastAsia="仿宋" w:cs="仿宋"/>
          <w:lang w:val="en-US"/>
          <w:u/>
        </w:rPr>
        <w:t>决算，故本表为空。</w:t>
      </w:r>
      <w:r>
        <w:rPr>
          <w:rFonts w:ascii="仿宋" w:eastAsia="仿宋" w:hAnsi="仿宋" w:cs="仿宋"/>
          <w:u w:color="auto"/>
        </w:rPr>
        <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苏州市供排水管理处</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val="on"/>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val="on"/>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
            </w: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hint="eastAsia" w:ascii="仿宋" w:hAnsi="仿宋" w:eastAsia="仿宋" w:cs="仿宋"/>
          <w:lang w:val="en-US"/>
        </w:rPr>
        <w:t/>
      </w:r>
      <w:r>
        <w:rPr>
          <w:rFonts w:hint="eastAsia" w:ascii="仿宋" w:hAnsi="仿宋" w:eastAsia="仿宋" w:cs="仿宋"/>
          <w:lang w:val="en-US"/>
        </w:rPr>
        <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lang w:val="en-US"/>
        </w:rPr>
        <w:t/>
      </w: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u/>
        </w:rPr>
        <w:t>故本表为空。</w:t>
      </w:r>
      <w:r>
        <w:rPr>
          <w:rFonts w:ascii="仿宋" w:eastAsia="仿宋" w:hAnsi="仿宋" w:cs="仿宋"/>
          <w:u w:color="auto"/>
        </w:rPr>
        <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u/>
              </w:rPr>
              <w:t>单位</w:t>
            </w:r>
            <w:r>
              <w:rPr>
                <w:color w:val="000000"/>
                <w:rFonts w:ascii="仿宋" w:eastAsia="仿宋" w:hAnsi="仿宋" w:cs="仿宋"/>
                <w:u w:color="auto"/>
              </w:rPr>
              <w:t>名称：</w:t>
            </w:r>
            <w:r>
              <w:rPr>
                <w:rFonts w:hint="eastAsia" w:ascii="仿宋" w:hAnsi="仿宋" w:eastAsia="仿宋" w:cs="仿宋"/>
              </w:rPr>
              <w:t>苏州市供排水管理处</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813.43</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87.30</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726.13</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654.70</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321.90</w:t>
            </w: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u/>
        </w:rPr>
        <w:t>政府采购支出信息为单位纳入部门预算范围的各项政府采购支出情况。</w:t>
      </w:r>
      <w:r>
        <w:rPr>
          <w:rFonts w:ascii="仿宋" w:eastAsia="仿宋" w:hAnsi="仿宋" w:cs="仿宋"/>
          <w:u w:color="auto"/>
        </w:rPr>
        <w:t/>
      </w:r>
      <w:r>
        <w:rPr>
          <w:rFonts w:hint="eastAsia" w:ascii="仿宋" w:hAnsi="仿宋" w:eastAsia="仿宋" w:cs="仿宋"/>
          <w:lang w:val="en-US"/>
        </w:rPr>
        <w:t>本表金额单位转换时可能存在尾数误差</w:t>
      </w:r>
      <w:r>
        <w:rPr>
          <w:rFonts w:hint="eastAsia" w:ascii="仿宋" w:hAnsi="仿宋" w:eastAsia="仿宋" w:cs="仿宋"/>
        </w:rPr>
        <w:t>。</w:t>
      </w:r>
      <w:r>
        <w:rPr>
          <w:rFonts w:hint="eastAsia" w:ascii="仿宋" w:hAnsi="仿宋" w:eastAsia="仿宋" w:cs="仿宋"/>
          <w:lang w:val="en-US"/>
        </w:rPr>
        <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2024年度收入、支出决算总计3,860.61万元。与上年相比，收、支总计各减少4,976.18万元，减少56.31%。其中：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（一）收入决算总计3,860.61万元。包括：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收入决算合计3,860.61万元。与上年相比，减少4,976.18万元，减少56.31%，变动原因：城区污水处理运营项目归至市水务局申报，水务计划项目福星污水厂尾水湿地项目及平江片区外阳台污水项目均为项目收尾阶段，经费较上年减少。经常性项目及基本支出随着部分涉水管理职能下放至姑苏区，人员车辆减少等，也较上年有所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2.使用非财政拨款结余（含专用结余）0万元。与上年决算数相同。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3.年初结转和结余0万元。与上年决算数相同。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（二）支出决算总计3,860.61万元。包括：</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本年支出决算合计3,860.61万元。与上年相比，减少4,976.18万元，减少56.31%，变动原因：城区污水处理运营项目归至市水务局申报，水务计划项目福星污水厂尾水湿地项目及平江片区外阳台污水项目均为项目收尾阶段，经费较上年减少。经常性项目及基本支出随着部分涉水管理职能下放至姑苏区，人员车辆减少等，也较上年有所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2.结余分配0万元。与上年决算数相同。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3.年末结转和结余0万元。与上年决算数相同。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二、收入决算情况说明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收入决算合计3,860.61万元，其中：财政拨款收入3,860.61万元，占100%；上级补助收入0万元，占0%；财政专户管理教育收费0万元，占0%；事业收入（不含专户管理教育收费）0万元，占0%；经营收入0万元，占0%；附属单位上缴收入0万元，占0%；其他收入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4" name="Drawing 14" descr="Generated"/>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true"/>
                    </pic:cNvPicPr>
                  </pic:nvPicPr>
                  <pic:blipFill>
                    <a:blip r:embed="rId21"/>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2024年度本年支出决算合计3,860.61万元，其中：基本支出2,050.51万元，占53.11%；项目支出1,810.1万元，占46.89%；上缴上级支出0万元，占0%；经营支出0万元，占0%；对附属单位补助支出0万元，占0%。</w:t>
      </w:r>
      <w:r>
        <w:rPr>
          <w:rFonts w:ascii="仿宋" w:eastAsia="仿宋" w:hAnsi="仿宋" w:cs="仿宋"/>
          <w:u w:color="auto"/>
        </w:rPr>
        <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t/>
        <w:drawing>
          <wp:inline distT="0" distR="0" distB="0" distL="0">
            <wp:extent cx="6134100" cy="3429000"/>
            <wp:docPr id="15" name="Drawing 15" descr="Generated"/>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true"/>
                    </pic:cNvPicPr>
                  </pic:nvPicPr>
                  <pic:blipFill>
                    <a:blip r:embed="rId22"/>
                    <a:stretch>
                      <a:fillRect/>
                    </a:stretch>
                  </pic:blipFill>
                  <pic:spPr>
                    <a:xfrm>
                      <a:off x="0" y="0"/>
                      <a:ext cx="6134100" cy="3429000"/>
                    </a:xfrm>
                    <a:prstGeom prst="rect">
                      <a:avLst/>
                    </a:prstGeom>
                  </pic:spPr>
                </pic:pic>
              </a:graphicData>
            </a:graphic>
          </wp:inline>
        </w:drawing>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四、财政拨款收入支出决算总体情况说明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收入、支出决算总计3,860.61万元。与上年相比，收、支总计各减少4,976.18万元，减少56.31%，变动原因：城区污水处理运营项目归至市水务局申报，水务计划项目福星污水厂尾水湿地项目及平江片区外阳台污水项目均为项目收尾阶段，经费较上年减少。经常性项目及基本支出随着部分涉水管理职能下放至姑苏区，人员车辆减少等，也较上年有所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五、财政拨款支出决算情况说明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2024年度财政拨款支出决算3,860.61万元，占本年支出合计的100%。与2024年度财政拨款支出年初预算3,784.57万元相比，完成年初预算的102.01%。其中：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（一）社会保障和就业支出（类）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1.行政事业单位养老支出（款）行政单位离退休（项）。年初预算25.76万元，支出决算25.76万元，完成年初预算的100%。决算数与年初预算数相同。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2.行政事业单位养老支出（款）机关事业单位基本养老保险缴费支出（项）。年初预算52.72万元，支出决算52.72万元，完成年初预算的100%。决算数与年初预算数相同。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3.行政事业单位养老支出（款）机关事业单位职业年金缴费支出（项）。年初预算22.69万元，支出决算22.69万元，完成年初预算的100%。决算数与年初预算数相同。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（二）城乡社区支出（类）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国有土地使用权出让收入安排的支出（款）城市建设支出（项）。年初预算650万元，支出决算705.6万元，完成年初预算的108.55%。决算数与年初预算数的差异原因：水务计划项目平江片区外阳台污水项目本年度未申请预算，使用上年结余资金支付。</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（三）农林水支出（类）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水利（款）水利工程运行与维护（项）。年初预算1,819.89万元，支出决算1,814.07万元，完成年初预算的99.68%。决算数与年初预算数的差异原因：三公经费结余资金年底收回财政。</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（四）住房保障支出（类）</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1.住房改革支出（款）住房公积金（项）。年初预算67.5万元，支出决算77.6万元，完成年初预算的114.96%。决算数与年初预算数的差异原因：追加公积金基数调整差额。</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2.住房改革支出（款）提租补贴（项）。年初预算1,053.26万元，支出决算1,053.26万元，完成年初预算的100%。决算数与年初预算数相同。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3.住房改革支出（款）购房补贴（项）。年初预算92.75万元，支出决算108.9万元，完成年初预算的117.41%。决算数与年初预算数的差异原因：追加购房补贴基数调整差额。</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六、财政拨款基本支出决算情况说明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2024年度财政拨款基本支出决算2,050.51万元，其中：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（一）人员经费1,948.83万元。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（二）公用经费101.68万元。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主要包括：办公费、印刷费、手续费、电费、邮电费、差旅费、维修（护）费、会议费、培训费、公务接待费、工会经费、福利费、公务用车运行维护费、其他交通费用、税金及附加费用、其他商品和服务支出。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七、一般公共预算支出决算情况说明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支出决算3,155.01万元。与上年相比，减少726.43万元，减少18.72%，变动原因：经常性项目及基本支出随着部分涉水管理职能下放至姑苏区，污水支管养护项目下放及人员车辆减少等，支出较上年有所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八、一般公共预算基本支出决算情况说明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2024年度一般公共预算财政拨款基本支出决算2,050.51万元，其中：</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（一）人员经费1,948.83万元。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基本工资、津贴补贴、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ascii="仿宋" w:eastAsia="仿宋" w:hAnsi="仿宋" w:cs="仿宋"/>
          <w:u w:color="auto"/>
        </w:rPr>
        <w:t/>
      </w:r>
      <w:r>
        <w:rPr>
          <w:rFonts w:ascii="仿宋" w:eastAsia="仿宋" w:hAnsi="仿宋" w:cs="仿宋"/>
          <w:u w:color="auto"/>
        </w:rPr>
        <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rPr>
        <w:t/>
      </w:r>
      <w:r>
        <w:rPr>
          <w:rFonts w:hint="eastAsia" w:ascii="楷体" w:hAnsi="楷体" w:eastAsia="楷体" w:cs="楷体"/>
          <w:lang w:val="en-US"/>
          <w:u/>
        </w:rPr>
        <w:t/>
      </w:r>
      <w:r>
        <w:rPr>
          <w:rFonts w:ascii="楷体" w:eastAsia="楷体" w:hAnsi="楷体" w:cs="楷体"/>
          <w:u w:color="auto"/>
        </w:rPr>
        <w:t>（二）公用经费101.68万元。</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
      </w:r>
      <w:r>
        <w:rPr>
          <w:rFonts w:hint="eastAsia" w:ascii="楷体" w:hAnsi="楷体" w:eastAsia="楷体" w:cs="楷体"/>
          <w:lang w:val="en-US"/>
          <w:u/>
        </w:rPr>
        <w:t/>
      </w:r>
      <w:r>
        <w:rPr>
          <w:rFonts w:ascii="楷体" w:eastAsia="楷体" w:hAnsi="楷体" w:cs="楷体"/>
          <w:u w:color="auto"/>
        </w:rPr>
        <w:t/>
      </w:r>
      <w:r>
        <w:rPr>
          <w:rFonts w:hint="eastAsia" w:ascii="仿宋" w:hAnsi="仿宋" w:eastAsia="仿宋" w:cs="仿宋"/>
          <w:lang w:val="en-US"/>
          <w:u/>
        </w:rPr>
        <w:t/>
      </w:r>
      <w:r>
        <w:rPr>
          <w:rFonts w:ascii="仿宋" w:eastAsia="仿宋" w:hAnsi="仿宋" w:cs="仿宋"/>
          <w:u w:color="auto"/>
        </w:rPr>
        <w:t>主要包括：办公费、印刷费、手续费、电费、邮电费、差旅费、维修（护）费、会议费、培训费、公务接待费、工会经费、福利费、公务用车运行维护费、其他交通费用、税金及附加费用、其他商品和服务支出。</w:t>
      </w:r>
      <w:r>
        <w:rPr>
          <w:rFonts w:ascii="仿宋" w:eastAsia="仿宋" w:hAnsi="仿宋" w:cs="仿宋"/>
          <w:u w:color="auto"/>
        </w:rPr>
        <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九、财政拨款“三公”经费、会议费、培训费支出情况说明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（一）财政拨款“三公”经费支出总体情况说明。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三公”经费支出决算8.22万元（其中：一般公共预算支出8.22万元；政府性基金预算支出0万元；国有资本经营预算支出0万元）。与上年相比，增加0.23万元，变动原因：公务用车运行维护费支出略有增加。其中，因公出国（境）费支出0万元，占“三公”经费的0%；公务用车购置及运行维护费支出7.72万元，占“三公”经费的93.92%；公务接待费支出0.5万元，占“三公”经费的6.08%。2024年度财政拨款“三公”经费支出预算12.5万元（其中：一般公共预算支出12.5万元；政府性基金预算支出0万元；国有资本经营预算支出0万元）。决算数与预算数的差异原因：按照厉行节约的工作要求，尽量减少三公经费的开支。</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（二）财政拨款“三公”经费支出具体情况说明。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购置及运行维护费支出预算10万元（其中：一般公共预算支出10万元；政府性基金预算支出0万元；国有资本经营预算支出0万元），支出决算7.72万元（其中：一般公共预算支出7.72万元；政府性基金预算支出0万元；国有资本经营预算支出0万元），完成调整后预算的77.2%，决算数与预算数的差异原因：按照厉行节约的工作要求，尽量减少公务用车购置及运行维护费的开支。其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（1）公务用车购置支出决算0万元。本年度使用财政拨款购置公务用车0辆。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公务用车运行维护费支出决算7.72万元。公务用车运行维护费主要用于按规定保留的公务用车的燃料费、维修费、过桥过路费、保险费、安全奖励费用等支出。截至2024年12月31日，使用财政拨款开支的公务用车保有量为5辆。</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公务接待费支出预算2.5万元（其中：一般公共预算支出2.5万元；政府性基金预算支出0万元；国有资本经营预算支出0万元），支出决算0.5万元（其中：一般公共预算支出0.5万元；政府性基金预算支出0万元；国有资本经营预算支出0万元），完成调整后预算的20%，决算数与预算数的差异原因：按照厉行节约的工作要求，尽量减少公务招待费的开支。其中：国内公务接待支出0.5万元，接待3批次，34人次，开支内容：江阴城市综合管理局、西宁城乡建设局、三亚水务局等赴苏调研供排水管理工作；国（境）外公务接待支出0万元，接待0批次，0人次。</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（三）财政拨款会议费支出决算情况说明。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会议费支出预算1万元（其中：一般公共预算支出1万元；政府性基金预算支出0万元；国有资本经营预算支出0万元），支出决算0.1万元（其中：一般公共预算支出0.1万元；政府性基金预算支出0万元；国有资本经营预算支出0万元），完成调整后预算的10%，决算数与预算数的差异原因：按照厉行节约的工作要求，尽量减少会议费的开支。2024年度全年召开会议1个，参加会议20人次，开支内容：污水行业管理工作指导会。</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（四）财政拨款培训费支出决算情况说明。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财政拨款培训费支出预算4万元（其中：一般公共预算支出4万元；政府性基金预算支出0万元；国有资本经营预算支出0万元），支出决算2.06万元（其中：一般公共预算支出2.06万元；政府性基金预算支出0万元；国有资本经营预算支出0万元），完成调整后预算的51.5%，决算数与预算数的差异原因：按照年度培训计划完成培训工作内容，按照厉行节约的工作要求减少培训费支出。2024年度全年组织培训1个，组织培训100人次，开支内容：组织开展全市排水行业管理技能提升培训。</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十、政府性基金预算财政拨款支出决算情况说明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性基金预算财政拨款支出决算705.6万元。与上年相比，减少4,249.75万元，减少85.76%，变动原因：城区污水处理运营项目归至市水务局申报，水务计划项目福星污水厂尾水湿地项目及平江片区外阳台污水项目均为项目收尾阶段，经费较上年减少。</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十一、国有资本经营预算财政拨款支出决算情况说明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2024年度国有资本经营预算财政拨款支出决算0万元。与上年决算数相同。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十二、财政拨款机关运行经费支出决算情况说明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2024年度机关运行经费支出决算0万元（其中：一般公共预算支出0万元；政府性基金预算支出0万元；国有资本经营预算支出0万元）。与上年决算数相同。</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十三、政府采购支出决算情况说明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政府采购支出总额813.43万元，其中：政府采购货物支出87.3万元、政府采购工程支出0万元、政府采购服务支出726.13万元。政府采购授予中小企业合同金额654.7万元，占政府采购支出总额的80.49%，其中：授予小微企业合同金额321.9万元，占授予中小企业合同金额的49.17%。</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十四、国有资产占用情况说明</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截至2024年12月31日，本单位共有车辆5辆，其中：副部(省)级及以上领导用车0辆、主要领导干部用车0辆、机要通信用车0辆、应急保障用车0辆、执法执勤用车0辆、特种专业技术用车2辆、离退休干部用车0辆、其他用车3辆；单价100万元（含）以上的设备1台（套）。</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b w:val="on"/>
        </w:rPr>
        <w:t>十五、预算绩效评价工作开展情况</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2024年度，本单位共0个项目开展了财政重点绩效评价，涉及财政性资金合计0万元；本单位未开展单位整体支出财政重点绩效评价，涉及财政性资金0万元。</w:t>
      </w:r>
      <w:r>
        <w:rPr>
          <w:rFonts w:ascii="仿宋" w:eastAsia="仿宋" w:hAnsi="仿宋" w:cs="仿宋"/>
          <w:u w:color="auto"/>
        </w:rPr>
        <w:t/>
      </w:r>
    </w:p>
    <w:p w14:paraId="6A82E5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本单位共对上年度已实施完成的14个项目开展了绩效自评价，涉及财政性资金合计1,810.1万元；本单位共开展1项单位整体支出绩效自评价，涉及财政性资金合计3,860.61万元。</w:t>
      </w:r>
      <w:r>
        <w:rPr>
          <w:rFonts w:ascii="仿宋" w:eastAsia="仿宋" w:hAnsi="仿宋" w:cs="仿宋"/>
          <w:u w:color="auto"/>
        </w:rPr>
        <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一、财政拨款收入</w:t>
      </w:r>
      <w:r>
        <w:rPr>
          <w:b w:val="on"/>
          <w:rFonts w:ascii="仿宋" w:eastAsia="仿宋" w:hAnsi="仿宋" w:cs="仿宋"/>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二、上级补助收入</w:t>
      </w:r>
      <w:r>
        <w:rPr>
          <w:b w:val="on"/>
          <w:rFonts w:ascii="仿宋" w:eastAsia="仿宋" w:hAnsi="仿宋" w:cs="仿宋"/>
          <w:u w:color="auto"/>
        </w:rPr>
        <w:t>：</w:t>
      </w:r>
      <w:r>
        <w:rPr>
          <w:rFonts w:hint="eastAsia" w:ascii="仿宋" w:hAnsi="仿宋" w:eastAsia="仿宋" w:cs="仿宋"/>
        </w:rPr>
        <w:t>指事业单位从主管部门和上级单位取得的非财政补助收入。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三、财政专户管理教育收费</w:t>
      </w:r>
      <w:r>
        <w:rPr>
          <w:b w:val="on"/>
          <w:rFonts w:ascii="仿宋" w:eastAsia="仿宋" w:hAnsi="仿宋" w:cs="仿宋"/>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四、事业收入</w:t>
      </w:r>
      <w:r>
        <w:rPr>
          <w:b w:val="on"/>
          <w:rFonts w:ascii="仿宋" w:eastAsia="仿宋" w:hAnsi="仿宋" w:cs="仿宋"/>
          <w:u w:color="auto"/>
        </w:rPr>
        <w:t>：</w:t>
      </w:r>
      <w:r>
        <w:rPr>
          <w:rFonts w:hint="eastAsia" w:ascii="仿宋" w:hAnsi="仿宋" w:eastAsia="仿宋" w:cs="仿宋"/>
        </w:rPr>
        <w:t>指事业单位开展专业业务活动及其辅助活动取得的收入。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五、经营收入</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指事业单位在专业业务活动及其辅助活动之外开展非独立核算经营活动取得的收入。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六、附属单位上缴收入</w:t>
      </w:r>
      <w:r>
        <w:rPr>
          <w:b w:val="on"/>
          <w:rFonts w:ascii="仿宋" w:eastAsia="仿宋" w:hAnsi="仿宋" w:cs="仿宋"/>
          <w:u w:color="auto"/>
        </w:rPr>
        <w:t>：</w:t>
      </w:r>
      <w:r>
        <w:rPr>
          <w:rFonts w:hint="eastAsia" w:ascii="仿宋" w:hAnsi="仿宋" w:eastAsia="仿宋" w:cs="仿宋"/>
        </w:rPr>
        <w:t>指事业单位附属独立核算单位按照有关规定上缴的收入。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七、其他收入</w:t>
      </w:r>
      <w:r>
        <w:rPr>
          <w:b w:val="on"/>
          <w:rFonts w:ascii="仿宋" w:eastAsia="仿宋" w:hAnsi="仿宋" w:cs="仿宋"/>
          <w:u w:color="auto"/>
        </w:rPr>
        <w:t>：</w:t>
      </w:r>
      <w:r>
        <w:rPr>
          <w:rFonts w:hint="eastAsia" w:ascii="仿宋" w:hAnsi="仿宋" w:eastAsia="仿宋" w:cs="仿宋"/>
        </w:rPr>
        <w:t>指单位取得的除上述“财政拨款收入”、 “上级补助收入”、“事业收入”、“经营收入”、“附属单位上缴收入”等以外的各项收入。</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八、使用非财政拨款结余（含专用结余）</w:t>
      </w:r>
      <w:r>
        <w:rPr>
          <w:b w:val="on"/>
          <w:rFonts w:ascii="仿宋" w:eastAsia="仿宋" w:hAnsi="仿宋" w:cs="仿宋"/>
          <w:u w:color="auto"/>
        </w:rPr>
        <w:t>：</w:t>
      </w:r>
      <w:r>
        <w:rPr>
          <w:rFonts w:hint="eastAsia" w:ascii="仿宋" w:hAnsi="仿宋" w:eastAsia="仿宋" w:cs="仿宋"/>
        </w:rPr>
        <w:t>指事业单位按照预算管理要求使用非财政拨款结余（含专用结余）弥补当年收支差额的数额。</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九、年初结转和结余</w:t>
      </w:r>
      <w:r>
        <w:rPr>
          <w:b w:val="on"/>
          <w:rFonts w:ascii="仿宋" w:eastAsia="仿宋" w:hAnsi="仿宋" w:cs="仿宋"/>
          <w:u w:color="auto"/>
        </w:rPr>
        <w:t>：</w:t>
      </w:r>
      <w:r>
        <w:rPr>
          <w:rFonts w:hint="eastAsia" w:ascii="仿宋" w:hAnsi="仿宋" w:eastAsia="仿宋" w:cs="仿宋"/>
        </w:rPr>
        <w:t>指单位上年结转本年使用的基本支出结转、项目支出结转和结余、经营结余。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十、结余分配</w:t>
      </w:r>
      <w:r>
        <w:rPr>
          <w:b w:val="on"/>
          <w:rFonts w:ascii="仿宋" w:eastAsia="仿宋" w:hAnsi="仿宋" w:cs="仿宋"/>
          <w:u w:color="auto"/>
        </w:rPr>
        <w:t>：</w:t>
      </w:r>
      <w:r>
        <w:rPr>
          <w:rFonts w:hint="eastAsia" w:ascii="仿宋" w:hAnsi="仿宋" w:eastAsia="仿宋" w:cs="仿宋"/>
        </w:rPr>
        <w:t>指事业单位按规定缴纳的所得税以及从非财政拨款结余中提取各类结余的情况。</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十一、年末结转和结余资金</w:t>
      </w:r>
      <w:r>
        <w:rPr>
          <w:b w:val="on"/>
          <w:rFonts w:ascii="仿宋" w:eastAsia="仿宋" w:hAnsi="仿宋" w:cs="仿宋"/>
          <w:u w:color="auto"/>
        </w:rPr>
        <w:t>：</w:t>
      </w:r>
      <w:r>
        <w:rPr>
          <w:rFonts w:hint="eastAsia" w:ascii="仿宋" w:hAnsi="仿宋" w:eastAsia="仿宋" w:cs="仿宋"/>
        </w:rPr>
        <w:t>指单位结转下年的基本支出结转、项目支出结转和结余、经营结余。</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十二、基本支出</w:t>
      </w:r>
      <w:r>
        <w:rPr>
          <w:b w:val="on"/>
          <w:rFonts w:ascii="仿宋" w:eastAsia="仿宋" w:hAnsi="仿宋" w:cs="仿宋"/>
          <w:u w:color="auto"/>
        </w:rPr>
        <w:t>：</w:t>
      </w:r>
      <w:r>
        <w:rPr>
          <w:rFonts w:hint="eastAsia" w:ascii="仿宋" w:hAnsi="仿宋" w:eastAsia="仿宋" w:cs="仿宋"/>
        </w:rPr>
        <w:t>指为保障机构正常运转、完成日常工作任务所发生的支出，包括人员经费和公用经费。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十三、项目支出</w:t>
      </w:r>
      <w:r>
        <w:rPr>
          <w:b w:val="on"/>
          <w:rFonts w:ascii="仿宋" w:eastAsia="仿宋" w:hAnsi="仿宋" w:cs="仿宋"/>
          <w:u w:color="auto"/>
        </w:rPr>
        <w:t>：</w:t>
      </w:r>
      <w:r>
        <w:rPr>
          <w:rFonts w:hint="eastAsia" w:ascii="仿宋" w:hAnsi="仿宋" w:eastAsia="仿宋" w:cs="仿宋"/>
        </w:rPr>
        <w:t>指在为完成特定的工作任务和事业发展目标所发生的支出。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十四、上缴上级支出</w:t>
      </w:r>
      <w:r>
        <w:rPr>
          <w:b w:val="on"/>
          <w:rFonts w:ascii="仿宋" w:eastAsia="仿宋" w:hAnsi="仿宋" w:cs="仿宋"/>
          <w:u w:color="auto"/>
        </w:rPr>
        <w:t>：</w:t>
      </w:r>
      <w:r>
        <w:rPr>
          <w:rFonts w:hint="eastAsia" w:ascii="仿宋" w:hAnsi="仿宋" w:eastAsia="仿宋" w:cs="仿宋"/>
        </w:rPr>
        <w:t>指事业单位按照财政部门和主管部门的规定上缴上级单位的支出。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十五、经营支出</w:t>
      </w:r>
      <w:r>
        <w:rPr>
          <w:b w:val="on"/>
          <w:rFonts w:ascii="仿宋" w:eastAsia="仿宋" w:hAnsi="仿宋" w:cs="仿宋"/>
          <w:u w:color="auto"/>
        </w:rPr>
        <w:t>：</w:t>
      </w:r>
      <w:r>
        <w:rPr>
          <w:rFonts w:hint="eastAsia" w:ascii="仿宋" w:hAnsi="仿宋" w:eastAsia="仿宋" w:cs="仿宋"/>
        </w:rPr>
        <w:t>指事业单位在专业业务活动及其辅助活动之外开展非独立核算经营活动发生的支出。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十六、对附属单位补助支出</w:t>
      </w:r>
      <w:r>
        <w:rPr>
          <w:b w:val="on"/>
          <w:rFonts w:ascii="仿宋" w:eastAsia="仿宋" w:hAnsi="仿宋" w:cs="仿宋"/>
          <w:u w:color="auto"/>
        </w:rPr>
        <w:t>：</w:t>
      </w:r>
      <w:r>
        <w:rPr>
          <w:rFonts w:hint="eastAsia" w:ascii="仿宋" w:hAnsi="仿宋" w:eastAsia="仿宋" w:cs="仿宋"/>
        </w:rPr>
        <w:t>指事业单位用财政拨款收入之外的收入对附属单位补助发生的支出。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十七、“三公”经费</w:t>
      </w:r>
      <w:r>
        <w:rPr>
          <w:b w:val="on"/>
          <w:rFonts w:ascii="仿宋" w:eastAsia="仿宋" w:hAnsi="仿宋" w:cs="仿宋"/>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十八、机关运行经费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十九、社会保障和就业支出(类)行政事业单位养老支出(款)行政单位离退休(项)</w:t>
      </w:r>
      <w:r>
        <w:rPr>
          <w:b w:val="on"/>
          <w:rFonts w:ascii="仿宋" w:eastAsia="仿宋" w:hAnsi="仿宋" w:cs="仿宋"/>
          <w:u w:color="auto"/>
        </w:rPr>
        <w:t>：</w:t>
      </w:r>
      <w:r>
        <w:rPr>
          <w:rFonts w:hint="eastAsia" w:ascii="仿宋" w:hAnsi="仿宋" w:eastAsia="仿宋" w:cs="仿宋"/>
        </w:rPr>
        <w:t>反映行政单位（包括实行公务员管理的事业单位）开支的离退休经费。</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二十一、社会保障和就业支出(类)行政事业单位养老支出(款)机关事业单位职业年金缴费支出(项)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二十二、城乡社区支出(类)国有土地使用权出让收入安排的支出(款)城市建设支出(项)</w:t>
      </w:r>
      <w:r>
        <w:rPr>
          <w:b w:val="on"/>
          <w:rFonts w:ascii="仿宋" w:eastAsia="仿宋" w:hAnsi="仿宋" w:cs="仿宋"/>
          <w:u w:color="auto"/>
        </w:rPr>
        <w:t>：</w:t>
      </w:r>
      <w:r>
        <w:rPr>
          <w:rFonts w:hint="eastAsia" w:ascii="仿宋" w:hAnsi="仿宋" w:eastAsia="仿宋" w:cs="仿宋"/>
        </w:rPr>
        <w:t>反映土地出让收入用于完善国有土地使用功能的配套设施建设和城市基础设施建设支出。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二十三、农林水支出(类)水利(款)水利工程运行与维护(项)</w:t>
      </w:r>
      <w:r>
        <w:rPr>
          <w:b w:val="on"/>
          <w:rFonts w:ascii="仿宋" w:eastAsia="仿宋" w:hAnsi="仿宋" w:cs="仿宋"/>
          <w:u w:color="auto"/>
        </w:rPr>
        <w:t>：</w:t>
      </w:r>
      <w:r>
        <w:rPr>
          <w:rFonts w:hint="eastAsia" w:ascii="仿宋" w:hAnsi="仿宋" w:eastAsia="仿宋" w:cs="仿宋"/>
        </w:rPr>
        <w:t>反映水利系统用于江、河、湖、滩等治理工程运行与维护方面的支出，以及纳入预算管理的水利工程管理单位的支出。</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二十四、住房保障支出(类)住房改革支出(款)住房公积金(项)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二十五、住房保障支出(类)住房改革支出(款)提租补贴(项)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u/>
        </w:rPr>
        <w:t>二十六、住房保障支出(类)住房改革支出(款)购房补贴(项)</w:t>
      </w:r>
      <w:r>
        <w:rPr>
          <w:b w:val="on"/>
          <w:rFonts w:ascii="仿宋" w:eastAsia="仿宋" w:hAnsi="仿宋" w:cs="仿宋"/>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tENd9csBAACcAwAADgAAAGRycy9lMm9Eb2MueG1srVPNjtMwEL4j8Q6W 79RpJVAVNV3tqlqEhABp4QFcx24s+U8et0lfAN6AExfuPFefg7GTdGG57IFLMp6ZfPN9nye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TaDEcYsXfvn+7fLj1+XnV7Ks Vq+zQ32AGhsfAram4c4PuXvKAyaz8EFFm98oiWAd/T1f/ZVDIiJ/tF6t1xWWBNbmA+Kwx89DhPRW ekty0NCIF1h85af3kMbWuSVPc/5eG4N5Xhv3VwIxc4Zl7iPHHKVhP0zE9749o54e776hDledEvPO obV5TeYgzsF+Do4h6kOH1JaFF4TbY0IShVueMMJOg/HSirppwfJW/HkuXY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RDXfXLAQAAnAMAAA4AAAAAAAAAAQAgAAAAHgEAAGRycy9lMm9E b2MueG1sUEsFBgAAAAAGAAYAWQEAAFsFAAAAAA== ">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3RFbMcsBAACdAwAADgAAAGRycy9lMm9Eb2MueG1srVPNjtMwEL4j8Q6W 79RpkVAVNV3tqlqEhABp4QFcx24s+U8et0lfAN6AExfuPFefg7GTdGG57IFLMp6ZfPN93zibm8Ea cpIRtHcNXS4qSqQTvtXu0NAvn+9frSmBxF3LjXeyoWcJ9Gb78sWmD7Vc+c6bVkaCIA7qPjS0SynU jIHopOWw8EE6LCofLU94jAfWRt4jujVsVVVvWO9jG6IXEgCzu7FIJ8T4HECvlBZy58XRSpdG1CgN TygJOh2AbgtbpaRIH5UCmYhpKCpN5YlDMN7nJ9tueH2IPHRaTBT4cyg80WS5djj0CrXjiZNj1P9A WS2iB6/SQnjLRiHFEVSxrJ5489DxIIsWtBrC1XT4f7Diw+lTJLrFm4CWOG5x45fv3y4/fl1+fiXL 6vUqW9QHqLHzIWBvGu78gO1zHjCZlQ8q2vxGTQTriHa+GiyHRET+aL1aryssCazNB8Rnj5+HCOmt 9JbkoKERN1iM5af3kMbWuSVPc/5eG1O2aNxfCcTMGZa5jxxzlIb9MAna+/aMenpcfkMd3nVKzDuH 3iK/NAdxDvZzcAxRHzqktiy8INweE5Io3PKEEXYajFsr6qYblq/Fn+fS9fhXbX8D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N0RWzHLAQAAnQMAAA4AAAAAAAAAAQAgAAAAHgEAAGRycy9lMm9E b2MueG1sUEsFBgAAAAAGAAYAWQEAAFsFAAAAAA== ">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FxzAh8wBAACdAwAADgAAAGRycy9lMm9Eb2MueG1srVNLbtswEN0XyB0I 7mNKDlAYguWghZEiQNAWSHsAmqIsAvyBQ1vyBdobdNVN9z2Xz9EhJTlpusmiG2o4M3zz3sxofTsY TY4ygHK2puWioERa4Rpl9zX9+uXuekUJRG4brp2VNT1JoLebqzfr3ldy6TqnGxkIglioel/TLkZf MQaik4bDwnlpMdi6YHjEa9izJvAe0Y1my6J4y3oXGh+ckADo3Y5BOiGG1wC6tlVCbp04GGnjiBqk 5hElQac80E1m27ZSxE9tCzISXVNUGvOJRdDepZNt1rzaB+47JSYK/DUUXmgyXFkseoHa8sjJIah/ oIwSwYFr40I4w0YhuSOooixe9Oax415mLdhq8Jemw/+DFR+PnwNRDW5CSYnlBid+/vH9/PP3+dc3 UhY3N6lFvYcKMx895sbhvRswffYDOpPyoQ0mfVETwTg2+HRpsBwiEenRarlaFRgSGJsviM+envsA 8YN0hiSjpgEnmBvLjw8Qx9Q5JVWz7k5pnaeo7V8OxEwelriPHJMVh90wCdq55oR6ehx+TS3uOiX6 3mJv057MRpiN3WwcfFD7DqmV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XHMCHzAEAAJ0DAAAOAAAAAAAAAAEAIAAAAB4BAABkcnMvZTJv RG9jLnhtbFBLBQYAAAAABgAGAFkBAABcBQAAAAA= ">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DBhR6ssBAACdAwAADgAAAGRycy9lMm9Eb2MueG1srVPNjtMwEL4j8Q6W 79RpQaiKmq5A1SIkBEjLPoDr2I0l/8njNukLwBtw4sKd5+pzMHaSLiyXPXBxxjPjb75vZrK5Gawh JxlBe9fQ5aKiRDrhW+0ODb3/cvtiTQkk7lpuvJMNPUugN9vnzzZ9qOXKd960MhIEcVD3oaFdSqFm DEQnLYeFD9JhUPloecJrPLA28h7RrWGrqnrNeh/bEL2QAOjdjUE6IcanAHqltJA7L45WujSiRml4 QknQ6QB0W9gqJUX6pBTIRExDUWkqJxZBe59Ptt3w+hB56LSYKPCnUHikyXLtsOgVascTJ8eo/4Gy WkQPXqWF8JaNQkpHUMWyetSbu44HWbRgqyFcmw7/D1Z8PH2ORLe4CStKHLc48cv3b5cfvy4/v5Jl 9fJVblEfoMbMu4C5aXjrB0yf/YDOrHxQ0eYvaiIYxwafrw2WQyIiP1qv1usKQwJj8wXx2cPzECG9 k96SbDQ04gRLY/npA6QxdU7J1Zy/1caUKRr3lwMxs4dl7iPHbKVhP0yC9r49o54eh99Qh7tOiXnv sLd5T2YjzsZ+No4h6kOH1JaFF4Q3x4QkCrdcYYSdCuPUirppw/Ja/HkvWQ9/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AwYUerLAQAAnQMAAA4AAAAAAAAAAQAgAAAAHgEAAGRycy9lMm9E b2MueG1sUEsFBgAAAAAGAAYAWQEAAFsFAAAAAA== ">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y2xO8MwBAACdAwAADgAAAGRycy9lMm9Eb2MueG1srVNLbtswEN0XyB0I 7mPKDlAIguWghZEiQNAWSHsAmqIsAvyBQ1vyBdobdNVN9z2Xz9EhJTlpusmiG2o4M3zz3sxofTsY TY4ygHK2pstFQYm0wjXK7mv69cvddUkJRG4brp2VNT1JoLebqzfr3ldy5TqnGxkIglioel/TLkZf MQaik4bDwnlpMdi6YHjEa9izJvAe0Y1mq6J4y3oXGh+ckADo3Y5BOiGG1wC6tlVCbp04GGnjiBqk 5hElQac80E1m27ZSxE9tCzISXVNUGvOJRdDepZNt1rzaB+47JSYK/DUUXmgyXFkseoHa8sjJIah/ oIwSwYFr40I4w0YhuSOoYlm86M1jx73MWrDV4C9Nh/8HKz4ePweiGtyEG0osNzjx84/v55+/z7++ kWVxU6YW9R4qzHz0mBuH927A9NkP6EzKhzaY9EVNBOPY4NOlwXKIRKRH5aosCwwJjM0XxGdPz32A +EE6Q5JR04ATzI3lxweIY+qckqpZd6e0zlPU9i8HYiYPS9xHjsmKw26YBO1cc0I9PQ6/phZ3nRJ9 b7G3aU9mI8zGbjYOPqh9h9SWmRf4d4eIJDK3VGGEnQrj1LK6acPSWjy/56ynv2rzB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LbE7wzAEAAJ0DAAAOAAAAAAAAAAEAIAAAAB4BAABkcnMvZTJv RG9jLnhtbFBLBQYAAAAABgAGAFkBAABcBQAAAAA= ">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B8YBXMwBAACcAwAADgAAAGRycy9lMm9Eb2MueG1srVNLbtswEN0XyB0I 7mNKRlEYguUggZEiQNAWSHsAmqIsAvyBQ1vyBdobdNVN9z2Xz9EhJTltusmiG2o4M3zz3sxofTMY TY4ygHK2puWioERa4Rpl9zX98vn+ekUJRG4brp2VNT1JoDebqzfr3ldy6TqnGxkIglioel/TLkZf MQaik4bDwnlpMdi6YHjEa9izJvAe0Y1my6J4x3oXGh+ckADo3Y5BOiGG1wC6tlVCbp04GGnjiBqk 5hElQac80E1m27ZSxI9tCzISXVNUGvOJRdDepZNt1rzaB+47JSYK/DUUXmgyXFkseoHa8sjJIah/ oIwSwYFr40I4w0YhuSOooixe9Oap415mLdhq8Jemw/+DFR+OnwJRTU2XlFhucODn79/OP36df34l ZfG2TB3qPVSY+OQxNQ53bsC9mf2AziR8aINJX5REMI79PV36K4dIRHq0Wq5WBYYExuYL4rPn5z5A fC+dIcmoacAB5r7y4yPEMXVOSdWsu1da5yFq+5cDMZOHJe4jx2TFYTdMgnauOaGeHmdfU4urTol+ sNjatCazEWZjNxsHH9S+Q2pl5gX+9hCRROaWKoywU2EcWlY3LVjaij/vOev5p9r8Bl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AHxgFczAEAAJwDAAAOAAAAAAAAAAEAIAAAAB4BAABkcnMvZTJv RG9jLnhtbFBLBQYAAAAABgAGAFkBAABcBQAAAAA= ">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vIt3tcsBAACcAwAADgAAAGRycy9lMm9Eb2MueG1srVPNjtMwEL4j8Q6W 79RpV0IlaroCVYuQECAtPIDr2I0l/8njNukLwBtw4sKd5+pzMHaSLiyXPXBxxjPjb75vZrK5Hawh JxlBe9fQ5aKiRDrhW+0ODf3y+e7FmhJI3LXceCcbepZAb7fPn236UMuV77xpZSQI4qDuQ0O7lELN GIhOWg4LH6TDoPLR8oTXeGBt5D2iW8NWVfWS9T62IXohAdC7G4N0QoxPAfRKaSF3XhytdGlEjdLw hJKg0wHotrBVSor0USmQiZiGotJUTiyC9j6fbLvh9SHy0GkxUeBPofBIk+XaYdEr1I4nTo5R/wNl tYgevEoL4S0bhZSOoIpl9ag39x0PsmjBVkO4Nh3+H6z4cPoUiW4bekOJ4xYHfvn+7fLj1+XnV7Ks bl7lDvUBaky8D5iahjd+wL2Z/YDOLHxQ0eYvSiIYx/6er/2VQyIiP1qv1usKQwJj8wXx2cPzECG9 ld6SbDQ04gBLX/npPaQxdU7J1Zy/08aUIRr3lwMxs4dl7iPHbKVhP0yC9r49o54eZ99Qh6tOiXnn sLV5TWYjzsZ+No4h6kOH1JaFF4TXx4QkCrdcYYSdCuPQirppwfJW/HkvWQ8/1fY3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LyLd7XLAQAAnAMAAA4AAAAAAAAAAQAgAAAAHgEAAGRycy9lMm9E b2MueG1sUEsFBgAAAAAGAAYAWQEAAFsFAAAAAA== ">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Pj0BHcsBAACcAwAADgAAAGRycy9lMm9Eb2MueG1srVNLbtswEN0X6B0I 7mvKRlAYguUghZEiQNAWSHsAmqIsAvyBQ1vyBdobdNVN9z2Xz9EhJdn5bLLIhhrODN/MezNaXfdG k4MMoJyt6HxWUCKtcLWyu4r++H77YUkJRG5rrp2VFT1KoNfr9+9WnS/lwrVO1zIQBLFQdr6ibYy+ ZAxEKw2HmfPSYrBxwfCI17BjdeAdohvNFkXxkXUu1D44IQHQuxmCdEQMrwF0TaOE3DixN9LGATVI zSNSglZ5oOvcbdNIEb82DchIdEWRacwnFkF7m062XvFyF7hvlRhb4K9p4Rknw5XFomeoDY+c7IN6 AWWUCA5cE2fCGTYQyYogi3nxTJuHlnuZuaDU4M+iw9vBii+Hb4GouqJXlFhucOCn379Of/6d/v4k 8+IqK9R5KDHxwWNq7D+5HvcmKZf8gM5EvG+CSV+kRDCO+h7P+so+EpEeLRfLZYEhgbHpgjjs8twH iJ+lMyQZFQ04wKwrP9xDHFKnlFTNululdR6itk8ciJk87NJjsmK/7cfGt64+Ip8OZ19Ri6tOib6z KG1ak8kIk7GdjL0Patdia/PcF/ibfcQmcm+pwgA7FsahZXbjgqWteHzPWZefav0f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D49AR3LAQAAnAMAAA4AAAAAAAAAAQAgAAAAHgEAAGRycy9lMm9E b2MueG1sUEsFBgAAAAAGAAYAWQEAAFsFAAAAAA== ">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WeBJGcsBAACcAwAADgAAAGRycy9lMm9Eb2MueG1srVPNjtMwEL4j8Q6W 79RpJaCKmq5A1SIkBEjLPoDr2I0l/8njNukLwBtw4sKd5+pzMHaSLiyXPXBxxjPjb75vZrK5Gawh JxlBe9fQ5aKiRDrhW+0ODb3/cvtiTQkk7lpuvJMNPUugN9vnzzZ9qOXKd960MhIEcVD3oaFdSqFm DEQnLYeFD9JhUPloecJrPLA28h7RrWGrqnrFeh/bEL2QAOjdjUE6IcanAHqltJA7L45WujSiRml4 QknQ6QB0W9gqJUX6pBTIRExDUWkqJxZBe59Ptt3w+hB56LSYKPCnUHikyXLtsOgVascTJ8eo/4Gy WkQPXqWF8JaNQkpHUMWyetSbu44HWbRgqyFcmw7/D1Z8PH2ORLcNfUmJ4xYHfvn+7fLj1+XnV7Ks Vq9zh/oANSbeBUxNw1s/4N7MfkBnFj6oaPMXJRGMY3/P1/7KIRGRH61X63WFIYGx+YL47OF5iJDe SW9JNhoacYClr/z0AdKYOqfkas7famPKEI37y4GY2cMy95FjttKwHyZBe9+eUU+Ps2+ow1WnxLx3 2Nq8JrMRZ2M/G8cQ9aFDasvCC8KbY0IShVuuMMJOhXFoRd20YHkr/ryXrIefavsb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FngSRnLAQAAnAMAAA4AAAAAAAAAAQAgAAAAHgEAAGRycy9lMm9E b2MueG1sUEsFBgAAAAAGAAYAWQEAAFsFAAAAAA== ">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SsxCrssBAACcAwAADgAAAGRycy9lMm9Eb2MueG1srVNLbtswEN0XyB0I 7mPJXgSCYDlIYKQoEKQF0h6ApkiLAH/g0JZ8gfYGXXXTfc/lc3RISU6bbrLohhrODN+8NzNa3w5G k6MIoJxt6HJRUiIsd62y+4Z++fxwXVECkdmWaWdFQ08C6O3m6t2697VYuc7pVgSCIBbq3je0i9HX RQG8E4bBwnlhMShdMCziNeyLNrAe0Y0uVmV5U/QutD44LgDQux2DdEIMbwF0Uiouto4fjLBxRA1C s4iSoFMe6CazlVLw+FFKEJHohqLSmE8sgvYuncVmzep9YL5TfKLA3kLhlSbDlMWiF6gti4wcgvoH yigeHDgZF9yZYhSSO4IqluWr3jx3zIusBVsN/tJ0+H+w/On4KRDVNvSGEssMDvz8/dv5x6/zz69k Wa6q1KHeQ42Jzx5T43DvBtyb2Q/oTMIHGUz6oiSCcezv6dJfMUTC06NqVVUlhjjG5gviFy/PfYD4 XjhDktHQgAPMfWXHR4hj6pySqln3oLTOQ9T2LwdiJk+RuI8ckxWH3TAJ2rn2hHp6nH1DLa46JfqD xdamNZmNMBu72Tj4oPYdUltmXuDvDhFJZG6pwgg7FcahZXXTgqWt+POes15+qs1v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ErMQq7LAQAAnAMAAA4AAAAAAAAAAQAgAAAAHgEAAGRycy9lMm9E b2MueG1sUEsFBgAAAAAGAAYAWQEAAFsFAAAAAA== ">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MHZGMsBAACcAwAADgAAAGRycy9lMm9Eb2MueG1srVPNjtMwEL4j8Q6W 79RpD1CipitQtQgJAdKyD+A6dmPJf/K4TfoC8AacuHDnufocjJ2kC8tlD1yc8cz4m++bmWxuBmvI SUbQ3jV0uagokU74VrtDQ++/3L5YUwKJu5Yb72RDzxLozfb5s00farnynTetjARBHNR9aGiXUqgZ A9FJy2Hhg3QYVD5anvAaD6yNvEd0a9iqql6y3sc2RC8kAHp3Y5BOiPEpgF4pLeTOi6OVLo2oURqe UBJ0OgDdFrZKSZE+KQUyEdNQVJrKiUXQ3ueTbTe8PkQeOi0mCvwpFB5pslw7LHqF2vHEyTHqf6Cs FtGDV2khvGWjkNIRVLGsHvXmruNBFi3YagjXpsP/gxUfT58j0W1DX1HiuMWBX75/u/z4dfn5lSyr 1evcoT5AjYl3AVPT8NYPuDezH9CZhQ8q2vxFSQTj2N/ztb9ySETkR+vVel1hSGBsviA+e3geIqR3 0luSjYZGHGDpKz99gDSmzim5mvO32pgyROP+ciBm9rDMfeSYrTTsh0nQ3rdn1NPj7BvqcNUpMe8d tjavyWzE2djPxjFEfeiQ2rLwgvDmmJBE4ZYrjLBTYRxaUTctWN6KP+8l6+Gn2v4G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MwQAAFtDb250ZW50 X1R5cGVzXS54bWxQSwECFAAKAAAAAACHTuJAAAAAAAAAAAAAAAAABgAAAAAAAAAAABAAAAAVAwAA X3JlbHMvUEsBAhQAFAAAAAgAh07iQIoUZjzRAAAAlAEAAAsAAAAAAAAAAQAgAAAAOQMAAF9yZWxz Ly5yZWxzUEsBAhQACgAAAAAAh07iQAAAAAAAAAAAAAAAAAQAAAAAAAAAAAAQAAAAAAAAAGRycy9Q SwECFAAUAAAACACHTuJAzql5uc8AAAAFAQAADwAAAAAAAAABACAAAAAiAAAAZHJzL2Rvd25yZXYu eG1sUEsBAhQAFAAAAAgAh07iQIDB2RjLAQAAnAMAAA4AAAAAAAAAAQAgAAAAHgEAAGRycy9lMm9E b2MueG1sUEsFBgAAAAAGAAYAWQEAAFsFAAAAAA== ">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NmyCN8kBAACcAwAADgAAAGRycy9lMm9Eb2MueG1srVNNrtMwEN4jcQfL e+q0SKiKmj6BqoeQECA9OIDr2I0l/8njNukF4Aas2LDnXD0HYydp4bF5CzbOeGb8zXzfTDZ3gzXk JCNo7xq6XFSUSCd8q92hoV8+379YUwKJu5Yb72RDzxLo3fb5s00farnynTetjARBHNR9aGiXUqgZ A9FJy2Hhg3QYVD5anvAaD6yNvEd0a9iqql6x3sc2RC8kAHp3Y5BOiPEpgF4pLeTOi6OVLo2oURqe kBJ0OgDdlm6VkiJ9VApkIqahyDSVE4ugvc8n2254fYg8dFpMLfCntPCIk+XaYdEr1I4nTo5R/wNl tYgevEoL4S0biRRFkMWyeqTNQ8eDLFxQaghX0eH/wYoPp0+R6LahOHbHLQ788v3b5cevy8+vZFm9 LAr1AWpMfAiYmoY3fsC9ycplP6AzEx9UtPmLlAjGUd/zVV85JCLyo/Vqva4wJDA2XxCH3Z6HCOmt 9JZko6ERB1h05af3kMbUOSVXc/5eG1OGaNxfDsTMHnbrMVtp2A9T43vfnpFPj7NvqMNVp8S8cyht XpPZiLOxn41jiPrQYWvL0heE18eETZTecoURdiqMQyvspgXLW/HnvWTdfqrtb1BLAwQKAAAAAACH TuJAAAAAAAAAAAAAAAAABgAAAF9yZWxzL1BLAwQUAAAACACHTuJAihRmPNEAAACUAQAACwAAAF9y ZWxzLy5yZWxzpZDBasMwDIbvg72D0X1xmsMYo04vo9Br6R7A2IpjGltGMtn69vMOg2X0tqN+oe8T //7wmRa1IkukbGDX9aAwO/IxBwPvl+PTCyipNnu7UEYDNxQ4jI8P+zMutrYjmWMR1ShZDMy1llet xc2YrHRUMLfNRJxsbSMHXay72oB66Ptnzb8ZMG6Y6uQN8MkPoC630sx/2Ck6JqGpdo6SpmmK7h5V B7Zlju7INuEbuUazHLAa8CwaB2pZ134EfV+/+6fe00c+47rVfoeM649Xb7ocvwBQSwMEFAAAAAgA h07iQH7m5SD3AAAA4QEAABMAAABbQ29udGVudF9UeXBlc10ueG1slZFBTsMwEEX3SNzB8hYlTrtA CCXpgrRLQKgcYGRPEotkbHlMaG+Pk7YbRJFY2jP/vye73BzGQUwY2Dqq5CovpEDSzljqKvm+32UP UnAEMjA4wkoekeWmvr0p90ePLFKauJJ9jP5RKdY9jsC580hp0rowQkzH0CkP+gM6VOuiuFfaUUSK WZw7ZF022MLnEMX2kK5PJgEHluLptDizKgneD1ZDTKZqIvODkp0JeUouO9xbz3dJQ6pfCfPkOuCc e0lPE6xB8QohPsOYNJQJrIz7ooBT/nfJbDly5trWasybwE2KveF0sbrWjmvXOP3f8u2SunSr5YPq b1BLAQIUABQAAAAIAIdO4kB+5uUg9wAAAOEBAAATAAAAAAAAAAEAIAAAADEEAABbQ29udGVudF9U eXBlc10ueG1sUEsBAhQACgAAAAAAh07iQAAAAAAAAAAAAAAAAAYAAAAAAAAAAAAQAAAAEwMAAF9y ZWxzL1BLAQIUABQAAAAIAIdO4kCKFGY80QAAAJQBAAALAAAAAAAAAAEAIAAAADcDAABfcmVscy8u cmVsc1BLAQIUAAoAAAAAAIdO4kAAAAAAAAAAAAAAAAAEAAAAAAAAAAAAEAAAAAAAAABkcnMvUEsB AhQAFAAAAAgAh07iQM6pebnPAAAABQEAAA8AAAAAAAAAAQAgAAAAIgAAAGRycy9kb3ducmV2Lnht bFBLAQIUABQAAAAIAIdO4kA2bII3yQEAAJwDAAAOAAAAAAAAAAEAIAAAAB4BAABkcnMvZTJvRG9j LnhtbFBLBQYAAAAABgAGAFkBAABZBQAAAAA= ">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GEZgcwBAACcAwAADgAAAGRycy9lMm9Eb2MueG1srVPNjtMwEL4j7TtY vm+TdCVUoqYrULUrJARIyz6A69iNJf/J4zbpC8AbcOLCnefqczB2ki4slz1wccYz42++b2ayvh2M JkcRQDnb0GpRUiIsd62y+4Y+frm7XlECkdmWaWdFQ08C6O3m6tW697VYus7pVgSCIBbq3je0i9HX RQG8E4bBwnlhMShdMCziNeyLNrAe0Y0ulmX5uuhdaH1wXACgdzsG6YQYXgLopFRcbB0/GGHjiBqE ZhElQac80E1mK6Xg8ZOUICLRDUWlMZ9YBO1dOovNmtX7wHyn+ESBvYTCM02GKYtFL1BbFhk5BPUP lFE8OHAyLrgzxSgkdwRVVOWz3jx0zIusBVsN/tJ0+H+w/OPxcyCqbegbSiwzOPDz92/nH7/OP7+S qrypUod6DzUmPnhMjcM7N+DezH5AZxI+yGDSFyURjGN/T5f+iiESnh6tlqtViSGOsfmC+MXTcx8g 3gtnSDIaGnCAua/s+AHimDqnpGrW3Smt8xC1/cuBmMlTJO4jx2TFYTdMgnauPaGeHmffUIurTol+ b7G1aU1mI8zGbjYOPqh9h9SqzAv820NEEplbqjDCToVxaFndtGBpK/6856ynn2rzG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DQEAABbQ29udGVu dF9UeXBlc10ueG1sUEsBAhQACgAAAAAAh07iQAAAAAAAAAAAAAAAAAYAAAAAAAAAAAAQAAAAFgMA AF9yZWxzL1BLAQIUABQAAAAIAIdO4kCKFGY80QAAAJQBAAALAAAAAAAAAAEAIAAAADoDAABfcmVs cy8ucmVsc1BLAQIUAAoAAAAAAIdO4kAAAAAAAAAAAAAAAAAEAAAAAAAAAAAAEAAAAAAAAABkcnMv UEsBAhQAFAAAAAgAh07iQM6pebnPAAAABQEAAA8AAAAAAAAAAQAgAAAAIgAAAGRycy9kb3ducmV2 LnhtbFBLAQIUABQAAAAIAIdO4kD8YRmBzAEAAJwDAAAOAAAAAAAAAAEAIAAAAB4BAABkcnMvZTJv RG9jLnhtbFBLBQYAAAAABgAGAFkBAABcBQAAAAA= ">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苏州市供排水管理处</w:t>
    </w:r>
    <w:r>
      <w:rPr>
        <w:rFonts w:hint="eastAsia"/>
        <w:lang w:val="en-US" w:eastAsia="zh-CN"/>
      </w:rPr>
      <w:t>2024</w:t>
    </w:r>
    <w:r>
      <w:rPr>
        <w:rFonts w:hint="eastAsia"/>
        <w:lang w:val="en-US"/>
        <w:u/>
      </w:rPr>
      <w:t>年度</w:t>
    </w:r>
    <w:r>
      <w:rPr>
        <w:u w:color="auto"/>
      </w:rPr>
      <w:t>单位</w:t>
    </w:r>
    <w:r>
      <w:rPr>
        <w:u w:color="auto"/>
      </w:rPr>
      <w:t>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theme/theme1.xml" Type="http://schemas.openxmlformats.org/officeDocument/2006/relationships/theme"/><Relationship Id="rId19" Target="../customXml/item1.xml" Type="http://schemas.openxmlformats.org/officeDocument/2006/relationships/customXml"/><Relationship Id="rId2" Target="settings.xml" Type="http://schemas.openxmlformats.org/officeDocument/2006/relationships/settings"/><Relationship Id="rId20" Target="fontTable.xml" Type="http://schemas.openxmlformats.org/officeDocument/2006/relationships/fontTable"/><Relationship Id="rId21" Target="media/image1.jpeg" Type="http://schemas.openxmlformats.org/officeDocument/2006/relationships/image"/><Relationship Id="rId22"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443</Words>
  <Characters>1567</Characters>
  <Lines>58</Lines>
  <Paragraphs>16</Paragraphs>
  <TotalTime>22</TotalTime>
  <ScaleCrop>false</ScaleCrop>
  <LinksUpToDate>false</LinksUpToDate>
  <CharactersWithSpaces>1574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2025-07-11T02:17:18Z</dcterms:modified>
  <cp:revision>177</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