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苏州市水政监察支队</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（一）受市水务局委托，负责全市河湖采砂（取土）和疏浚砂综合利用的统一指导和监督管理工作。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（二）协调指导全市河湖采砂（取土）管理能力建设，做好打击河湖非法采砂（取土）相关工作。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（三）参与全市长江河道疏浚项目审批、事后监管、验收、材料收集等工作。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（四）受市水务局委托，负责承担全市重大水事违法案件的调查取证、问询、勘验、执法文书制作、送达等有关辅助性、事务性工作，参与执行和落实市水务局的处理决定。</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（五）参与全市水事活动监督检查和水事违法事件调查保障工作。配合公安、司法机关查处相关水事治安、刑事案件。</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（六）按省、市防汛抗旱指挥部指令，参与全市流域性河湖人为设置的行洪障碍的清除、检查验收。</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（七）参与对全市水行政执法业务指导、培训工作。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（八）完成苏州市水务局交办的其他事项。</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科、执法科、砂管科。根据《苏州市委编办关于苏州市水务局综合行政执法改革相关机构编制事项的通知》（苏编办通【2024】100号文），撤销苏州市水政监察支队，保留苏州市长江河道采砂管理办公室，更名为“苏州市河湖采砂管理办公室”。</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围绕年度工作要点，立足源头监管，强化案件查处，高水平推进河湖治理保护。全市全年共开展水行政执法巡查2461次，查处各类水事违法案件231起，罚款金额298.9万元，其中市本级立案8起，罚款金额41.4万元。</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全面提质，加强长江河道苏州段采砂监督管理。开展长江河道苏州段采砂专项整治行动，紧扣“全覆盖”目标，坚持不懈抓好日常巡查，累计开展长江采砂管理巡查1215次；紧扣“零容忍”目标，协同联动打击非法采砂，今年太仓市办理完成检察部门移送的“4.20”非法采砂案，涉及罚没款共计87.8万元，查处采砂船非法移动案件2起；紧扣“严监管”目标，年内加强对27项疏浚项目的执法监管，严管超范围、超深度、超数量行为，长江苏州段采砂管理秩序持续稳定向好。</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严格规范，开展全市水行政执法突出问题专项整治。聚焦水行政执法突出问题和堵点问题，开展全市水行政执法突出问题专项整治行动，共摸排出“执法不规范问题”“执法方式简单僵化问题”“执法不作为问题”“其他问题”4个方面行政执法突出问题7项，列出详细整改措施清单12项，实化工作举措，按照整改要求全面完成整治任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精准发力，开展专项行政执法活动。一是开展水资源保护专项执法行动。加大与行政综合执法部门协调对接力度，共排查梳理违法问题线索69条，立案查处50件，有力维护了水资源管理秩序；二是开展防汛清障和河湖围堰安全度汛专项执法行动。对全市全市162处施工围堰筑坝进行梳理排查，对许可超期限问题的30处围堰督促完成整改；三是开展全市涉河湖违法行为整治百日攻坚专项执法行动。通过联合相关部门开展打击水上非法倾倒固体废物违法犯罪行动、重大土方运输码头集中检查、太湖水域及干线航道联合巡查等，查处14起涉河湖水事违法案件，有力震慑了涉河湖违法行为；四是开展排水执法与管理联合巡查。开展排水户分类分级执法检查，针对性进行排水宣传服务，帮助排水户主动规范排水行为，今年全市共查处各类排水违法案件50件，查处了苏州彬利建设工程有限公司向雨水管网偷倒建筑泥浆等违法案件，有效防范城市排水设施安全风险；五是开展水土保持执法行动。针对轨道交通、隧道、水运等重点建设工地，严格检查各工地的水土保持措施执行情况，查处了某房地产公司水保设施未验先投案，预防施工过程中产生的水土流失，确保了建设项目的绿色可持续发展。</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攻坚克难，推进违法问题整改。针对央企因高铁施工占用吴江汾湖梁山荡水域未按承诺恢复、望虞河太湖喇叭口排泥场未整改挖除、吴中区三山岛湿地公园未批先建等一批重点、难点、长期未能得到有效整改的水事违法问题，通过现场督办、行政执法、约谈责任人、下达整改通知书等手段，有效推进了违法问题的整改落实，目前占用梁山荡水域和喇叭口排泥场整改已完成，三山岛湿地公园整改按计划推进。</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党建引领，提升执法服务能力。秉持以党建为引领，以联建聚合力，以共建促发展的工作思路，主动对接、组织环太湖地区部、省、市7支水政监察队伍开展水行政执法党建联建，通过构建跨部门协作平台，在党建交流、业务互学、联合执法、普法宣传以及协同应对突发事件等方面深度合作，推动党建与新一轮太湖综合治理同向聚力、同频共振。继续发挥好“沿江党建带·水韵江苏护江党建联盟”“太湖水域联勤指挥中心”等平台堡垒的攻坚作用，加强与公安、交通、渔政等部门联勤联动。</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规范检查，优化水务执法营商环境。印发《关于全面推行建筑工地水行政执法“综合查一次”的通知》，着力解决涉企现场检查事项多、频次高、随意检等问题。制定《苏州市水行政执法“观察期”制度工作指引》，优先采取教育提醒、劝导示范、行政约谈等柔性执法方式，引导当事人主动纠正违法行为。积极推进包容审慎执法，修订出台苏州市水务局涉企“免罚、轻罚清单4.0版”，全面落实不予处罚、减轻处罚两张清单。</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加强宣传，落实“谁执法谁普法”普法责任。打造“以案说法”品牌，发布《2023苏州水行政执法十大典型案例》，制作成案例漫画，通过“苏州水务”连续推送，扩大宣传覆盖。联合制作的《水惠民生与法同行》法治微视频获评“苏城法韵”法治微动漫、微视频大赛一等奖。执法检查主动靠前服务，开展涉企行政合规指导，帮助企业了解、熟悉水法律法规，主动规范涉水行为，把“末端执法”变为“前端服务”。</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苏州市水政监察支队</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苏州市水政监察支队</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776.06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69.99</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522.47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179.21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776.06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771.67</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4.39</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776.06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776.06</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776.06</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776.06</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69.99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69.99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69.99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69.99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2.80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44.79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44.79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22.40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22.40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526.86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526.86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526.86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526.86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2130309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水利执法监督</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526.86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526.86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179.21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179.21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179.21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179.21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53.75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53.75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66.49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66.49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58.97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58.97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771.67</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632.04</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139.63</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69.99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69.99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69.99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69.99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2.80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2.80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44.79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44.79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22.40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22.40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522.47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382.84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139.63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522.47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382.84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139.63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2130309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水利执法监督</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522.47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382.84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139.63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179.21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179.21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179.21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179.21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53.75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53.75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66.49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66.49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58.97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58.97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776.06</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69.99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69.99</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522.47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522.47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179.21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179.21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776.06</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771.67</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771.67</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4.39</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4.39</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776.06</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776.06</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776.06</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771.67</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632.04</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139.63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69.99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69.99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69.99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69.99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2.80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2.80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44.79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44.79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22.40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22.40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522.47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382.84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139.63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522.47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382.84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139.63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2130309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水利执法监督</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522.47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382.84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139.63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179.21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179.21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179.21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179.21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53.75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53.75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66.49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66.49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58.97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58.97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632.04</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583.48</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48.56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571.26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571.26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61.62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61.62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295.99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295.99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62.38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62.38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44.79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44.79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22.40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30.34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30.34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53.75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53.75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48.56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48.56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5.09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1.26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5.47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5.28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5.28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0.15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0.76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0.76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7.69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7.69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0.84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0.84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19.19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19.19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12.21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11.77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11.77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0.45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771.67</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632.04</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139.63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69.99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69.99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69.99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69.99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2.80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2.80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44.79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44.79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22.40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522.47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382.84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139.63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522.47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382.84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139.63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2130309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水利执法监督</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522.47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382.84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139.63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179.21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179.21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179.21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179.21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53.75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53.75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66.49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66.49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58.97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58.97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632.04</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583.48</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48.56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571.26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571.26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61.62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61.62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295.99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295.99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62.38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62.38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44.79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44.79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22.40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30.34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30.34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53.75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53.75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48.56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48.56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5.09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1.26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5.47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5.47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5.28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0.15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0.76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0.76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7.69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7.69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0.84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0.84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19.19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19.19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12.21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12.21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11.77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11.77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0.45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0.76</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61</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48.56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48.56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5.09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0.21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0.06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1.26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5.47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5.28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0.15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0.25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0.76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1.30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7.69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0.84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19.19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1.02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苏州市水政监察支队</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88.80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88.80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88.80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88.80</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2024年度收入、支出决算总计776.06万元。与上年相比，收、支总计各减少141.73万元，减少15.44%。其中：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（一）收入决算总计776.06万元。包括：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1.本年收入决算合计776.06万元。与上年相比，减少141.73万元，减少15.44%，变动原因：人员变动，调出3名，人员支出减少；项目支出较上年减少，24年未安排公车购置、专项维修维护费等项目。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（二）支出决算总计776.06万元。包括：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1.本年支出决算合计771.67万元。与上年相比，减少137.66万元，减少15.14%，变动原因：人员变动，调出3名，人员支出减少；项目支出较上年减少，24年未安排公车购置、专项维修维护费等项目。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3.年末结转和结余4.39万元。结转和结余事项：单位公务卡及代扣户账户余额。与上年相比，减少4.07万元，减少48.11%，变动原因：预算执行率提高。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776.06万元，其中：财政拨款收入776.06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2024年度本年支出决算合计771.67万元，其中：基本支出632.04万元，占81.91%；项目支出139.63万元，占18.09%；上缴上级支出0万元，占0%；经营支出0万元，占0%；对附属单位补助支出0万元，占0%。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776.06万元。与上年相比，收、支总计各减少141.73万元，减少15.44%，变动原因：人员变动，调出3名，人员支出减少；项目支出较上年减少，24年未安排公车购置、专项维修维护费等项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2024年度财政拨款支出决算771.67万元，占本年支出合计的100%。与2024年度财政拨款支出年初预算750.23万元相比，完成年初预算的102.86%。其中：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1.行政事业单位养老支出（款）行政单位离退休（项）。年初预算0万元，支出决算2.8万元，（年初预算数为0万元，无法计算完成比率）决算数与年初预算数的差异原因：追加离退休员工老干部慰问金。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2.行政事业单位养老支出（款）机关事业单位基本养老保险缴费支出（项）。年初预算44.79万元，支出决算44.79万元，完成年初预算的100%。决算数与年初预算数相同。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3.行政事业单位养老支出（款）机关事业单位职业年金缴费支出（项）。年初预算22.4万元，支出决算22.4万元，完成年初预算的100%。决算数与年初预算数相同。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（二）农林水支出（类）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水利（款）水利执法监督（项）。年初预算503.83万元，支出决算522.47万元，完成年初预算的103.7%。决算数与年初预算数的差异原因：下达24年省级水利发展资金。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1.住房改革支出（款）住房公积金（项）。年初预算53.75万元，支出决算53.75万元，完成年初预算的100%。决算数与年初预算数相同。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2.住房改革支出（款）提租补贴（项）。年初预算66.49万元，支出决算66.49万元，完成年初预算的100%。决算数与年初预算数相同。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3.住房改革支出（款）购房补贴（项）。年初预算58.97万元，支出决算58.97万元，完成年初预算的100%。决算数与年初预算数相同。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2024年度财政拨款基本支出决算632.04万元，其中：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（一）人员经费583.48万元。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主要包括：基本工资、津贴补贴、奖金、机关事业单位基本养老保险缴费、职业年金缴费、职工基本医疗保险缴费、住房公积金、退休费、其他对个人和家庭的补助。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（二）公用经费48.56万元。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主要包括：办公费、印刷费、手续费、水费、邮电费、差旅费、维修（护）费、租赁费、会议费、委托业务费、工会经费、福利费、其他交通费用、其他商品和服务支出。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2024年度一般公共预算财政拨款支出决算771.67万元。与上年相比，减少137.66万元，减少15.14%，变动原因：人员变动，调出3名，人员支出减少；项目支出较上年减少，24年未安排公车购置、专项维修维护费等项目。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2024年度一般公共预算财政拨款基本支出决算632.04万元，其中：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（一）人员经费583.48万元。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主要包括：基本工资、津贴补贴、奖金、机关事业单位基本养老保险缴费、职业年金缴费、职工基本医疗保险缴费、住房公积金、退休费、其他对个人和家庭的补助。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（二）公用经费48.56万元。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主要包括：办公费、印刷费、手续费、水费、邮电费、差旅费、维修（护）费、租赁费、会议费、委托业务费、工会经费、福利费、其他交通费用、其他商品和服务支出。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万元（其中：一般公共预算支出0万元；政府性基金预算支出0万元；国有资本经营预算支出0万元）。与上年相比，减少18.14万元，变动原因：贯彻落实《党政机关厉行节约反对浪费条例》。</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1万元（其中：一般公共预算支出1万元；政府性基金预算支出0万元；国有资本经营预算支出0万元），支出决算0万元（其中：一般公共预算支出0万元；政府性基金预算支出0万元；国有资本经营预算支出0万元），完成调整后预算的0%，决算数与预算数的差异原因：贯彻落实《党政机关厉行节约反对浪费条例》。其中：国内公务接待支出0万元，接待0批次，0人次；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1万元（其中：一般公共预算支出1万元；政府性基金预算支出0万元；国有资本经营预算支出0万元），支出决算0.76万元（其中：一般公共预算支出0.76万元；政府性基金预算支出0万元；国有资本经营预算支出0万元），完成调整后预算的76%，决算数与预算数的差异原因：贯彻落实《党政机关厉行节约反对浪费条例》。2024年度全年召开会议1个，参加会议61人次，开支内容：环太湖水行政执法党建联建联席会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48.56万元（其中：一般公共预算支出48.56万元；政府性基金预算支出0万元；国有资本经营预算支出0万元）。与上年相比，减少0.7万元，减少1.42%，变动原因：贯彻落实《党政机关厉行节约反对浪费条例》。</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88.8万元，其中：政府采购货物支出0万元、政府采购工程支出0万元、政府采购服务支出88.8万元。政府采购授予中小企业合同金额88.8万元，占政府采购支出总额的100%，其中：授予小微企业合同金额88.8万元，占授予中小企业合同金额的100%。</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2辆，其中：副部(省)级及以上领导用车0辆、主要领导干部用车0辆、机要通信用车0辆、应急保障用车0辆、执法执勤用车2辆、特种专业技术用车0辆、离退休干部用车0辆、其他用车0辆；单价100万元（含）以上的设备2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本单位共对上年度已实施完成的7个项目开展了绩效自评价，涉及财政性资金合计139.63万元；本单位共开展1项单位整体支出绩效自评价，涉及财政性资金合计776.06万元。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二十二、农林水支出(类)水利(款)水利执法监督(项)</w:t>
      </w:r>
      <w:r>
        <w:rPr>
          <w:b w:val="on"/>
          <w:rFonts w:ascii="仿宋" w:eastAsia="仿宋" w:hAnsi="仿宋" w:cs="仿宋"/>
          <w:u w:color="auto"/>
        </w:rPr>
        <w:t>：</w:t>
      </w:r>
      <w:r>
        <w:rPr>
          <w:rFonts w:hint="eastAsia" w:ascii="仿宋" w:hAnsi="仿宋" w:eastAsia="仿宋" w:cs="仿宋"/>
        </w:rPr>
        <w:t>反映水利系统纳入预算管理的事业单位开展水利执法监督活动的支出。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苏州市水政监察支队</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