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2"/>
        <w:spacing w:line="1000" w:lineRule="exact"/>
        <w:ind w:firstLine="0" w:firstLineChars="0"/>
        <w:rPr>
          <w:rFonts w:eastAsia="方正小标宋简体"/>
          <w:b/>
          <w:color w:val="000000" w:themeColor="text1"/>
          <w:spacing w:val="-4"/>
          <w:szCs w:val="44"/>
          <w14:textFill>
            <w14:solidFill>
              <w14:schemeClr w14:val="tx1"/>
            </w14:solidFill>
          </w14:textFill>
        </w:rPr>
      </w:pPr>
    </w:p>
    <w:p>
      <w:pPr>
        <w:pStyle w:val="132"/>
        <w:spacing w:line="1000" w:lineRule="exact"/>
        <w:ind w:firstLine="0" w:firstLineChars="0"/>
        <w:rPr>
          <w:rFonts w:eastAsia="黑体"/>
          <w:b/>
          <w:color w:val="000000" w:themeColor="text1"/>
          <w:spacing w:val="-4"/>
          <w:sz w:val="52"/>
          <w:szCs w:val="44"/>
          <w14:textFill>
            <w14:solidFill>
              <w14:schemeClr w14:val="tx1"/>
            </w14:solidFill>
          </w14:textFill>
        </w:rPr>
      </w:pPr>
      <w:r>
        <w:rPr>
          <w:rFonts w:eastAsia="黑体"/>
          <w:b/>
          <w:color w:val="000000" w:themeColor="text1"/>
          <w:spacing w:val="-4"/>
          <w:sz w:val="52"/>
          <w:szCs w:val="44"/>
          <w14:textFill>
            <w14:solidFill>
              <w14:schemeClr w14:val="tx1"/>
            </w14:solidFill>
          </w14:textFill>
        </w:rPr>
        <w:t>太仓市特大暴雨城市防洪避险预案</w:t>
      </w: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Theme="minorEastAsia"/>
          <w:b/>
          <w:color w:val="000000" w:themeColor="text1"/>
          <w:szCs w:val="32"/>
          <w14:textFill>
            <w14:solidFill>
              <w14:schemeClr w14:val="tx1"/>
            </w14:solidFill>
          </w14:textFill>
        </w:rPr>
      </w:pPr>
    </w:p>
    <w:p>
      <w:pPr>
        <w:tabs>
          <w:tab w:val="left" w:pos="9193"/>
          <w:tab w:val="left" w:pos="9827"/>
        </w:tabs>
        <w:autoSpaceDE w:val="0"/>
        <w:autoSpaceDN w:val="0"/>
        <w:ind w:firstLine="0" w:firstLineChars="0"/>
        <w:jc w:val="center"/>
        <w:rPr>
          <w:rFonts w:eastAsia="楷体"/>
          <w:b/>
          <w:color w:val="000000" w:themeColor="text1"/>
          <w:sz w:val="36"/>
          <w:szCs w:val="32"/>
          <w14:textFill>
            <w14:solidFill>
              <w14:schemeClr w14:val="tx1"/>
            </w14:solidFill>
          </w14:textFill>
        </w:rPr>
      </w:pPr>
      <w:r>
        <w:rPr>
          <w:rFonts w:eastAsia="楷体"/>
          <w:b/>
          <w:color w:val="000000" w:themeColor="text1"/>
          <w:sz w:val="36"/>
          <w:szCs w:val="32"/>
          <w14:textFill>
            <w14:solidFill>
              <w14:schemeClr w14:val="tx1"/>
            </w14:solidFill>
          </w14:textFill>
        </w:rPr>
        <w:t>太仓市防汛抗旱指挥部</w:t>
      </w:r>
    </w:p>
    <w:p>
      <w:pPr>
        <w:tabs>
          <w:tab w:val="left" w:pos="9193"/>
          <w:tab w:val="left" w:pos="9827"/>
        </w:tabs>
        <w:autoSpaceDE w:val="0"/>
        <w:autoSpaceDN w:val="0"/>
        <w:ind w:firstLine="0" w:firstLineChars="0"/>
        <w:jc w:val="center"/>
        <w:rPr>
          <w:rFonts w:eastAsia="楷体"/>
          <w:b/>
          <w:color w:val="000000" w:themeColor="text1"/>
          <w:sz w:val="36"/>
          <w:szCs w:val="32"/>
          <w14:textFill>
            <w14:solidFill>
              <w14:schemeClr w14:val="tx1"/>
            </w14:solidFill>
          </w14:textFill>
        </w:rPr>
      </w:pPr>
      <w:r>
        <w:rPr>
          <w:rFonts w:eastAsia="楷体"/>
          <w:b/>
          <w:color w:val="000000" w:themeColor="text1"/>
          <w:sz w:val="36"/>
          <w:szCs w:val="32"/>
          <w14:textFill>
            <w14:solidFill>
              <w14:schemeClr w14:val="tx1"/>
            </w14:solidFill>
          </w14:textFill>
        </w:rPr>
        <w:t>2024年</w:t>
      </w:r>
      <w:r>
        <w:rPr>
          <w:rFonts w:hint="eastAsia" w:eastAsia="楷体"/>
          <w:b/>
          <w:color w:val="000000" w:themeColor="text1"/>
          <w:sz w:val="36"/>
          <w:szCs w:val="32"/>
          <w14:textFill>
            <w14:solidFill>
              <w14:schemeClr w14:val="tx1"/>
            </w14:solidFill>
          </w14:textFill>
        </w:rPr>
        <w:t>6</w:t>
      </w:r>
      <w:r>
        <w:rPr>
          <w:rFonts w:eastAsia="楷体"/>
          <w:b/>
          <w:color w:val="000000" w:themeColor="text1"/>
          <w:sz w:val="36"/>
          <w:szCs w:val="32"/>
          <w14:textFill>
            <w14:solidFill>
              <w14:schemeClr w14:val="tx1"/>
            </w14:solidFill>
          </w14:textFill>
        </w:rPr>
        <w:t>月</w:t>
      </w:r>
    </w:p>
    <w:p>
      <w:pPr>
        <w:widowControl/>
        <w:spacing w:line="240" w:lineRule="auto"/>
        <w:ind w:firstLine="0" w:firstLineChars="0"/>
        <w:jc w:val="left"/>
        <w:rPr>
          <w:rFonts w:eastAsia="黑体"/>
          <w:b/>
          <w:bCs/>
          <w:snapToGrid w:val="0"/>
          <w:color w:val="000000" w:themeColor="text1"/>
          <w:kern w:val="0"/>
          <w:szCs w:val="32"/>
          <w14:textFill>
            <w14:solidFill>
              <w14:schemeClr w14:val="tx1"/>
            </w14:solidFill>
          </w14:textFill>
        </w:rPr>
      </w:pPr>
      <w:r>
        <w:rPr>
          <w:rFonts w:eastAsia="黑体"/>
          <w:b/>
          <w:bCs/>
          <w:snapToGrid w:val="0"/>
          <w:color w:val="000000" w:themeColor="text1"/>
          <w:kern w:val="0"/>
          <w:szCs w:val="32"/>
          <w14:textFill>
            <w14:solidFill>
              <w14:schemeClr w14:val="tx1"/>
            </w14:solidFill>
          </w14:textFill>
        </w:rPr>
        <w:br w:type="page"/>
      </w:r>
    </w:p>
    <w:p>
      <w:pPr>
        <w:tabs>
          <w:tab w:val="left" w:pos="9193"/>
          <w:tab w:val="left" w:pos="9827"/>
        </w:tabs>
        <w:autoSpaceDE w:val="0"/>
        <w:autoSpaceDN w:val="0"/>
        <w:ind w:firstLine="0" w:firstLineChars="0"/>
        <w:jc w:val="center"/>
        <w:rPr>
          <w:rFonts w:eastAsia="黑体"/>
          <w:b/>
          <w:bCs/>
          <w:snapToGrid w:val="0"/>
          <w:color w:val="000000" w:themeColor="text1"/>
          <w:kern w:val="0"/>
          <w:szCs w:val="32"/>
          <w14:textFill>
            <w14:solidFill>
              <w14:schemeClr w14:val="tx1"/>
            </w14:solidFill>
          </w14:textFill>
        </w:rPr>
      </w:pPr>
      <w:bookmarkStart w:id="50" w:name="_GoBack"/>
      <w:bookmarkEnd w:id="50"/>
      <w:r>
        <w:rPr>
          <w:rFonts w:eastAsia="黑体"/>
          <w:b/>
          <w:bCs/>
          <w:snapToGrid w:val="0"/>
          <w:color w:val="000000" w:themeColor="text1"/>
          <w:kern w:val="0"/>
          <w:szCs w:val="32"/>
          <w14:textFill>
            <w14:solidFill>
              <w14:schemeClr w14:val="tx1"/>
            </w14:solidFill>
          </w14:textFill>
        </w:rPr>
        <w:t>目    录</w:t>
      </w:r>
    </w:p>
    <w:p>
      <w:pPr>
        <w:tabs>
          <w:tab w:val="left" w:pos="9193"/>
          <w:tab w:val="left" w:pos="9827"/>
        </w:tabs>
        <w:autoSpaceDE w:val="0"/>
        <w:autoSpaceDN w:val="0"/>
        <w:ind w:firstLine="0" w:firstLineChars="0"/>
        <w:jc w:val="center"/>
        <w:rPr>
          <w:rFonts w:eastAsia="黑体"/>
          <w:b/>
          <w:bCs/>
          <w:snapToGrid w:val="0"/>
          <w:color w:val="000000" w:themeColor="text1"/>
          <w:kern w:val="0"/>
          <w:szCs w:val="32"/>
          <w14:textFill>
            <w14:solidFill>
              <w14:schemeClr w14:val="tx1"/>
            </w14:solidFill>
          </w14:textFill>
        </w:rPr>
      </w:pPr>
    </w:p>
    <w:p>
      <w:pPr>
        <w:pStyle w:val="19"/>
        <w:keepNext w:val="0"/>
        <w:keepLines w:val="0"/>
        <w:pageBreakBefore w:val="0"/>
        <w:tabs>
          <w:tab w:val="right" w:leader="dot" w:pos="9060"/>
        </w:tabs>
        <w:kinsoku/>
        <w:wordWrap/>
        <w:overflowPunct/>
        <w:topLinePunct w:val="0"/>
        <w:bidi w:val="0"/>
        <w:adjustRightInd/>
        <w:snapToGrid/>
        <w:spacing w:line="560" w:lineRule="exact"/>
        <w:textAlignment w:val="auto"/>
        <w:rPr>
          <w:rFonts w:cstheme="minorHAnsi"/>
          <w:bCs/>
          <w:caps/>
          <w:kern w:val="2"/>
          <w:szCs w:val="20"/>
        </w:rPr>
      </w:pPr>
      <w:r>
        <w:rPr>
          <w:bCs/>
          <w:snapToGrid w:val="0"/>
          <w:color w:val="000000" w:themeColor="text1"/>
          <w:szCs w:val="32"/>
          <w14:textFill>
            <w14:solidFill>
              <w14:schemeClr w14:val="tx1"/>
            </w14:solidFill>
          </w14:textFill>
        </w:rPr>
        <w:fldChar w:fldCharType="begin"/>
      </w:r>
      <w:r>
        <w:rPr>
          <w:bCs/>
          <w:snapToGrid w:val="0"/>
          <w:color w:val="000000" w:themeColor="text1"/>
          <w:szCs w:val="32"/>
          <w14:textFill>
            <w14:solidFill>
              <w14:schemeClr w14:val="tx1"/>
            </w14:solidFill>
          </w14:textFill>
        </w:rPr>
        <w:instrText xml:space="preserve"> TOC \o "1-2" \h \z \u </w:instrText>
      </w:r>
      <w:r>
        <w:rPr>
          <w:bCs/>
          <w:snapToGrid w:val="0"/>
          <w:color w:val="000000" w:themeColor="text1"/>
          <w:szCs w:val="32"/>
          <w14:textFill>
            <w14:solidFill>
              <w14:schemeClr w14:val="tx1"/>
            </w14:solidFill>
          </w14:textFill>
        </w:rPr>
        <w:fldChar w:fldCharType="separate"/>
      </w:r>
      <w:r>
        <w:rPr>
          <w:rFonts w:cstheme="minorHAnsi"/>
          <w:bCs/>
          <w:caps/>
          <w:kern w:val="2"/>
          <w:szCs w:val="20"/>
        </w:rPr>
        <w:fldChar w:fldCharType="begin"/>
      </w:r>
      <w:r>
        <w:rPr>
          <w:rFonts w:cstheme="minorHAnsi"/>
          <w:bCs/>
          <w:caps/>
          <w:kern w:val="2"/>
          <w:szCs w:val="20"/>
        </w:rPr>
        <w:instrText xml:space="preserve"> HYPERLINK \l "_Toc169610422" </w:instrText>
      </w:r>
      <w:r>
        <w:rPr>
          <w:rFonts w:cstheme="minorHAnsi"/>
          <w:bCs/>
          <w:caps/>
          <w:kern w:val="2"/>
          <w:szCs w:val="20"/>
        </w:rPr>
        <w:fldChar w:fldCharType="separate"/>
      </w:r>
      <w:r>
        <w:rPr>
          <w:rFonts w:cstheme="minorHAnsi"/>
          <w:bCs/>
          <w:caps/>
          <w:kern w:val="2"/>
          <w:szCs w:val="20"/>
        </w:rPr>
        <w:t xml:space="preserve">1  </w:t>
      </w:r>
      <w:r>
        <w:rPr>
          <w:rFonts w:hint="eastAsia" w:cstheme="minorHAnsi"/>
          <w:bCs/>
          <w:caps/>
          <w:kern w:val="2"/>
          <w:szCs w:val="20"/>
        </w:rPr>
        <w:t>总则</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_Toc169610422 \h </w:instrText>
      </w:r>
      <w:r>
        <w:rPr>
          <w:rFonts w:cstheme="minorHAnsi"/>
          <w:bCs/>
          <w:caps/>
          <w:kern w:val="2"/>
          <w:szCs w:val="20"/>
        </w:rPr>
        <w:fldChar w:fldCharType="separate"/>
      </w:r>
      <w:r>
        <w:rPr>
          <w:rFonts w:cstheme="minorHAnsi"/>
          <w:bCs/>
          <w:caps/>
          <w:kern w:val="2"/>
          <w:szCs w:val="20"/>
        </w:rPr>
        <w:t>- 1 -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"_Toc169610423"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1.1  编制目的</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_Toc169610423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"_Toc169610424"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1.2  编制原则</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_Toc169610424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"_Toc169610425"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1.3  适用对象</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_Toc169610425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19"/>
        <w:keepNext w:val="0"/>
        <w:keepLines w:val="0"/>
        <w:pageBreakBefore w:val="0"/>
        <w:widowControl w:val="0"/>
        <w:tabs>
          <w:tab w:val="right" w:leader="dot" w:pos="9061"/>
        </w:tabs>
        <w:kinsoku/>
        <w:wordWrap/>
        <w:overflowPunct/>
        <w:topLinePunct w:val="0"/>
        <w:bidi w:val="0"/>
        <w:adjustRightInd/>
        <w:snapToGrid/>
        <w:spacing w:line="560" w:lineRule="exact"/>
        <w:ind w:firstLine="0" w:firstLineChars="0"/>
        <w:textAlignment w:val="auto"/>
        <w:rPr>
          <w:rFonts w:cstheme="minorHAnsi"/>
          <w:bCs/>
          <w:caps/>
          <w:kern w:val="2"/>
          <w:szCs w:val="20"/>
        </w:rPr>
      </w:pPr>
      <w:r>
        <w:rPr>
          <w:rFonts w:cstheme="minorHAnsi"/>
          <w:bCs/>
          <w:caps/>
          <w:kern w:val="2"/>
          <w:szCs w:val="20"/>
        </w:rPr>
        <w:fldChar w:fldCharType="begin"/>
      </w:r>
      <w:r>
        <w:rPr>
          <w:rFonts w:cstheme="minorHAnsi"/>
          <w:bCs/>
          <w:caps/>
          <w:kern w:val="2"/>
          <w:szCs w:val="20"/>
        </w:rPr>
        <w:instrText xml:space="preserve"> HYPERLINK \l "_Toc169610426" </w:instrText>
      </w:r>
      <w:r>
        <w:rPr>
          <w:rFonts w:cstheme="minorHAnsi"/>
          <w:bCs/>
          <w:caps/>
          <w:kern w:val="2"/>
          <w:szCs w:val="20"/>
        </w:rPr>
        <w:fldChar w:fldCharType="separate"/>
      </w:r>
      <w:r>
        <w:rPr>
          <w:rFonts w:cstheme="minorHAnsi"/>
          <w:bCs/>
          <w:caps/>
          <w:kern w:val="2"/>
          <w:szCs w:val="20"/>
        </w:rPr>
        <w:t xml:space="preserve">2  </w:t>
      </w:r>
      <w:r>
        <w:rPr>
          <w:rFonts w:hint="eastAsia" w:cstheme="minorHAnsi"/>
          <w:bCs/>
          <w:caps/>
          <w:kern w:val="2"/>
          <w:szCs w:val="20"/>
        </w:rPr>
        <w:t>组织体系及职责</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_Toc169610426 \h </w:instrText>
      </w:r>
      <w:r>
        <w:rPr>
          <w:rFonts w:cstheme="minorHAnsi"/>
          <w:bCs/>
          <w:caps/>
          <w:kern w:val="2"/>
          <w:szCs w:val="20"/>
        </w:rPr>
        <w:fldChar w:fldCharType="separate"/>
      </w:r>
      <w:r>
        <w:rPr>
          <w:rFonts w:cstheme="minorHAnsi"/>
          <w:bCs/>
          <w:caps/>
          <w:kern w:val="2"/>
          <w:szCs w:val="20"/>
        </w:rPr>
        <w:t>- 2 -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"_Toc169610427"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2.1  指挥机构</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_Toc169610427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"_Toc169610428"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2.2  日常办事机构</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_Toc169610428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- 9 -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"_Toc169610429"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2.3  其他防内涝组织</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_Toc169610429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- 9 -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"_Toc169610430"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2.4  应急联合工作组</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_Toc169610430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- 9 -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"_Toc169610431"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2.5  专家库</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_Toc169610431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- 12 -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19"/>
        <w:keepNext w:val="0"/>
        <w:keepLines w:val="0"/>
        <w:pageBreakBefore w:val="0"/>
        <w:widowControl w:val="0"/>
        <w:tabs>
          <w:tab w:val="right" w:leader="dot" w:pos="9061"/>
        </w:tabs>
        <w:kinsoku/>
        <w:wordWrap/>
        <w:overflowPunct/>
        <w:topLinePunct w:val="0"/>
        <w:bidi w:val="0"/>
        <w:adjustRightInd/>
        <w:snapToGrid/>
        <w:spacing w:line="560" w:lineRule="exact"/>
        <w:ind w:firstLine="0" w:firstLineChars="0"/>
        <w:textAlignment w:val="auto"/>
        <w:rPr>
          <w:rFonts w:cstheme="minorHAnsi"/>
          <w:bCs/>
          <w:caps/>
          <w:kern w:val="2"/>
          <w:szCs w:val="20"/>
        </w:rPr>
      </w:pPr>
      <w:r>
        <w:rPr>
          <w:rFonts w:cstheme="minorHAnsi"/>
          <w:bCs/>
          <w:caps/>
          <w:kern w:val="2"/>
          <w:szCs w:val="20"/>
        </w:rPr>
        <w:fldChar w:fldCharType="begin"/>
      </w:r>
      <w:r>
        <w:rPr>
          <w:rFonts w:cstheme="minorHAnsi"/>
          <w:bCs/>
          <w:caps/>
          <w:kern w:val="2"/>
          <w:szCs w:val="20"/>
        </w:rPr>
        <w:instrText xml:space="preserve"> HYPERLINK \l "_Toc169610432" </w:instrText>
      </w:r>
      <w:r>
        <w:rPr>
          <w:rFonts w:cstheme="minorHAnsi"/>
          <w:bCs/>
          <w:caps/>
          <w:kern w:val="2"/>
          <w:szCs w:val="20"/>
        </w:rPr>
        <w:fldChar w:fldCharType="separate"/>
      </w:r>
      <w:r>
        <w:rPr>
          <w:rFonts w:cstheme="minorHAnsi"/>
          <w:bCs/>
          <w:caps/>
          <w:kern w:val="2"/>
          <w:szCs w:val="20"/>
        </w:rPr>
        <w:t xml:space="preserve">3  </w:t>
      </w:r>
      <w:r>
        <w:rPr>
          <w:rFonts w:hint="eastAsia" w:cstheme="minorHAnsi"/>
          <w:bCs/>
          <w:caps/>
          <w:kern w:val="2"/>
          <w:szCs w:val="20"/>
        </w:rPr>
        <w:t>预报、预警和预备</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_Toc169610432 \h </w:instrText>
      </w:r>
      <w:r>
        <w:rPr>
          <w:rFonts w:cstheme="minorHAnsi"/>
          <w:bCs/>
          <w:caps/>
          <w:kern w:val="2"/>
          <w:szCs w:val="20"/>
        </w:rPr>
        <w:fldChar w:fldCharType="separate"/>
      </w:r>
      <w:r>
        <w:rPr>
          <w:rFonts w:cstheme="minorHAnsi"/>
          <w:bCs/>
          <w:caps/>
          <w:kern w:val="2"/>
          <w:szCs w:val="20"/>
        </w:rPr>
        <w:t>- 12 -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"_Toc169610433"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3.1  监测预报</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_Toc169610433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- 12 -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"_Toc169610434"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3.2  预警信息发布</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_Toc169610434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- 13 -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"_Toc169610435"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3.3  预警叫应机制</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_Toc169610435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- 14 -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"_Toc169610436"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3.4  预备</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_Toc169610436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- 14 -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19"/>
        <w:keepNext w:val="0"/>
        <w:keepLines w:val="0"/>
        <w:pageBreakBefore w:val="0"/>
        <w:widowControl w:val="0"/>
        <w:tabs>
          <w:tab w:val="right" w:leader="dot" w:pos="9061"/>
        </w:tabs>
        <w:kinsoku/>
        <w:wordWrap/>
        <w:overflowPunct/>
        <w:topLinePunct w:val="0"/>
        <w:bidi w:val="0"/>
        <w:adjustRightInd/>
        <w:snapToGrid/>
        <w:spacing w:line="560" w:lineRule="exact"/>
        <w:ind w:firstLine="0" w:firstLineChars="0"/>
        <w:textAlignment w:val="auto"/>
        <w:rPr>
          <w:rFonts w:cstheme="minorHAnsi"/>
          <w:bCs/>
          <w:caps/>
          <w:kern w:val="2"/>
          <w:szCs w:val="20"/>
        </w:rPr>
      </w:pPr>
      <w:r>
        <w:rPr>
          <w:rFonts w:cstheme="minorHAnsi"/>
          <w:bCs/>
          <w:caps/>
          <w:kern w:val="2"/>
          <w:szCs w:val="20"/>
        </w:rPr>
        <w:fldChar w:fldCharType="begin"/>
      </w:r>
      <w:r>
        <w:rPr>
          <w:rFonts w:cstheme="minorHAnsi"/>
          <w:bCs/>
          <w:caps/>
          <w:kern w:val="2"/>
          <w:szCs w:val="20"/>
        </w:rPr>
        <w:instrText xml:space="preserve"> HYPERLINK \l "_Toc169610437" </w:instrText>
      </w:r>
      <w:r>
        <w:rPr>
          <w:rFonts w:cstheme="minorHAnsi"/>
          <w:bCs/>
          <w:caps/>
          <w:kern w:val="2"/>
          <w:szCs w:val="20"/>
        </w:rPr>
        <w:fldChar w:fldCharType="separate"/>
      </w:r>
      <w:r>
        <w:rPr>
          <w:rFonts w:cstheme="minorHAnsi"/>
          <w:bCs/>
          <w:caps/>
          <w:kern w:val="2"/>
          <w:szCs w:val="20"/>
        </w:rPr>
        <w:t xml:space="preserve">4  </w:t>
      </w:r>
      <w:r>
        <w:rPr>
          <w:rFonts w:hint="eastAsia" w:cstheme="minorHAnsi"/>
          <w:bCs/>
          <w:caps/>
          <w:kern w:val="2"/>
          <w:szCs w:val="20"/>
        </w:rPr>
        <w:t>应急响应</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_Toc169610437 \h </w:instrText>
      </w:r>
      <w:r>
        <w:rPr>
          <w:rFonts w:cstheme="minorHAnsi"/>
          <w:bCs/>
          <w:caps/>
          <w:kern w:val="2"/>
          <w:szCs w:val="20"/>
        </w:rPr>
        <w:fldChar w:fldCharType="separate"/>
      </w:r>
      <w:r>
        <w:rPr>
          <w:rFonts w:cstheme="minorHAnsi"/>
          <w:bCs/>
          <w:caps/>
          <w:kern w:val="2"/>
          <w:szCs w:val="20"/>
        </w:rPr>
        <w:t>- 16 -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"_Toc169610438"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4.1  启动条件与程序</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_Toc169610438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- 16 -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"_Toc169610439"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4.2  应急响应行动</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_Toc169610439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- 17 -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"_Toc169610440"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4.3  应急响应措施</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_Toc169610440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- 18 -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"_Toc169610441"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4.4  应急响应终止</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_Toc169610441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- 24 -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19"/>
        <w:keepNext w:val="0"/>
        <w:keepLines w:val="0"/>
        <w:pageBreakBefore w:val="0"/>
        <w:widowControl w:val="0"/>
        <w:tabs>
          <w:tab w:val="right" w:leader="dot" w:pos="9061"/>
        </w:tabs>
        <w:kinsoku/>
        <w:wordWrap/>
        <w:overflowPunct/>
        <w:topLinePunct w:val="0"/>
        <w:bidi w:val="0"/>
        <w:adjustRightInd/>
        <w:snapToGrid/>
        <w:spacing w:line="560" w:lineRule="exact"/>
        <w:ind w:firstLine="0" w:firstLineChars="0"/>
        <w:textAlignment w:val="auto"/>
        <w:rPr>
          <w:rFonts w:cstheme="minorHAnsi"/>
          <w:bCs/>
          <w:caps/>
          <w:kern w:val="2"/>
          <w:szCs w:val="20"/>
        </w:rPr>
      </w:pPr>
      <w:r>
        <w:rPr>
          <w:rFonts w:cstheme="minorHAnsi"/>
          <w:bCs/>
          <w:caps/>
          <w:kern w:val="2"/>
          <w:szCs w:val="20"/>
        </w:rPr>
        <w:fldChar w:fldCharType="begin"/>
      </w:r>
      <w:r>
        <w:rPr>
          <w:rFonts w:cstheme="minorHAnsi"/>
          <w:bCs/>
          <w:caps/>
          <w:kern w:val="2"/>
          <w:szCs w:val="20"/>
        </w:rPr>
        <w:instrText xml:space="preserve"> HYPERLINK \l "_Toc169610442" </w:instrText>
      </w:r>
      <w:r>
        <w:rPr>
          <w:rFonts w:cstheme="minorHAnsi"/>
          <w:bCs/>
          <w:caps/>
          <w:kern w:val="2"/>
          <w:szCs w:val="20"/>
        </w:rPr>
        <w:fldChar w:fldCharType="separate"/>
      </w:r>
      <w:r>
        <w:rPr>
          <w:rFonts w:cstheme="minorHAnsi"/>
          <w:bCs/>
          <w:caps/>
          <w:kern w:val="2"/>
          <w:szCs w:val="20"/>
        </w:rPr>
        <w:t xml:space="preserve">5  </w:t>
      </w:r>
      <w:r>
        <w:rPr>
          <w:rFonts w:hint="eastAsia" w:cstheme="minorHAnsi"/>
          <w:bCs/>
          <w:caps/>
          <w:kern w:val="2"/>
          <w:szCs w:val="20"/>
        </w:rPr>
        <w:t>保障措施</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_Toc169610442 \h </w:instrText>
      </w:r>
      <w:r>
        <w:rPr>
          <w:rFonts w:cstheme="minorHAnsi"/>
          <w:bCs/>
          <w:caps/>
          <w:kern w:val="2"/>
          <w:szCs w:val="20"/>
        </w:rPr>
        <w:fldChar w:fldCharType="separate"/>
      </w:r>
      <w:r>
        <w:rPr>
          <w:rFonts w:cstheme="minorHAnsi"/>
          <w:bCs/>
          <w:caps/>
          <w:kern w:val="2"/>
          <w:szCs w:val="20"/>
        </w:rPr>
        <w:t>- 24 -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"_Toc169610443"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5.1  组织保障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_Toc169610443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- 24 -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"_Toc169610444"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5.2  受困和转移人口保障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_Toc169610444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- 24 -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"_Toc169610445"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5.3  物资与资金保障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_Toc169610445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- 24 -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"_Toc169610446"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5.4  信息保障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_Toc169610446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- 25 -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"_Toc169610447"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5.5  交通保障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_Toc169610447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- 25 -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"_Toc169610448"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5.6  电力保障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_Toc169610448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- 25 -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"_Toc169610449"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5.7  治安保障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_Toc169610449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- 26 -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"_Toc169610450"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5.8  卫生保障</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_Toc169610450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- 26 -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19"/>
        <w:keepNext w:val="0"/>
        <w:keepLines w:val="0"/>
        <w:pageBreakBefore w:val="0"/>
        <w:widowControl w:val="0"/>
        <w:tabs>
          <w:tab w:val="right" w:leader="dot" w:pos="9061"/>
        </w:tabs>
        <w:kinsoku/>
        <w:wordWrap/>
        <w:overflowPunct/>
        <w:topLinePunct w:val="0"/>
        <w:bidi w:val="0"/>
        <w:adjustRightInd/>
        <w:snapToGrid/>
        <w:spacing w:line="560" w:lineRule="exact"/>
        <w:ind w:firstLine="0" w:firstLineChars="0"/>
        <w:textAlignment w:val="auto"/>
        <w:rPr>
          <w:rFonts w:cstheme="minorHAnsi"/>
          <w:bCs/>
          <w:caps/>
          <w:kern w:val="2"/>
          <w:szCs w:val="20"/>
        </w:rPr>
      </w:pPr>
      <w:r>
        <w:rPr>
          <w:rFonts w:cstheme="minorHAnsi"/>
          <w:bCs/>
          <w:caps/>
          <w:kern w:val="2"/>
          <w:szCs w:val="20"/>
        </w:rPr>
        <w:fldChar w:fldCharType="begin"/>
      </w:r>
      <w:r>
        <w:rPr>
          <w:rFonts w:cstheme="minorHAnsi"/>
          <w:bCs/>
          <w:caps/>
          <w:kern w:val="2"/>
          <w:szCs w:val="20"/>
        </w:rPr>
        <w:instrText xml:space="preserve"> HYPERLINK \l "_Toc169610451" </w:instrText>
      </w:r>
      <w:r>
        <w:rPr>
          <w:rFonts w:cstheme="minorHAnsi"/>
          <w:bCs/>
          <w:caps/>
          <w:kern w:val="2"/>
          <w:szCs w:val="20"/>
        </w:rPr>
        <w:fldChar w:fldCharType="separate"/>
      </w:r>
      <w:r>
        <w:rPr>
          <w:rFonts w:cstheme="minorHAnsi"/>
          <w:bCs/>
          <w:caps/>
          <w:kern w:val="2"/>
          <w:szCs w:val="20"/>
        </w:rPr>
        <w:t xml:space="preserve">6  </w:t>
      </w:r>
      <w:r>
        <w:rPr>
          <w:rFonts w:hint="eastAsia" w:cstheme="minorHAnsi"/>
          <w:bCs/>
          <w:caps/>
          <w:kern w:val="2"/>
          <w:szCs w:val="20"/>
        </w:rPr>
        <w:t>后期处置</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_Toc169610451 \h </w:instrText>
      </w:r>
      <w:r>
        <w:rPr>
          <w:rFonts w:cstheme="minorHAnsi"/>
          <w:bCs/>
          <w:caps/>
          <w:kern w:val="2"/>
          <w:szCs w:val="20"/>
        </w:rPr>
        <w:fldChar w:fldCharType="separate"/>
      </w:r>
      <w:r>
        <w:rPr>
          <w:rFonts w:cstheme="minorHAnsi"/>
          <w:bCs/>
          <w:caps/>
          <w:kern w:val="2"/>
          <w:szCs w:val="20"/>
        </w:rPr>
        <w:t>- 26 -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"_Toc169610452"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6.1  灾后救助</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_Toc169610452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- 26 -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"_Toc169610453"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6.2  总结评估</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_Toc169610453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- 26 -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19"/>
        <w:keepNext w:val="0"/>
        <w:keepLines w:val="0"/>
        <w:pageBreakBefore w:val="0"/>
        <w:widowControl w:val="0"/>
        <w:tabs>
          <w:tab w:val="right" w:leader="dot" w:pos="9061"/>
        </w:tabs>
        <w:kinsoku/>
        <w:wordWrap/>
        <w:overflowPunct/>
        <w:topLinePunct w:val="0"/>
        <w:bidi w:val="0"/>
        <w:adjustRightInd/>
        <w:snapToGrid/>
        <w:spacing w:line="560" w:lineRule="exact"/>
        <w:ind w:firstLine="0" w:firstLineChars="0"/>
        <w:textAlignment w:val="auto"/>
        <w:rPr>
          <w:rFonts w:cstheme="minorHAnsi"/>
          <w:bCs/>
          <w:caps/>
          <w:kern w:val="2"/>
          <w:szCs w:val="20"/>
        </w:rPr>
      </w:pPr>
      <w:r>
        <w:rPr>
          <w:rFonts w:cstheme="minorHAnsi"/>
          <w:bCs/>
          <w:caps/>
          <w:kern w:val="2"/>
          <w:szCs w:val="20"/>
        </w:rPr>
        <w:fldChar w:fldCharType="begin"/>
      </w:r>
      <w:r>
        <w:rPr>
          <w:rFonts w:cstheme="minorHAnsi"/>
          <w:bCs/>
          <w:caps/>
          <w:kern w:val="2"/>
          <w:szCs w:val="20"/>
        </w:rPr>
        <w:instrText xml:space="preserve"> HYPERLINK \l "_Toc169610454" </w:instrText>
      </w:r>
      <w:r>
        <w:rPr>
          <w:rFonts w:cstheme="minorHAnsi"/>
          <w:bCs/>
          <w:caps/>
          <w:kern w:val="2"/>
          <w:szCs w:val="20"/>
        </w:rPr>
        <w:fldChar w:fldCharType="separate"/>
      </w:r>
      <w:r>
        <w:rPr>
          <w:rFonts w:cstheme="minorHAnsi"/>
          <w:bCs/>
          <w:caps/>
          <w:kern w:val="2"/>
          <w:szCs w:val="20"/>
        </w:rPr>
        <w:t xml:space="preserve">7  </w:t>
      </w:r>
      <w:r>
        <w:rPr>
          <w:rFonts w:hint="eastAsia" w:cstheme="minorHAnsi"/>
          <w:bCs/>
          <w:caps/>
          <w:kern w:val="2"/>
          <w:szCs w:val="20"/>
        </w:rPr>
        <w:t>附则</w:t>
      </w:r>
      <w:r>
        <w:rPr>
          <w:rFonts w:cstheme="minorHAnsi"/>
          <w:bCs/>
          <w:caps/>
          <w:kern w:val="2"/>
          <w:szCs w:val="20"/>
        </w:rPr>
        <w:tab/>
      </w:r>
      <w:r>
        <w:rPr>
          <w:rFonts w:cstheme="minorHAnsi"/>
          <w:bCs/>
          <w:caps/>
          <w:kern w:val="2"/>
          <w:szCs w:val="20"/>
        </w:rPr>
        <w:fldChar w:fldCharType="begin"/>
      </w:r>
      <w:r>
        <w:rPr>
          <w:rFonts w:cstheme="minorHAnsi"/>
          <w:bCs/>
          <w:caps/>
          <w:kern w:val="2"/>
          <w:szCs w:val="20"/>
        </w:rPr>
        <w:instrText xml:space="preserve"> PAGEREF _Toc169610454 \h </w:instrText>
      </w:r>
      <w:r>
        <w:rPr>
          <w:rFonts w:cstheme="minorHAnsi"/>
          <w:bCs/>
          <w:caps/>
          <w:kern w:val="2"/>
          <w:szCs w:val="20"/>
        </w:rPr>
        <w:fldChar w:fldCharType="separate"/>
      </w:r>
      <w:r>
        <w:rPr>
          <w:rFonts w:cstheme="minorHAnsi"/>
          <w:bCs/>
          <w:caps/>
          <w:kern w:val="2"/>
          <w:szCs w:val="20"/>
        </w:rPr>
        <w:t>- 27 -</w:t>
      </w:r>
      <w:r>
        <w:rPr>
          <w:rFonts w:cstheme="minorHAnsi"/>
          <w:bCs/>
          <w:caps/>
          <w:kern w:val="2"/>
          <w:szCs w:val="20"/>
        </w:rPr>
        <w:fldChar w:fldCharType="end"/>
      </w:r>
      <w:r>
        <w:rPr>
          <w:rFonts w:cstheme="minorHAnsi"/>
          <w:bCs/>
          <w:caps/>
          <w:kern w:val="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"_Toc169610455"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7.1  宣传培训与演练</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_Toc169610455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- 27 -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"_Toc169610456"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7.2  预案管理</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_Toc169610456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- 27 -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"_Toc169610457"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7.3  预案解释部门</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_Toc169610457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- 28 -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widowControl w:val="0"/>
        <w:tabs>
          <w:tab w:val="right" w:leader="dot" w:pos="9061"/>
        </w:tabs>
        <w:kinsoku/>
        <w:wordWrap/>
        <w:overflowPunct/>
        <w:topLinePunct w:val="0"/>
        <w:autoSpaceDE/>
        <w:autoSpaceDN/>
        <w:bidi w:val="0"/>
        <w:adjustRightInd/>
        <w:snapToGrid/>
        <w:spacing w:line="560" w:lineRule="exact"/>
        <w:ind w:left="0" w:leftChars="0" w:firstLine="320" w:firstLineChars="100"/>
        <w:textAlignment w:val="auto"/>
        <w:rPr>
          <w:rFonts w:hint="eastAsia" w:eastAsia="仿宋" w:cstheme="minorHAnsi"/>
          <w:smallCaps/>
          <w:kern w:val="2"/>
          <w:sz w:val="32"/>
          <w:szCs w:val="20"/>
        </w:rPr>
      </w:pP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HYPERLINK \l "_Toc169610458"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7.4  预案实施时间</w:t>
      </w:r>
      <w:r>
        <w:rPr>
          <w:rFonts w:hint="eastAsia" w:eastAsia="仿宋" w:cstheme="minorHAnsi"/>
          <w:smallCaps/>
          <w:kern w:val="2"/>
          <w:sz w:val="32"/>
          <w:szCs w:val="20"/>
        </w:rPr>
        <w:tab/>
      </w:r>
      <w:r>
        <w:rPr>
          <w:rFonts w:hint="eastAsia" w:eastAsia="仿宋" w:cstheme="minorHAnsi"/>
          <w:smallCaps/>
          <w:kern w:val="2"/>
          <w:sz w:val="32"/>
          <w:szCs w:val="20"/>
        </w:rPr>
        <w:fldChar w:fldCharType="begin"/>
      </w:r>
      <w:r>
        <w:rPr>
          <w:rFonts w:hint="eastAsia" w:eastAsia="仿宋" w:cstheme="minorHAnsi"/>
          <w:smallCaps/>
          <w:kern w:val="2"/>
          <w:sz w:val="32"/>
          <w:szCs w:val="20"/>
        </w:rPr>
        <w:instrText xml:space="preserve"> PAGEREF _Toc169610458 \h </w:instrText>
      </w:r>
      <w:r>
        <w:rPr>
          <w:rFonts w:hint="eastAsia" w:eastAsia="仿宋" w:cstheme="minorHAnsi"/>
          <w:smallCaps/>
          <w:kern w:val="2"/>
          <w:sz w:val="32"/>
          <w:szCs w:val="20"/>
        </w:rPr>
        <w:fldChar w:fldCharType="separate"/>
      </w:r>
      <w:r>
        <w:rPr>
          <w:rFonts w:hint="eastAsia" w:eastAsia="仿宋" w:cstheme="minorHAnsi"/>
          <w:smallCaps/>
          <w:kern w:val="2"/>
          <w:sz w:val="32"/>
          <w:szCs w:val="20"/>
        </w:rPr>
        <w:t>- 28 -</w:t>
      </w:r>
      <w:r>
        <w:rPr>
          <w:rFonts w:hint="eastAsia" w:eastAsia="仿宋" w:cstheme="minorHAnsi"/>
          <w:smallCaps/>
          <w:kern w:val="2"/>
          <w:sz w:val="32"/>
          <w:szCs w:val="20"/>
        </w:rPr>
        <w:fldChar w:fldCharType="end"/>
      </w:r>
      <w:r>
        <w:rPr>
          <w:rFonts w:hint="eastAsia" w:eastAsia="仿宋" w:cstheme="minorHAnsi"/>
          <w:smallCaps/>
          <w:kern w:val="2"/>
          <w:sz w:val="32"/>
          <w:szCs w:val="20"/>
        </w:rPr>
        <w:fldChar w:fldCharType="end"/>
      </w:r>
    </w:p>
    <w:p>
      <w:pPr>
        <w:pStyle w:val="24"/>
        <w:keepNext w:val="0"/>
        <w:keepLines w:val="0"/>
        <w:pageBreakBefore w:val="0"/>
        <w:tabs>
          <w:tab w:val="right" w:leader="dot" w:pos="9060"/>
        </w:tabs>
        <w:kinsoku/>
        <w:wordWrap/>
        <w:overflowPunct/>
        <w:topLinePunct w:val="0"/>
        <w:bidi w:val="0"/>
        <w:adjustRightInd/>
        <w:snapToGrid/>
        <w:spacing w:line="560" w:lineRule="exact"/>
        <w:ind w:firstLine="420"/>
        <w:textAlignment w:val="auto"/>
        <w:rPr>
          <w:rFonts w:asciiTheme="minorHAnsi" w:hAnsiTheme="minorHAnsi" w:eastAsiaTheme="minorEastAsia" w:cstheme="minorBidi"/>
          <w:color w:val="000000" w:themeColor="text1"/>
          <w:kern w:val="2"/>
          <w:sz w:val="21"/>
          <w14:textFill>
            <w14:solidFill>
              <w14:schemeClr w14:val="tx1"/>
            </w14:solidFill>
          </w14:textFill>
        </w:rPr>
      </w:pPr>
    </w:p>
    <w:p>
      <w:pPr>
        <w:keepNext w:val="0"/>
        <w:keepLines w:val="0"/>
        <w:pageBreakBefore w:val="0"/>
        <w:tabs>
          <w:tab w:val="left" w:pos="9193"/>
          <w:tab w:val="left" w:pos="9827"/>
        </w:tabs>
        <w:kinsoku/>
        <w:wordWrap/>
        <w:overflowPunct/>
        <w:topLinePunct w:val="0"/>
        <w:autoSpaceDE w:val="0"/>
        <w:autoSpaceDN w:val="0"/>
        <w:bidi w:val="0"/>
        <w:adjustRightInd/>
        <w:snapToGrid/>
        <w:spacing w:line="560" w:lineRule="exact"/>
        <w:ind w:firstLine="643"/>
        <w:jc w:val="center"/>
        <w:textAlignment w:val="auto"/>
        <w:rPr>
          <w:color w:val="000000" w:themeColor="text1"/>
          <w:sz w:val="28"/>
          <w14:textFill>
            <w14:solidFill>
              <w14:schemeClr w14:val="tx1"/>
            </w14:solidFill>
          </w14:textFill>
        </w:rPr>
      </w:pPr>
      <w:r>
        <w:rPr>
          <w:rFonts w:eastAsia="黑体"/>
          <w:b/>
          <w:bCs/>
          <w:snapToGrid w:val="0"/>
          <w:color w:val="000000" w:themeColor="text1"/>
          <w:kern w:val="0"/>
          <w:szCs w:val="32"/>
          <w14:textFill>
            <w14:solidFill>
              <w14:schemeClr w14:val="tx1"/>
            </w14:solidFill>
          </w14:textFill>
        </w:rPr>
        <w:fldChar w:fldCharType="end"/>
      </w:r>
    </w:p>
    <w:p>
      <w:pPr>
        <w:ind w:firstLine="560"/>
        <w:rPr>
          <w:rFonts w:eastAsia="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363" w:footer="703" w:gutter="0"/>
          <w:pgNumType w:fmt="numberInDash" w:start="1"/>
          <w:cols w:space="720" w:num="1"/>
          <w:titlePg/>
          <w:docGrid w:linePitch="381" w:charSpace="0"/>
        </w:sectPr>
      </w:pP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0" w:name="_Toc169610422"/>
      <w:bookmarkStart w:id="1" w:name="_Toc99551581"/>
      <w:bookmarkStart w:id="2" w:name="_Toc99551476"/>
      <w:r>
        <w:rPr>
          <w:color w:val="000000" w:themeColor="text1"/>
          <w14:textFill>
            <w14:solidFill>
              <w14:schemeClr w14:val="tx1"/>
            </w14:solidFill>
          </w14:textFill>
        </w:rPr>
        <w:t>1  总则</w:t>
      </w:r>
      <w:bookmarkEnd w:id="0"/>
      <w:bookmarkEnd w:id="1"/>
      <w:bookmarkEnd w:id="2"/>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 w:name="_Toc169610423"/>
      <w:bookmarkStart w:id="4" w:name="_Toc99551582"/>
      <w:r>
        <w:rPr>
          <w:color w:val="000000" w:themeColor="text1"/>
          <w14:textFill>
            <w14:solidFill>
              <w14:schemeClr w14:val="tx1"/>
            </w14:solidFill>
          </w14:textFill>
        </w:rPr>
        <w:t>1.1  编制目的</w:t>
      </w:r>
      <w:bookmarkEnd w:id="3"/>
      <w:bookmarkEnd w:id="4"/>
    </w:p>
    <w:p>
      <w:pPr>
        <w:ind w:firstLine="640"/>
        <w:rPr>
          <w:color w:val="000000" w:themeColor="text1"/>
          <w:kern w:val="0"/>
          <w:szCs w:val="32"/>
          <w14:textFill>
            <w14:solidFill>
              <w14:schemeClr w14:val="tx1"/>
            </w14:solidFill>
          </w14:textFill>
        </w:rPr>
      </w:pPr>
      <w:r>
        <w:rPr>
          <w:color w:val="000000" w:themeColor="text1"/>
          <w:szCs w:val="32"/>
          <w:lang w:bidi="ar"/>
          <w14:textFill>
            <w14:solidFill>
              <w14:schemeClr w14:val="tx1"/>
            </w14:solidFill>
          </w14:textFill>
        </w:rPr>
        <w:t>深入贯彻落实习近平总书记关于防灾减灾救灾重要论述和“两个坚持、三个转变”的新理念，坚持“人民至上、生命至上”，增强底线思维和风险意识，做好巨灾预防预备，果断采取超常举措，提升特大暴雨应对能力和效率，最大程度减轻灾害损失，保障人民生命财产安全和城市</w:t>
      </w:r>
      <w:r>
        <w:rPr>
          <w:rFonts w:hint="eastAsia"/>
          <w:color w:val="000000" w:themeColor="text1"/>
          <w:kern w:val="0"/>
          <w:szCs w:val="32"/>
          <w14:textFill>
            <w14:solidFill>
              <w14:schemeClr w14:val="tx1"/>
            </w14:solidFill>
          </w14:textFill>
        </w:rPr>
        <w:t>安全运行，结合我市实际，编制本预案。</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5" w:name="_Toc99551587"/>
      <w:bookmarkStart w:id="6" w:name="_Toc169610424"/>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编制原则</w:t>
      </w:r>
      <w:bookmarkEnd w:id="5"/>
      <w:bookmarkEnd w:id="6"/>
    </w:p>
    <w:p>
      <w:pPr>
        <w:tabs>
          <w:tab w:val="left" w:pos="891"/>
        </w:tabs>
        <w:ind w:firstLine="640"/>
        <w:rPr>
          <w:color w:val="000000" w:themeColor="text1"/>
          <w:kern w:val="0"/>
          <w:szCs w:val="32"/>
          <w14:textFill>
            <w14:solidFill>
              <w14:schemeClr w14:val="tx1"/>
            </w14:solidFill>
          </w14:textFill>
        </w:rPr>
      </w:pPr>
      <w:bookmarkStart w:id="7" w:name="_Toc99551591"/>
      <w:r>
        <w:rPr>
          <w:rFonts w:hint="eastAsia"/>
          <w:color w:val="000000" w:themeColor="text1"/>
          <w:kern w:val="0"/>
          <w:szCs w:val="32"/>
          <w14:textFill>
            <w14:solidFill>
              <w14:schemeClr w14:val="tx1"/>
            </w14:solidFill>
          </w14:textFill>
        </w:rPr>
        <w:t>坚持人民至上、生命至上。始终把保障人民群众生命财产安全放在第一位，提升城市特大暴雨应对韧性，力保城市生命线工程等重要基础设施功能不丧失，城市安全运行，最大程度减少特大暴雨造成的危害和损失。</w:t>
      </w:r>
    </w:p>
    <w:p>
      <w:pPr>
        <w:tabs>
          <w:tab w:val="left" w:pos="891"/>
        </w:tabs>
        <w:ind w:firstLine="640"/>
        <w:rPr>
          <w:color w:val="000000" w:themeColor="text1"/>
          <w:kern w:val="0"/>
          <w:szCs w:val="32"/>
          <w14:textFill>
            <w14:solidFill>
              <w14:schemeClr w14:val="tx1"/>
            </w14:solidFill>
          </w14:textFill>
        </w:rPr>
      </w:pPr>
      <w:r>
        <w:rPr>
          <w:rFonts w:hint="eastAsia"/>
          <w:color w:val="000000" w:themeColor="text1"/>
          <w:kern w:val="0"/>
          <w:szCs w:val="32"/>
          <w14:textFill>
            <w14:solidFill>
              <w14:schemeClr w14:val="tx1"/>
            </w14:solidFill>
          </w14:textFill>
        </w:rPr>
        <w:t>坚持预防为主、防救结合。预防与应急相结合，常态与非常态相结合，着力加强隐患排查、监测预警、风险评估等工作，重视教育培训及推演演练，提高特大暴雨灾害应急处置能力。</w:t>
      </w:r>
    </w:p>
    <w:p>
      <w:pPr>
        <w:tabs>
          <w:tab w:val="left" w:pos="891"/>
        </w:tabs>
        <w:ind w:firstLine="640"/>
        <w:rPr>
          <w:color w:val="000000" w:themeColor="text1"/>
          <w:kern w:val="0"/>
          <w:szCs w:val="32"/>
          <w14:textFill>
            <w14:solidFill>
              <w14:schemeClr w14:val="tx1"/>
            </w14:solidFill>
          </w14:textFill>
        </w:rPr>
      </w:pPr>
      <w:r>
        <w:rPr>
          <w:rFonts w:hint="eastAsia"/>
          <w:color w:val="000000" w:themeColor="text1"/>
          <w:kern w:val="0"/>
          <w:szCs w:val="32"/>
          <w14:textFill>
            <w14:solidFill>
              <w14:schemeClr w14:val="tx1"/>
            </w14:solidFill>
          </w14:textFill>
        </w:rPr>
        <w:t>坚持分工负责、属地为主。强化“党政同责、一岗双责”，全面落实特大暴雨应对主体责任。各有关部门和单位在市防指的统一指挥下，做好本系统、本行业、本领域城市防洪避险工作。各级防汛抗旱指挥机构做好本辖区城市防洪避险工作。</w:t>
      </w:r>
    </w:p>
    <w:p>
      <w:pPr>
        <w:tabs>
          <w:tab w:val="left" w:pos="891"/>
        </w:tabs>
        <w:ind w:firstLine="640"/>
        <w:rPr>
          <w:color w:val="000000" w:themeColor="text1"/>
          <w:kern w:val="0"/>
          <w:szCs w:val="32"/>
          <w14:textFill>
            <w14:solidFill>
              <w14:schemeClr w14:val="tx1"/>
            </w14:solidFill>
          </w14:textFill>
        </w:rPr>
      </w:pPr>
      <w:r>
        <w:rPr>
          <w:rFonts w:hint="eastAsia"/>
          <w:color w:val="000000" w:themeColor="text1"/>
          <w:kern w:val="0"/>
          <w:szCs w:val="32"/>
          <w14:textFill>
            <w14:solidFill>
              <w14:schemeClr w14:val="tx1"/>
            </w14:solidFill>
          </w14:textFill>
        </w:rPr>
        <w:t>坚持协调联动、社会参与。强化部门、区域间信息共享和协调联动，形成反应敏捷、协同有序、运转高效的处置机制。动员支持社会力量和市场主体广泛参与防洪避险工作，增强全民防范意识，筑牢人民防线。</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8" w:name="_Toc169610425"/>
      <w:r>
        <w:rPr>
          <w:color w:val="000000" w:themeColor="text1"/>
          <w14:textFill>
            <w14:solidFill>
              <w14:schemeClr w14:val="tx1"/>
            </w14:solidFill>
          </w14:textFill>
        </w:rPr>
        <w:t>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适用对象</w:t>
      </w:r>
      <w:bookmarkEnd w:id="7"/>
      <w:bookmarkEnd w:id="8"/>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适用范围：适用于太仓市主城区约99.54平方千米范围，涉及高新区、科教新城、城厢镇、娄东街道、陆渡街道。</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适用条件：适用于因突发性特大暴雨</w:t>
      </w:r>
      <w:r>
        <w:rPr>
          <w:rFonts w:hint="eastAsia"/>
          <w:color w:val="000000" w:themeColor="text1"/>
          <w:szCs w:val="32"/>
          <w14:textFill>
            <w14:solidFill>
              <w14:schemeClr w14:val="tx1"/>
            </w14:solidFill>
          </w14:textFill>
        </w:rPr>
        <w:t>引</w:t>
      </w:r>
      <w:r>
        <w:rPr>
          <w:color w:val="000000" w:themeColor="text1"/>
          <w:szCs w:val="32"/>
          <w14:textFill>
            <w14:solidFill>
              <w14:schemeClr w14:val="tx1"/>
            </w14:solidFill>
          </w14:textFill>
        </w:rPr>
        <w:t>起城区发生洪水、内涝等灾害时的避险转移和应急处置工作。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太仓市特大暴雨是指1小时降雨超过100毫米或者6小时降雨超过200毫米或者24小时降雨超过300毫米。</w:t>
      </w: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9" w:name="_Toc169610426"/>
      <w:bookmarkStart w:id="10" w:name="_Toc99551594"/>
      <w:r>
        <w:rPr>
          <w:color w:val="000000" w:themeColor="text1"/>
          <w14:textFill>
            <w14:solidFill>
              <w14:schemeClr w14:val="tx1"/>
            </w14:solidFill>
          </w14:textFill>
        </w:rPr>
        <w:t>2  组织体系及职责</w:t>
      </w:r>
      <w:bookmarkEnd w:id="9"/>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1" w:name="_Toc169610427"/>
      <w:r>
        <w:rPr>
          <w:color w:val="000000" w:themeColor="text1"/>
          <w14:textFill>
            <w14:solidFill>
              <w14:schemeClr w14:val="tx1"/>
            </w14:solidFill>
          </w14:textFill>
        </w:rPr>
        <w:t>2.1  指挥机构</w:t>
      </w:r>
      <w:bookmarkEnd w:id="11"/>
    </w:p>
    <w:p>
      <w:pPr>
        <w:ind w:firstLine="640"/>
        <w:rPr>
          <w:bCs/>
          <w:color w:val="000000" w:themeColor="text1"/>
          <w:kern w:val="24"/>
          <w:szCs w:val="32"/>
          <w14:textFill>
            <w14:solidFill>
              <w14:schemeClr w14:val="tx1"/>
            </w14:solidFill>
          </w14:textFill>
        </w:rPr>
      </w:pPr>
      <w:r>
        <w:rPr>
          <w:bCs/>
          <w:color w:val="000000" w:themeColor="text1"/>
          <w:kern w:val="24"/>
          <w:szCs w:val="32"/>
          <w14:textFill>
            <w14:solidFill>
              <w14:schemeClr w14:val="tx1"/>
            </w14:solidFill>
          </w14:textFill>
        </w:rPr>
        <w:t>太仓市</w:t>
      </w:r>
      <w:r>
        <w:rPr>
          <w:color w:val="000000" w:themeColor="text1"/>
          <w:szCs w:val="32"/>
          <w14:textFill>
            <w14:solidFill>
              <w14:schemeClr w14:val="tx1"/>
            </w14:solidFill>
          </w14:textFill>
        </w:rPr>
        <w:t>特大</w:t>
      </w:r>
      <w:r>
        <w:rPr>
          <w:bCs/>
          <w:color w:val="000000" w:themeColor="text1"/>
          <w:kern w:val="24"/>
          <w:szCs w:val="32"/>
          <w14:textFill>
            <w14:solidFill>
              <w14:schemeClr w14:val="tx1"/>
            </w14:solidFill>
          </w14:textFill>
        </w:rPr>
        <w:t>暴雨城市防洪避险工作由太仓市防汛抗旱指挥部（以下简称市防指）统一指挥；各镇（区、街道）防汛抗旱指挥部负责辖区内特大暴雨城市防洪避险工作；有关单位根据需要设立</w:t>
      </w:r>
      <w:r>
        <w:rPr>
          <w:color w:val="000000" w:themeColor="text1"/>
          <w:szCs w:val="32"/>
          <w14:textFill>
            <w14:solidFill>
              <w14:schemeClr w14:val="tx1"/>
            </w14:solidFill>
          </w14:textFill>
        </w:rPr>
        <w:t>特大</w:t>
      </w:r>
      <w:r>
        <w:rPr>
          <w:bCs/>
          <w:color w:val="000000" w:themeColor="text1"/>
          <w:kern w:val="24"/>
          <w:szCs w:val="32"/>
          <w14:textFill>
            <w14:solidFill>
              <w14:schemeClr w14:val="tx1"/>
            </w14:solidFill>
          </w14:textFill>
        </w:rPr>
        <w:t>暴雨城市防洪避险指挥机构，负责本单位</w:t>
      </w:r>
      <w:r>
        <w:rPr>
          <w:color w:val="000000" w:themeColor="text1"/>
          <w:szCs w:val="32"/>
          <w14:textFill>
            <w14:solidFill>
              <w14:schemeClr w14:val="tx1"/>
            </w14:solidFill>
          </w14:textFill>
        </w:rPr>
        <w:t>特大</w:t>
      </w:r>
      <w:r>
        <w:rPr>
          <w:bCs/>
          <w:color w:val="000000" w:themeColor="text1"/>
          <w:kern w:val="24"/>
          <w:szCs w:val="32"/>
          <w14:textFill>
            <w14:solidFill>
              <w14:schemeClr w14:val="tx1"/>
            </w14:solidFill>
          </w14:textFill>
        </w:rPr>
        <w:t>暴雨城市防洪避险工作，并服从当地防汛抗旱指挥机构的统一指挥。</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2.1.1  市防指组成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指挥：市长</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常务副指挥：常务副市长、分管水务工作的副市长</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副指挥：市政府办公室主任、</w:t>
      </w:r>
      <w:r>
        <w:rPr>
          <w:rFonts w:hint="eastAsia"/>
          <w:color w:val="000000" w:themeColor="text1"/>
          <w:szCs w:val="32"/>
          <w14:textFill>
            <w14:solidFill>
              <w14:schemeClr w14:val="tx1"/>
            </w14:solidFill>
          </w14:textFill>
        </w:rPr>
        <w:t>分管水务、应急工作的</w:t>
      </w:r>
      <w:r>
        <w:rPr>
          <w:color w:val="000000" w:themeColor="text1"/>
          <w:szCs w:val="32"/>
          <w14:textFill>
            <w14:solidFill>
              <w14:schemeClr w14:val="tx1"/>
            </w14:solidFill>
          </w14:textFill>
        </w:rPr>
        <w:t>副主任，市水务局局长、市应急局局长。</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成员：市人武部、市委宣传部、融媒体中心、市发改委、教育局、工信局、公安局、民政局、财政局、资规局、住建局、城管局、交运局、水务局、农业农村局、商务局、文体广旅局、卫健委、生态环境局、应急局、综指中心、供销总社、机关事务中心、消防救援大队、水务集团、海事局、电信公司、供电公司、气象局、太仓港口管委会、长江口水文水资源勘测局等部门负责人组成。</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2.1.2  市防指职责</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负责组织、指导全市特大暴雨城市防洪避险工作，主要职责：制定全市特大暴雨城市防洪避险预案，部署开展防汛检查，部署各项准备工作，及时掌握雨情、水情、工情和灾情，启动、变更和结束特大暴雨城市防洪避险应急响应，组织抗洪抢险救灾，协调灾后处置，并做好相关协调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市防指指挥职责</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指挥：负责指挥特大暴雨城市防洪避险抢险救灾工作。主持召开特大暴雨城市防洪避险会议，决定签发进入紧急防汛期命令。</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常务副指挥：协助指挥特大暴雨城市防洪避险抢险救灾工作。受指挥委托时，全面主持市防指工作。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副指挥（市政府办公室主任、</w:t>
      </w:r>
      <w:r>
        <w:rPr>
          <w:rFonts w:hint="eastAsia"/>
          <w:color w:val="000000" w:themeColor="text1"/>
          <w:szCs w:val="32"/>
          <w14:textFill>
            <w14:solidFill>
              <w14:schemeClr w14:val="tx1"/>
            </w14:solidFill>
          </w14:textFill>
        </w:rPr>
        <w:t>分管水务、应急工作的</w:t>
      </w:r>
      <w:r>
        <w:rPr>
          <w:color w:val="000000" w:themeColor="text1"/>
          <w:szCs w:val="32"/>
          <w14:textFill>
            <w14:solidFill>
              <w14:schemeClr w14:val="tx1"/>
            </w14:solidFill>
          </w14:textFill>
        </w:rPr>
        <w:t>副主任）职责：协助常务副指挥组织全市特大暴雨城市防洪避险工作，具体组织重要事情协调工作。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副指挥（市水务局局长）职责：协助常务副指挥工作，负责市防指日常工作。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副指挥（市应急局局长）职责：协助常务副指挥工作，负责抢险救援人员、物资的联系协调和组织调配，指挥现场抢险救援工作。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  市防指成员单位职责</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市防指成员单位按照各自职责分工，各负其责，团结一致，密切配合，共同做好防内涝、抢险、</w:t>
      </w:r>
      <w:r>
        <w:rPr>
          <w:rFonts w:hint="eastAsia"/>
          <w:color w:val="000000" w:themeColor="text1"/>
          <w14:textFill>
            <w14:solidFill>
              <w14:schemeClr w14:val="tx1"/>
            </w14:solidFill>
          </w14:textFill>
        </w:rPr>
        <w:t>转移避险、</w:t>
      </w:r>
      <w:r>
        <w:rPr>
          <w:color w:val="000000" w:themeColor="text1"/>
          <w14:textFill>
            <w14:solidFill>
              <w14:schemeClr w14:val="tx1"/>
            </w14:solidFill>
          </w14:textFill>
        </w:rPr>
        <w:t>救灾等工作。各成员单位职责分工如下：</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市人武部：负责组织协调解放军驻太部队、武警、预备役部队和民兵，协助地方开展抢险救灾、紧急清障等任务。</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市委宣传部：负责把握全市特大暴雨城市防洪避险工作宣传导向，畅通信息共享渠道，协调新闻媒体做好新闻报</w:t>
      </w:r>
      <w:r>
        <w:rPr>
          <w:rFonts w:hint="eastAsia"/>
          <w:color w:val="000000" w:themeColor="text1"/>
          <w:szCs w:val="32"/>
          <w14:textFill>
            <w14:solidFill>
              <w14:schemeClr w14:val="tx1"/>
            </w14:solidFill>
          </w14:textFill>
        </w:rPr>
        <w:t>道</w:t>
      </w:r>
      <w:r>
        <w:rPr>
          <w:color w:val="000000" w:themeColor="text1"/>
          <w:szCs w:val="32"/>
          <w14:textFill>
            <w14:solidFill>
              <w14:schemeClr w14:val="tx1"/>
            </w14:solidFill>
          </w14:textFill>
        </w:rPr>
        <w:t>，协助有关部门做好灾害性天气警报、水雨涝情预警、应急响应等预警信息的公众发布，做好防灾减灾、避险自救等知识的宣传工作。组织接待新闻采访，必要时组织召开新闻发布会。及时收集、掌握舆情，做好舆情处置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融媒体中心：负责做好特大暴雨城市防洪避险救灾新闻报道，及时向公众播发市防指和气象部门提供的信息和通知。负责广播电视播出及传输单位的防汛工作，制定应急预案，及时组织抢修工作，保障广播电视信号传输正常稳定。</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发改委：负责城市防洪、除险加固、水毁修复工程等有关的防灾减灾重要预算内投资补助资金对上争取；负责特大暴雨城市防洪抢险时所需电力的供应和调度。负责市级救灾物资的收储、轮换和日常管理，根据市应急局的动用指令按程序组织救灾物资的调出。负责协调灾区救灾物资保障和粮油供应，保障受灾群众的基本生活。指导督促属地及人防工程管理单位做好排水防涝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教育局：负责全市学校的特大暴雨城市防洪避险工作，督促做好学校及培训机构停课、师生安置转移等工作。做好学校特大暴雨城市防洪避险宣传，提高师生防范意识和自我防护能力。督促指导受灾学校开展灾后自救和恢复教学秩序工作。指导协调校舍防洪保安。</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工信局：负责保障抢险救灾无线电专用频率使用安全；组织对特大暴雨城市防洪避险无线电站使用情况进行监督检查；查处应急处置期间对特大暴雨城市防洪避险无线电专用频率、台站造成的有害干扰的行为。指导督促基础电信运营企业加强通信、保障系统的维护，确保应急期间的通信畅通，并制定通信系统备用方案和应急处置预案。指导负有安全生产监管职责的行业企业落实好特大暴雨防洪避险有关措施。</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市公安局：负责维护特大暴雨城市防洪抢险秩序和灾区社会治安，负责道路交通临时管制；依法查处盗窃、哄抢防御物资及破坏水务、水文、通信设施的案件。</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市民政局：指导督促养老机构做好洪水内涝等风险隐患排除工作；协调做好受灾地区特困人员、孤儿、低保等困难对象的救助工作。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市财政局：负责保障特大暴雨城市防洪避险工作所需资金，及时安排下达抢险救灾、应急抢修、险工隐患处理、水毁工程修复等经费，对资金使用进行监管。</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市资规局：负责特大暴雨灾害发生时地质灾害预警和监测工作。组织指导协调和监督因雨洪引发的地质灾害调查评价及隐患的普查、详查、排查。指导属地做好林业特大暴雨城市防洪抢险救灾工作。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市住建局：负责指导属地住建部门监督房屋市政工程施工工地做好特大暴雨防洪避险工作；督促属地住建部门按照各级政府（管委会</w:t>
      </w:r>
      <w:r>
        <w:rPr>
          <w:color w:val="000000" w:themeColor="text1"/>
          <w14:textFill>
            <w14:solidFill>
              <w14:schemeClr w14:val="tx1"/>
            </w14:solidFill>
          </w14:textFill>
        </w:rPr>
        <w:t>、街道办事处</w:t>
      </w:r>
      <w:r>
        <w:rPr>
          <w:color w:val="000000" w:themeColor="text1"/>
          <w:szCs w:val="32"/>
          <w14:textFill>
            <w14:solidFill>
              <w14:schemeClr w14:val="tx1"/>
            </w14:solidFill>
          </w14:textFill>
        </w:rPr>
        <w:t>）制定的房屋使用安全管理突发事件应急抢险预案做好危旧房屋应急突发事件的处置工作；协助属地政府（管委会、街道办事处）做好人员安全转移工作。督促指导做好燃气、园林绿化安全检查和加固。指导督促属地及物业服务企业做好物业管理区域内的特大暴雨防洪避险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市城管局：负责指导属地做好城市道路、桥梁的管理维护和抢险工作；负责指导属地或相关单位在市防指启动</w:t>
      </w:r>
      <w:r>
        <w:rPr>
          <w:rFonts w:hint="eastAsia"/>
          <w:color w:val="000000" w:themeColor="text1"/>
          <w:szCs w:val="32"/>
          <w14:textFill>
            <w14:solidFill>
              <w14:schemeClr w14:val="tx1"/>
            </w14:solidFill>
          </w14:textFill>
        </w:rPr>
        <w:t>特大暴雨</w:t>
      </w:r>
      <w:r>
        <w:rPr>
          <w:color w:val="000000" w:themeColor="text1"/>
          <w:szCs w:val="32"/>
          <w14:textFill>
            <w14:solidFill>
              <w14:schemeClr w14:val="tx1"/>
            </w14:solidFill>
          </w14:textFill>
        </w:rPr>
        <w:t>响应期间，公共停车场（点）免费开放；指导属地做好广告牌、灯箱等户外广告设施的安全监管工作。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交运局：组织协调公路、水运设施、在建交通工程的特大暴雨防洪避险工作；负责协调救援人员和抢险救灾物资的运输车辆和船舶；发布航道限速行驶和停航通告；负责内河通航水域（长江除外）船舶、交通下穿等人员的转移撤离工作。做好航道清障工作；相关部门做好在太铁路的特大暴雨防洪避险协调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水务局：组织指导特大暴雨城市防洪避险体系建设。负责水情、工情的监测预报及预警信息发布。组织开展水利、供排水工程日常检查等。负责本行业市级防汛抢险专业队伍建设和防汛物资储备、管理。负责水旱灾害防御及水量调度指挥工作，承担防御洪水应急抢险的技术支撑工作，组织防洪抢险，开展水毁水利设施抢修；协助受灾地区人员转移撤离。</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市农业农村局：组织开展特大暴雨农业生产技术指导和抢险救灾工作；组织开展农业设施的安全检查；组织指导农业生产自救和灾后恢复生产。</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市商务局：负责指导加油站（点）、地下商超等特大暴雨防洪避险工作。指导地下商超做好受困人员转移撤离工作。督促商贸企业防洪责任和措施的落实。</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市文体广旅局：做好相关宣传报道工作；负责对重大活动、旅游景区等发布安全提示信息，根据预警级别督促关闭旅游景区，指导旅游景区做好防御及游客避险、救护、疏导和转移工作。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市卫健委：负责全市卫生系统的特大暴雨防洪避险工作；负责组织开展伤病人员医疗救治和灾区卫生防疫工作；及时提供灾区疫情与防治信息。</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太仓生态环境局：负责在特大暴雨城市洪水灾害发生时，对灾害次生的水环境污染、水生态环境破坏开展应急监测，并根据水文信息开展污染扩散趋势分析、确定扩散范围和影响程度，向应急指挥部提出环境污染控制和处置的建议，监督指导污染防治措施的落实。</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应急管理局：统筹消防等应急救援力量建设，指导综合性应急救援队伍、各级各部门及社会应急救援力量建设；按照分级负责的原则，指导应急救援，组织协调有关灾害应急救援工作，协调重要应急物资的储备、调拨和紧急配送；组织协调灾害救助工作，会同有关方面组织协调紧急转移安置受灾群众、因灾毁损房屋恢复重建补助和受灾群众生活救助，组织指导灾情核查、损失评估、救灾捐赠工作；依法统一发布灾情信息；负责监督管理全市危险化学品从业单位（个人）的防汛安全，监督、指导灾害发生时的安全生产工作，防止发生危险化学品爆炸、泄漏等安全事故及次生灾害。</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市综指中心：负责及时转派群众反映的特大暴雨城市防洪灾情相关诉求；组织网格员开展特大暴雨城市防洪灾情巡查上报，协助地方和有关部门开展抢险救援。</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市供销总社：协助做好特大暴雨防洪避险和生产救灾物资供应工作。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市机关事务中心：负责特大暴雨城市防洪避险工作所需车辆的保障工作。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市消防救援大队：负责组织各级消防救援队伍实施特大暴雨城市防洪避险、抢险救灾工作，特别是人员救援、重要设施抢险等。</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市水务集团：负责所属供水、污水排水和处理设施、应急水源地的特大暴雨防洪避险工作，制订应急预案，加强巡查监测和应急处置，保障水务设施安全运行及供水安全。</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太仓海事局：负责特大暴雨发生时长江太仓段水上交通安全监管，指导辖区船舶及港航企业做好安全防范措施落实；负责长江太仓段通航环境与通航秩序维护和工作，视情实行长江太仓段水上交通管制。</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太仓电信公司：负责电信通信设施的特大暴雨防洪避险安全，负责保障应急期间的通信畅通。制订应急通信预案，及时抢修受损设施，做好应急通讯备用方案的准备，及时提供应急移动通信工具。保障全市防汛视频会商系统通信畅通。</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太仓供电公司：保障防汛、排涝、抢险救灾用电，及时修复受损破坏的供电设施，督促指导地下供电设施防汛安全，确保医院、政府及其他重要部门的供电安全。</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市气象局：及时提供天气预报、灾害性天气专报和实时气象信息，预测天气发展趋势；发布灾害性天气警报和预警信号；开展灾害成因的气象分析。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太仓港口管委会</w:t>
      </w:r>
      <w:r>
        <w:rPr>
          <w:rFonts w:hint="eastAsia"/>
          <w:bCs/>
          <w:color w:val="000000" w:themeColor="text1"/>
          <w:szCs w:val="32"/>
          <w14:textFill>
            <w14:solidFill>
              <w14:schemeClr w14:val="tx1"/>
            </w14:solidFill>
          </w14:textFill>
        </w:rPr>
        <w:t>：</w:t>
      </w:r>
      <w:r>
        <w:rPr>
          <w:color w:val="000000" w:themeColor="text1"/>
          <w:szCs w:val="32"/>
          <w14:textFill>
            <w14:solidFill>
              <w14:schemeClr w14:val="tx1"/>
            </w14:solidFill>
          </w14:textFill>
        </w:rPr>
        <w:t>负责太仓港港口、码头企业的特大暴雨防洪避险安全监督工作。指导督促码头企业开展自保堤巡堤查险、大型机械设备加固、周边范围内水下地形和码头结构稳定性监测，及时组织抢险加固和应急处置。做好码头停产、人员撤离转移和靠泊作业船舶避风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长江口水文水资源勘测局：负责做好长江太仓段特大暴雨监测预警及防范相关工作，及时发布长江风暴潮位预警信息。</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非成员单位，除认真做好本单位的特大暴雨城市防洪避险工作外，积极配合市防指及成员单位，共同做好全市特大暴雨城市防洪避险工作。</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2" w:name="_Toc169610428"/>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日常办事机构</w:t>
      </w:r>
      <w:bookmarkEnd w:id="12"/>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的办事机构为太仓市防汛抗旱指挥部办公室（以下简称市防办）。承担值班值守任务，负责接收、传达国家、省级、苏州市级指示指令；督促落实市防指决策部署和协调处理相关事务；承办市防指召开的各类会议；收集、汇总、分析、报送、发布重要信息；负责市防指文稿的起草、印发和新闻稿件的审核；做好相关保障支撑等工作。</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3" w:name="_Toc169610429"/>
      <w:r>
        <w:rPr>
          <w:color w:val="000000" w:themeColor="text1"/>
          <w14:textFill>
            <w14:solidFill>
              <w14:schemeClr w14:val="tx1"/>
            </w14:solidFill>
          </w14:textFill>
        </w:rPr>
        <w:t>2.3  其他防内涝组织</w:t>
      </w:r>
      <w:bookmarkEnd w:id="13"/>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镇（区、街道）、村（社区）和企事业单位按照</w:t>
      </w:r>
      <w:r>
        <w:rPr>
          <w:rFonts w:hint="eastAsia"/>
          <w:color w:val="000000" w:themeColor="text1"/>
          <w:szCs w:val="32"/>
          <w14:textFill>
            <w14:solidFill>
              <w14:schemeClr w14:val="tx1"/>
            </w14:solidFill>
          </w14:textFill>
        </w:rPr>
        <w:t>特大暴雨城市防洪避险</w:t>
      </w:r>
      <w:r>
        <w:rPr>
          <w:color w:val="000000" w:themeColor="text1"/>
          <w:szCs w:val="32"/>
          <w14:textFill>
            <w14:solidFill>
              <w14:schemeClr w14:val="tx1"/>
            </w14:solidFill>
          </w14:textFill>
        </w:rPr>
        <w:t>要求，明确职责和人员，在各级党委、政府的领导下，组织做好本行政区域和本单位的防内涝工作。</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4" w:name="_Toc169610430"/>
      <w:r>
        <w:rPr>
          <w:color w:val="000000" w:themeColor="text1"/>
          <w14:textFill>
            <w14:solidFill>
              <w14:schemeClr w14:val="tx1"/>
            </w14:solidFill>
          </w14:textFill>
        </w:rPr>
        <w:t>2.4  应急联合工作组</w:t>
      </w:r>
      <w:bookmarkEnd w:id="14"/>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当特大暴雨城市防洪避险应急响应时，市防指成立综合协调、监测预警、技术支持、抢险救援、转移安置、交通通信、医疗救治、秩序保障、宣传报道、灾情评估等10个应急工作组。市防指成员单位按照各自职责做好工作，按要求集中办公。由市委、市政府领导带队，组成防汛</w:t>
      </w:r>
      <w:r>
        <w:rPr>
          <w:rFonts w:hint="eastAsia"/>
          <w:color w:val="000000" w:themeColor="text1"/>
          <w:szCs w:val="32"/>
          <w14:textFill>
            <w14:solidFill>
              <w14:schemeClr w14:val="tx1"/>
            </w14:solidFill>
          </w14:textFill>
        </w:rPr>
        <w:t>督导</w:t>
      </w:r>
      <w:r>
        <w:rPr>
          <w:color w:val="000000" w:themeColor="text1"/>
          <w:szCs w:val="32"/>
          <w14:textFill>
            <w14:solidFill>
              <w14:schemeClr w14:val="tx1"/>
            </w14:solidFill>
          </w14:textFill>
        </w:rPr>
        <w:t>组赴各地指导特大暴雨城市防洪避险工作。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2.4.1  综合协调组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由市政府办牵头，发改委、财政局、水务局、应急局、气象局等组成。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综合协调、上传下达、工作指导、财务保障、督办核查等工作。组织会商，审定发布水情调度方案，根据险情拟定抢险方案，部署抢险救灾工作；综合水雨情和气象信息，报送汛情、灾情及防洪避险信息，起草防洪避险通知；紧急下拨救灾经费。</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2.4.2  监测预警组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由市气象局牵头，资规局、住建局、水务局、农业农村局、生态环境局、长江口水文水资源勘测局等组成。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主要工作职责：负责气象、水文、地质、水质、积淹水监测、预报，视情向相关单位和社会发布预警信息。</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2.4.3  技术支持组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由市水务局牵头，资规局、住建局、交运局、生态环境局、应急局、海事局等组成。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主要工作职责：根据地方人民政府防汛抢险需要，组织水利抢险、地质灾害、环境污染、积水内涝、道路交通、船舶航道、安全生产等相关行业专家提供防洪抢险技术支持。</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2.4.4  抢险救援组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应急局牵头，市人武部、发改委、公安局、住建局、城管局、交运局、水务局、农业农村局、商务局、文体广旅局、卫健委、生态环境局、供销总社、市消防救援大队、水务集团、海事局、电信公司、供电公司、太仓港口管委会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各类险情的抢险救灾；调度抢险救灾物资、设备、船只及抢险小分队；维护社会治安；负责易燃易爆和有毒等化学品的处理；负责抢险、遇险伤病人员的救治；制订救灾计划，调拨、发放救灾物资，组织卫生防疫。到灾区实地查灾核灾，汇总、核实灾情数据。开展灾后的灾损评估。</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2.4.5  转移安置组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由市应急局牵头，市政府办、发改委、教育局、财政局、资规局、住建局、交运局、水务局、农业农村局、商务局、文体广旅局、市卫健委、供销总社、海事局、太仓港口管委会等组成。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主要工作职责：指导属地政府（管委会、街道办事处）做好受灾群众转移安置、基本生活保障和抚慰受灾人员家属，组织调拨救灾款物。</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2.4.6  交通通信组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由市交运局牵头，工信局、电信公司、供电公司等组成。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主要工作职责：负责做好防洪避险交通运输、应急通信、电力等保障，组织协调优先运送伤员和抢险救援救灾人员、物资。</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2.4.7  医疗救治组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由市卫健委牵头，市人武部、应急局等组成。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主要工作职责：负责组织协调调度医疗队伍、物资，组织指导受灾群众的医疗救援救治、卫生防疫和安置人员、救援人员的医疗保障，做好灾后疾病预防控制和卫生监督工作。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2.4.8  秩序保障组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由市公安局牵头，市人武部等组成。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主要工作职责：负责指导灾区社会治安维稳工作，预防和打击各类犯罪活动，预防和处置群体事件；做好灾区重要目标安全保卫工作；实施必要的交通疏导和管制，维护交通秩序。</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2.4.9  宣传报道组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由市委宣传部牵头，融媒体中心、水务局、文体广旅局、应急局、综指中心、电信公司、气象局等组成。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主要工作职责：负责对新闻媒体报道的协调和指导，组织和接待新闻采访；负责防洪避险和特大暴雨灾害信息的对外发布和宣传报道，必要时召开新闻发布会。收集分析处理网络舆情。</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2.4.10  灾情评估组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由市应急局牵头，教育局、资规局、住建局、城管局、交运局、水务局、农业农村局、文体广旅局等组成。</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主要工作职责：负责组织指导灾情和灾害损失统计、核查与评估。</w:t>
      </w:r>
    </w:p>
    <w:p>
      <w:pPr>
        <w:pStyle w:val="3"/>
        <w:keepNext/>
        <w:keepLines/>
        <w:pageBreakBefore w:val="0"/>
        <w:widowControl w:val="0"/>
        <w:kinsoku/>
        <w:wordWrap/>
        <w:overflowPunct/>
        <w:topLinePunct w:val="0"/>
        <w:autoSpaceDE/>
        <w:autoSpaceDN/>
        <w:bidi w:val="0"/>
        <w:adjustRightInd/>
        <w:snapToGrid/>
        <w:ind w:firstLine="0" w:firstLineChars="0"/>
        <w:textAlignment w:val="auto"/>
        <w:rPr>
          <w:b/>
          <w:color w:val="000000" w:themeColor="text1"/>
          <w14:textFill>
            <w14:solidFill>
              <w14:schemeClr w14:val="tx1"/>
            </w14:solidFill>
          </w14:textFill>
        </w:rPr>
      </w:pPr>
      <w:bookmarkStart w:id="15" w:name="_Toc169610431"/>
      <w:r>
        <w:rPr>
          <w:b/>
          <w:color w:val="000000" w:themeColor="text1"/>
          <w14:textFill>
            <w14:solidFill>
              <w14:schemeClr w14:val="tx1"/>
            </w14:solidFill>
          </w14:textFill>
        </w:rPr>
        <w:t>2.5  专家库</w:t>
      </w:r>
      <w:bookmarkEnd w:id="15"/>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市防指组建专家库，由相关专业的技术和管理专家组成，为防洪避险指挥决策、应急处置等提供技术支撑。</w:t>
      </w: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6" w:name="_Toc169610432"/>
      <w:r>
        <w:rPr>
          <w:color w:val="000000" w:themeColor="text1"/>
          <w14:textFill>
            <w14:solidFill>
              <w14:schemeClr w14:val="tx1"/>
            </w14:solidFill>
          </w14:textFill>
        </w:rPr>
        <w:t>3  预报、预警和预备</w:t>
      </w:r>
      <w:bookmarkEnd w:id="16"/>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7" w:name="_Toc169610433"/>
      <w:r>
        <w:rPr>
          <w:color w:val="000000" w:themeColor="text1"/>
          <w14:textFill>
            <w14:solidFill>
              <w14:schemeClr w14:val="tx1"/>
            </w14:solidFill>
          </w14:textFill>
        </w:rPr>
        <w:t>3.1  监测预报</w:t>
      </w:r>
      <w:bookmarkEnd w:id="17"/>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3.1.1  气象</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气象部门负责暴雨天气的监测预报，完善区域特大暴雨天气监测预报系统，提高短时临近预报精准度，对可能发生的特大暴雨灾害性天气提前发出气象灾害提示，及时报送市防指。同时，强化跟踪监测，滚动预报特大暴雨发生时段、强度、影响区域（镇、区、街道），及时报送最新预报和预警产品。</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3.1.2  水情、工情</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水文、水务部门负责江河湖泊水情、工情的监测和预报；做好河湖洪水发展趋势的跟踪监测，及时报送市防指。</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3.1.3  地质灾害灾情</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资规部门负责特大暴雨诱发的地质灾害的群测群防、专业监测和预报预警等工作，及时报送市防指。</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3.1.4  涝情</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城管、</w:t>
      </w:r>
      <w:r>
        <w:rPr>
          <w:color w:val="000000" w:themeColor="text1"/>
          <w14:textFill>
            <w14:solidFill>
              <w14:schemeClr w14:val="tx1"/>
            </w14:solidFill>
          </w14:textFill>
        </w:rPr>
        <w:t>交运、水务等部门及相关属地政府负责管辖范围内</w:t>
      </w:r>
      <w:r>
        <w:rPr>
          <w:rFonts w:hint="eastAsia"/>
          <w:color w:val="000000" w:themeColor="text1"/>
          <w14:textFill>
            <w14:solidFill>
              <w14:schemeClr w14:val="tx1"/>
            </w14:solidFill>
          </w14:textFill>
        </w:rPr>
        <w:t>城市道路、</w:t>
      </w:r>
      <w:r>
        <w:rPr>
          <w:color w:val="000000" w:themeColor="text1"/>
          <w14:textFill>
            <w14:solidFill>
              <w14:schemeClr w14:val="tx1"/>
            </w14:solidFill>
          </w14:textFill>
        </w:rPr>
        <w:t>下穿立交、隧道</w:t>
      </w:r>
      <w:r>
        <w:rPr>
          <w:rFonts w:hint="eastAsia"/>
          <w:color w:val="000000" w:themeColor="text1"/>
          <w14:textFill>
            <w14:solidFill>
              <w14:schemeClr w14:val="tx1"/>
            </w14:solidFill>
          </w14:textFill>
        </w:rPr>
        <w:t>、排水设施</w:t>
      </w:r>
      <w:r>
        <w:rPr>
          <w:color w:val="000000" w:themeColor="text1"/>
          <w14:textFill>
            <w14:solidFill>
              <w14:schemeClr w14:val="tx1"/>
            </w14:solidFill>
          </w14:textFill>
        </w:rPr>
        <w:t>等城市重点点位积淹水信息监测，及时报送市防指。</w:t>
      </w:r>
    </w:p>
    <w:p>
      <w:pPr>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市防指要建立特大暴雨成员单位联动机制，组织多部门联合会商研判，为指挥决策提供有力支撑。</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8" w:name="_Toc169610434"/>
      <w:r>
        <w:rPr>
          <w:color w:val="000000" w:themeColor="text1"/>
          <w14:textFill>
            <w14:solidFill>
              <w14:schemeClr w14:val="tx1"/>
            </w14:solidFill>
          </w14:textFill>
        </w:rPr>
        <w:t>3.2  预警信息发布</w:t>
      </w:r>
      <w:bookmarkEnd w:id="18"/>
    </w:p>
    <w:p>
      <w:pPr>
        <w:tabs>
          <w:tab w:val="left" w:pos="891"/>
        </w:tabs>
        <w:ind w:firstLine="640"/>
        <w:rPr>
          <w:color w:val="000000" w:themeColor="text1"/>
          <w:kern w:val="0"/>
          <w:szCs w:val="32"/>
          <w14:textFill>
            <w14:solidFill>
              <w14:schemeClr w14:val="tx1"/>
            </w14:solidFill>
          </w14:textFill>
        </w:rPr>
      </w:pPr>
      <w:r>
        <w:rPr>
          <w:rFonts w:hint="eastAsia"/>
          <w:color w:val="000000" w:themeColor="text1"/>
          <w:kern w:val="0"/>
          <w:szCs w:val="32"/>
          <w14:textFill>
            <w14:solidFill>
              <w14:schemeClr w14:val="tx1"/>
            </w14:solidFill>
          </w14:textFill>
        </w:rPr>
        <w:t>气象部门负责暴雨的预警，发布有关暴雨信息；水务部门负责江河湖水情、水利工程、管辖范围内积淹水点的预警和有关信息发布；资规部门负责特大暴雨诱发的地质灾害预警信息发布；住建部门负责房屋市政工程施工工地的预警与有关信息发布，协助属地政府做好危旧房屋等的预警与有关信息发布；城管部门负责管辖范围道路、桥梁等市政设施积淹水点的预警信息发布；交通部门负责城市主干道、航道、渡口、码头等的预警与有关信息发布；宣传部门组织新闻媒体及时播放预警信息；其他部门做好相关的预警工作。市防指负责发布特大暴雨防范指令，并向市委、市政府和苏州市防指报告。</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建立健全快捷高效的预警信息发布体系，结合各自职责，充分利用广播、电视、应急广播、互联网、手机短信、电子显示屏等方式，及时发布相关预警信息。</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预警信息发布后，各级防汛抗旱指挥机构和相关部门要按照预案要求，立即到达各自岗位，做好应急准备。严密监视水雨情，重点关注</w:t>
      </w:r>
      <w:r>
        <w:rPr>
          <w:rFonts w:hint="eastAsia"/>
          <w:color w:val="000000" w:themeColor="text1"/>
          <w:szCs w:val="32"/>
          <w14:textFill>
            <w14:solidFill>
              <w14:schemeClr w14:val="tx1"/>
            </w14:solidFill>
          </w14:textFill>
        </w:rPr>
        <w:t>学校、医院、养老院、供电、供水、供气等城市生命线工程及</w:t>
      </w:r>
      <w:r>
        <w:rPr>
          <w:color w:val="000000" w:themeColor="text1"/>
          <w:szCs w:val="32"/>
          <w14:textFill>
            <w14:solidFill>
              <w14:schemeClr w14:val="tx1"/>
            </w14:solidFill>
          </w14:textFill>
        </w:rPr>
        <w:t>低洼地区、重点道路、隧道、下穿立交桥、危旧房屋、在建工地、户外广告牌等</w:t>
      </w:r>
      <w:r>
        <w:rPr>
          <w:rFonts w:hint="eastAsia"/>
          <w:color w:val="000000" w:themeColor="text1"/>
          <w:szCs w:val="32"/>
          <w14:textFill>
            <w14:solidFill>
              <w14:schemeClr w14:val="tx1"/>
            </w14:solidFill>
          </w14:textFill>
        </w:rPr>
        <w:t>要害点位的</w:t>
      </w:r>
      <w:r>
        <w:rPr>
          <w:color w:val="000000" w:themeColor="text1"/>
          <w:szCs w:val="32"/>
          <w14:textFill>
            <w14:solidFill>
              <w14:schemeClr w14:val="tx1"/>
            </w14:solidFill>
          </w14:textFill>
        </w:rPr>
        <w:t>检查巡查，提前采取措施，保障设施安全。</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19" w:name="_Toc169610435"/>
      <w:r>
        <w:rPr>
          <w:color w:val="000000" w:themeColor="text1"/>
          <w14:textFill>
            <w14:solidFill>
              <w14:schemeClr w14:val="tx1"/>
            </w14:solidFill>
          </w14:textFill>
        </w:rPr>
        <w:t>3.3  预警叫应机制</w:t>
      </w:r>
      <w:bookmarkEnd w:id="19"/>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建立直达基层防汛责任人的临灾预警“叫应”机制。气象部门发布</w:t>
      </w:r>
      <w:r>
        <w:rPr>
          <w:rFonts w:hint="eastAsia"/>
          <w:color w:val="000000" w:themeColor="text1"/>
          <w:szCs w:val="32"/>
          <w14:textFill>
            <w14:solidFill>
              <w14:schemeClr w14:val="tx1"/>
            </w14:solidFill>
          </w14:textFill>
        </w:rPr>
        <w:t>红色暴雨</w:t>
      </w:r>
      <w:r>
        <w:rPr>
          <w:color w:val="000000" w:themeColor="text1"/>
          <w:szCs w:val="32"/>
          <w14:textFill>
            <w14:solidFill>
              <w14:schemeClr w14:val="tx1"/>
            </w14:solidFill>
          </w14:textFill>
        </w:rPr>
        <w:t>预警信号时，同级防汛抗旱指挥机构应及时提醒预警覆盖的行业主管部门、</w:t>
      </w:r>
      <w:bookmarkStart w:id="20" w:name="_Hlk169535446"/>
      <w:r>
        <w:rPr>
          <w:color w:val="000000" w:themeColor="text1"/>
          <w:szCs w:val="32"/>
          <w14:textFill>
            <w14:solidFill>
              <w14:schemeClr w14:val="tx1"/>
            </w14:solidFill>
          </w14:textFill>
        </w:rPr>
        <w:t>镇（区、街道）</w:t>
      </w:r>
      <w:bookmarkEnd w:id="20"/>
      <w:r>
        <w:rPr>
          <w:color w:val="000000" w:themeColor="text1"/>
          <w:szCs w:val="32"/>
          <w14:textFill>
            <w14:solidFill>
              <w14:schemeClr w14:val="tx1"/>
            </w14:solidFill>
          </w14:textFill>
        </w:rPr>
        <w:t>党政主要负责人和村（社区）防汛责任人</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相关责任人应到岗就位、及时回应、采取措施，确保预警信息“叫应”到位，通知到村、到户、到人。5</w:t>
      </w:r>
      <w:r>
        <w:rPr>
          <w:rFonts w:hint="eastAsia"/>
          <w:color w:val="000000" w:themeColor="text1"/>
          <w:szCs w:val="32"/>
          <w14:textFill>
            <w14:solidFill>
              <w14:schemeClr w14:val="tx1"/>
            </w14:solidFill>
          </w14:textFill>
        </w:rPr>
        <w:t>分钟内未及时反馈的，应再次催发，直到反馈为止，确保预警信息准确送达，不留死角，实现全流程闭环管理。</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采用多种方式滚动发布预警和安全警示信息，引导公众远离危险区域，及时转移避险。通信部门根据预警信息发布需求，配合预警信息发布中心建立重大灾害预警信息快速发布的“绿色通道”，确保多途径、多手段、及时、无偿向公众发布预警信息。公共场所电子显示屏、公共音响、公交传媒等传播媒介所属单位应当按照预警信息发布要求，充分利用新媒介技术，布设、升级或者改造相应设施，落实专人负责有关工作，及时接收和发送预警信息。各镇（区、街道）应当在社区、学校、医院、旅游景点、交通枢纽、工矿企业、建筑工地、城市公园、易燃易爆场所等人员密集区和其他重点区域，增设必要的预警信息接收与传播设施。预警信息发布中心应做好与本地传播设施的技术对接。</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21" w:name="_Toc169610436"/>
      <w:r>
        <w:rPr>
          <w:color w:val="000000" w:themeColor="text1"/>
          <w14:textFill>
            <w14:solidFill>
              <w14:schemeClr w14:val="tx1"/>
            </w14:solidFill>
          </w14:textFill>
        </w:rPr>
        <w:t>3.4  预备</w:t>
      </w:r>
      <w:bookmarkEnd w:id="21"/>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3.4.1  宣传教育</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通过广播、电视、网络、科普读物等多种形式宣传暴雨防洪避灾知识，全面普及预防、避险、自救、减灾等知识和技能，相关部门及镇（区、街道）对市民进行暴雨灾害防灾避险安全知识宣传教育，发放相关宣传资料，提高市民防灾意识和自救、互救能力，动员社会各方面力量支援特大暴雨应对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3.4.2  转移准备</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汛抗旱指挥机构及市防指有关成员单位组织开展建筑工地、地下空间、隧道、下穿立交、地铁、变配电站、通讯基站、医院、学校、养老院、危旧房屋、危化品、地质灾害隐患点、地下商业综合体等易涝地区、重点区域和薄弱对象的调查摸底工作</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 xml:space="preserve"> </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按照“属地管理、条块结合”的原则，压实属地责任，</w:t>
      </w:r>
      <w:r>
        <w:rPr>
          <w:color w:val="000000" w:themeColor="text1"/>
          <w:szCs w:val="32"/>
          <w14:textFill>
            <w14:solidFill>
              <w14:schemeClr w14:val="tx1"/>
            </w14:solidFill>
          </w14:textFill>
        </w:rPr>
        <w:t>镇（区、街道）全面排查辖区内风险隐患点及转移避险人数，</w:t>
      </w:r>
      <w:r>
        <w:rPr>
          <w:rFonts w:hint="eastAsia"/>
          <w:color w:val="000000" w:themeColor="text1"/>
          <w:szCs w:val="32"/>
          <w14:textFill>
            <w14:solidFill>
              <w14:schemeClr w14:val="tx1"/>
            </w14:solidFill>
          </w14:textFill>
        </w:rPr>
        <w:t>以社区为单元，将风险隐患区域和安置点纳入网格化管理范围，分级分类建立转移人群和转移责任人台账，健全逐人落实、逐户对接的提醒叫应和安全转移机制，做到转移避险定员定责、分片分块包干，风险区域全覆盖。</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应急避险转移方案应统筹调配转移安置场所资源，落实应急避险场所，明确避险工作流程、避险线路、交通工具、集中安置点，明确避险转移组织体系、责任单位和责任人，落实安置点物资、医疗保障措施。各责任单位做好转移演练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3.4.3  协调准备</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预案准备。在太仓市特大暴雨城市防洪避险预案基础上，各级防汛抗旱指挥机构及市防指各成员单位要分层级、分部门、分行业制定应急响应协同联动的子预案、分预案，将责任压紧压实到每个片区、隧道、地下空间、城市生命线工程、积涝点，构建上下贯通、分工明确的责任体系和叫应机制，明确停工、停业、停课、停运、停产刚性约束条件和工作机制，确保在既定的时限内有效处置和管控到位。</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队伍物资准备。全面摸清各级各类抢险救援力量状况，建立队伍、物资、装备等信息台账并动态更新。各级防汛抗旱指挥机构及市防指有关成员单位按照国家、省、</w:t>
      </w:r>
      <w:r>
        <w:rPr>
          <w:rFonts w:hint="eastAsia"/>
          <w:color w:val="000000" w:themeColor="text1"/>
          <w:szCs w:val="32"/>
          <w14:textFill>
            <w14:solidFill>
              <w14:schemeClr w14:val="tx1"/>
            </w14:solidFill>
          </w14:textFill>
        </w:rPr>
        <w:t>苏州</w:t>
      </w:r>
      <w:r>
        <w:rPr>
          <w:color w:val="000000" w:themeColor="text1"/>
          <w:szCs w:val="32"/>
          <w14:textFill>
            <w14:solidFill>
              <w14:schemeClr w14:val="tx1"/>
            </w14:solidFill>
          </w14:textFill>
        </w:rPr>
        <w:t>市有关规定，分区域储备必需的沙袋、挡水板、水泵、龙吸水、移动泵车、应急发电机、救生艇等抢险救灾物资和设备，组建专业化与社会化相结合的抢险队伍。根据排查出的风险隐患点、防御重点部位，队伍设备网格化布点、前置待命。各级防汛抗旱指挥机构有权在管辖范围内紧急调用物资、设备、交通运输工具和人力。</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工程准备。按时完成排水设施建设，对易积淹水点进行改造；排水设施日常管理做到井清、篦透、管通、盖全、河畅、栅洁、泵转、闸灵、厂运；对存在病险的河湖堤防、涵闸、泵站等各类水利工程实行应急除险加固，对跨汛期施工的涉水工程，落实特大暴雨防范期间安全措施，对影响河道行洪的施工坝埂，制定应急拆除方案。预报有特大暴雨时，提前降低城市周边和辖区湖泊、滞蓄空间和河网水位。</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隐患排查。每年汛前汛中各区各部门组织对水务工程设施、危旧房屋、积淹水点、地下空间、地质灾害隐患点等重点部位开展安全度汛隐患排查，发现问题及时整改。下凹式立交、下沉隧道、地下空间等要设置积水警示标识，建设必要的避险逃生设施。</w:t>
      </w:r>
    </w:p>
    <w:p>
      <w:pPr>
        <w:ind w:firstLine="640"/>
        <w:rPr>
          <w:b/>
          <w:color w:val="000000" w:themeColor="text1"/>
          <w:szCs w:val="32"/>
          <w14:textFill>
            <w14:solidFill>
              <w14:schemeClr w14:val="tx1"/>
            </w14:solidFill>
          </w14:textFill>
        </w:rPr>
      </w:pPr>
      <w:r>
        <w:rPr>
          <w:color w:val="000000" w:themeColor="text1"/>
          <w:szCs w:val="32"/>
          <w14:textFill>
            <w14:solidFill>
              <w14:schemeClr w14:val="tx1"/>
            </w14:solidFill>
          </w14:textFill>
        </w:rPr>
        <w:t>通信准备。组织基础电信运营企业建立应急通信保障队伍，做好公众通信网应急通信保障工作，保证通信专用网预警反馈系统完好畅通。</w:t>
      </w: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22" w:name="_Toc169610437"/>
      <w:r>
        <w:rPr>
          <w:color w:val="000000" w:themeColor="text1"/>
          <w14:textFill>
            <w14:solidFill>
              <w14:schemeClr w14:val="tx1"/>
            </w14:solidFill>
          </w14:textFill>
        </w:rPr>
        <w:t>4  应急响应</w:t>
      </w:r>
      <w:bookmarkEnd w:id="22"/>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23" w:name="_Toc169610438"/>
      <w:r>
        <w:rPr>
          <w:color w:val="000000" w:themeColor="text1"/>
          <w14:textFill>
            <w14:solidFill>
              <w14:schemeClr w14:val="tx1"/>
            </w14:solidFill>
          </w14:textFill>
        </w:rPr>
        <w:t>4.1  启动条件与程序</w:t>
      </w:r>
      <w:bookmarkEnd w:id="23"/>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市气象局发布暴雨红色预警信号，</w:t>
      </w:r>
      <w:r>
        <w:rPr>
          <w:rFonts w:hint="eastAsia"/>
          <w:color w:val="000000" w:themeColor="text1"/>
          <w:szCs w:val="32"/>
          <w14:textFill>
            <w14:solidFill>
              <w14:schemeClr w14:val="tx1"/>
            </w14:solidFill>
          </w14:textFill>
        </w:rPr>
        <w:t>市防指</w:t>
      </w:r>
      <w:r>
        <w:rPr>
          <w:color w:val="000000" w:themeColor="text1"/>
          <w:szCs w:val="32"/>
          <w14:textFill>
            <w14:solidFill>
              <w14:schemeClr w14:val="tx1"/>
            </w14:solidFill>
          </w14:textFill>
        </w:rPr>
        <w:t>启动防汛Ⅰ级应急响应后，经综合研判，由市防指指挥决定执行本预案。</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24" w:name="_Toc140248212"/>
      <w:bookmarkStart w:id="25" w:name="_Toc169610439"/>
      <w:r>
        <w:rPr>
          <w:color w:val="000000" w:themeColor="text1"/>
          <w14:textFill>
            <w14:solidFill>
              <w14:schemeClr w14:val="tx1"/>
            </w14:solidFill>
          </w14:textFill>
        </w:rPr>
        <w:t>4.2  应急响应行动</w:t>
      </w:r>
      <w:bookmarkEnd w:id="24"/>
      <w:bookmarkEnd w:id="25"/>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4.2.1  会商研判</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市防指指挥或委托常务副指挥主持会商，市防指全体成员参加，分析研判汛情、灾情发展态势，部署特大暴雨防洪避险工作，提出工作目标、对策措施，并将情况及时上报市委</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市政府和苏州市防指。各镇（区、街道）防指指挥参加会商，并汇报有关情况。</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指挥和调度</w:t>
      </w:r>
    </w:p>
    <w:p>
      <w:pPr>
        <w:ind w:firstLine="640"/>
        <w:rPr>
          <w:color w:val="000000" w:themeColor="text1"/>
          <w:szCs w:val="32"/>
          <w14:textFill>
            <w14:solidFill>
              <w14:schemeClr w14:val="tx1"/>
            </w14:solidFill>
          </w14:textFill>
        </w:rPr>
      </w:pPr>
      <w:bookmarkStart w:id="26" w:name="_Hlk137804506"/>
      <w:r>
        <w:rPr>
          <w:color w:val="000000" w:themeColor="text1"/>
          <w:szCs w:val="32"/>
          <w14:textFill>
            <w14:solidFill>
              <w14:schemeClr w14:val="tx1"/>
            </w14:solidFill>
          </w14:textFill>
        </w:rPr>
        <w:t>市防指指挥或委托常务副指挥坐镇指挥，相关副指挥担任赴险情发生地任现场指挥部指挥。市委、市政府领导防汛工作组成员赴各地指导防洪避险工作。</w:t>
      </w:r>
    </w:p>
    <w:bookmarkEnd w:id="26"/>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市防指可依法宣布进入紧急防汛期，并报苏州市防指。采取非常紧急措施，必要时请求部队支援，保障人民生命安全。</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市防指密切监视汛情、灾情的发展变化，做好水利工程调度，加强市域、区域间抢险救援物资和队伍协调调度，为灾区紧急调拨抢险救援物资和队伍，成立综合协调组、监测预警组、抢险救援组、转移安置组等</w:t>
      </w:r>
      <w:r>
        <w:rPr>
          <w:rFonts w:hint="eastAsia"/>
          <w:color w:val="000000" w:themeColor="text1"/>
          <w:szCs w:val="32"/>
          <w14:textFill>
            <w14:solidFill>
              <w14:schemeClr w14:val="tx1"/>
            </w14:solidFill>
          </w14:textFill>
        </w:rPr>
        <w:t>10个</w:t>
      </w:r>
      <w:r>
        <w:rPr>
          <w:color w:val="000000" w:themeColor="text1"/>
          <w:szCs w:val="32"/>
          <w14:textFill>
            <w14:solidFill>
              <w14:schemeClr w14:val="tx1"/>
            </w14:solidFill>
          </w14:textFill>
        </w:rPr>
        <w:t>应急工作组，按照职责分工做好有关工作，并在24小时内派专家组赴一线加强技术指导。</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bookmarkStart w:id="27" w:name="_Toc88736075"/>
      <w:r>
        <w:rPr>
          <w:color w:val="000000" w:themeColor="text1"/>
          <w14:textFill>
            <w14:solidFill>
              <w14:schemeClr w14:val="tx1"/>
            </w14:solidFill>
          </w14:textFill>
        </w:rPr>
        <w:t>4.2.</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信息报送与处理</w:t>
      </w:r>
      <w:bookmarkEnd w:id="27"/>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汛情、工情、险情、灾情等相关信息实行分级上报，归口处理，同级共享。</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险情、灾情发生后，各级防汛抗旱指挥机构、职能部门和责任单位要按照相关预案和报告制度的规定，在组织抢险救援的同时，及时汇总相关信息并迅速报告。一旦发生重大险情、灾情，必须在接报后半小时内向市防</w:t>
      </w:r>
      <w:r>
        <w:rPr>
          <w:rFonts w:hint="eastAsia"/>
          <w:color w:val="000000" w:themeColor="text1"/>
          <w:szCs w:val="32"/>
          <w14:textFill>
            <w14:solidFill>
              <w14:schemeClr w14:val="tx1"/>
            </w14:solidFill>
          </w14:textFill>
        </w:rPr>
        <w:t>指</w:t>
      </w:r>
      <w:r>
        <w:rPr>
          <w:color w:val="000000" w:themeColor="text1"/>
          <w:szCs w:val="32"/>
          <w14:textFill>
            <w14:solidFill>
              <w14:schemeClr w14:val="tx1"/>
            </w14:solidFill>
          </w14:textFill>
        </w:rPr>
        <w:t>口头报告，在1小时内向市防</w:t>
      </w:r>
      <w:r>
        <w:rPr>
          <w:rFonts w:hint="eastAsia"/>
          <w:color w:val="000000" w:themeColor="text1"/>
          <w:szCs w:val="32"/>
          <w14:textFill>
            <w14:solidFill>
              <w14:schemeClr w14:val="tx1"/>
            </w14:solidFill>
          </w14:textFill>
        </w:rPr>
        <w:t>指</w:t>
      </w:r>
      <w:r>
        <w:rPr>
          <w:color w:val="000000" w:themeColor="text1"/>
          <w:szCs w:val="32"/>
          <w14:textFill>
            <w14:solidFill>
              <w14:schemeClr w14:val="tx1"/>
            </w14:solidFill>
          </w14:textFill>
        </w:rPr>
        <w:t>书面报告。市防</w:t>
      </w:r>
      <w:r>
        <w:rPr>
          <w:rFonts w:hint="eastAsia"/>
          <w:color w:val="000000" w:themeColor="text1"/>
          <w:szCs w:val="32"/>
          <w14:textFill>
            <w14:solidFill>
              <w14:schemeClr w14:val="tx1"/>
            </w14:solidFill>
          </w14:textFill>
        </w:rPr>
        <w:t>指组织相关单位</w:t>
      </w:r>
      <w:r>
        <w:rPr>
          <w:color w:val="000000" w:themeColor="text1"/>
          <w:szCs w:val="32"/>
          <w14:textFill>
            <w14:solidFill>
              <w14:schemeClr w14:val="tx1"/>
            </w14:solidFill>
          </w14:textFill>
        </w:rPr>
        <w:t>在第一时间做好处置，并按照相关预案和报告制度的规定报告市委市政府和苏州市防办。市防指成员单位</w:t>
      </w:r>
      <w:r>
        <w:rPr>
          <w:rFonts w:hint="eastAsia"/>
          <w:color w:val="000000" w:themeColor="text1"/>
          <w:szCs w:val="32"/>
          <w14:textFill>
            <w14:solidFill>
              <w14:schemeClr w14:val="tx1"/>
            </w14:solidFill>
          </w14:textFill>
        </w:rPr>
        <w:t>滚动</w:t>
      </w:r>
      <w:r>
        <w:rPr>
          <w:color w:val="000000" w:themeColor="text1"/>
          <w:szCs w:val="32"/>
          <w14:textFill>
            <w14:solidFill>
              <w14:schemeClr w14:val="tx1"/>
            </w14:solidFill>
          </w14:textFill>
        </w:rPr>
        <w:t>向市防办报告工作进展及工作动态，突发灾情、险情随时报告。</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汛抗旱指挥机构、相关单位和部门要与毗邻区域加强协作，建立突发险情、灾情等信息通报、协调渠道。一旦出现突发险情、灾情影响范围超出本行政区域的态势，要根据应急处置工作的需要，及时通报、联系和协调。</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特大暴雨城市防洪避险信息发布应当及时、准确、客观、全面。市防办统一审核和发布防洪避险动态。发现影响或者可能影响社会稳定、扰乱社会秩序的虚假或不完整信息时，各级防汛抗旱指挥机构应及时组织相关行业部门发布准确信息予以澄清。各镇（区、街道）防洪避险动态由各镇（区、街道）防汛抗旱指挥机构审核和发布，</w:t>
      </w:r>
      <w:r>
        <w:rPr>
          <w:rFonts w:hint="eastAsia"/>
          <w:color w:val="000000" w:themeColor="text1"/>
          <w:szCs w:val="32"/>
          <w14:textFill>
            <w14:solidFill>
              <w14:schemeClr w14:val="tx1"/>
            </w14:solidFill>
          </w14:textFill>
        </w:rPr>
        <w:t>滚动</w:t>
      </w:r>
      <w:r>
        <w:rPr>
          <w:color w:val="000000" w:themeColor="text1"/>
          <w:szCs w:val="32"/>
          <w14:textFill>
            <w14:solidFill>
              <w14:schemeClr w14:val="tx1"/>
            </w14:solidFill>
          </w14:textFill>
        </w:rPr>
        <w:t>向市防办报告事情进展及工作动态。</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4.2.4  值班值守</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w:t>
      </w:r>
      <w:r>
        <w:rPr>
          <w:rFonts w:hint="eastAsia"/>
          <w:color w:val="000000" w:themeColor="text1"/>
          <w:szCs w:val="32"/>
          <w14:textFill>
            <w14:solidFill>
              <w14:schemeClr w14:val="tx1"/>
            </w14:solidFill>
          </w14:textFill>
        </w:rPr>
        <w:t>指</w:t>
      </w:r>
      <w:r>
        <w:rPr>
          <w:color w:val="000000" w:themeColor="text1"/>
          <w:szCs w:val="32"/>
          <w14:textFill>
            <w14:solidFill>
              <w14:schemeClr w14:val="tx1"/>
            </w14:solidFill>
          </w14:textFill>
        </w:rPr>
        <w:t>实行24小时值班值守，市防指成员单位负责人到市防指集中办公，按照职责分工做好有关工作。</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28" w:name="_Toc169610440"/>
      <w:bookmarkStart w:id="29" w:name="_Toc140248213"/>
      <w:r>
        <w:rPr>
          <w:color w:val="000000" w:themeColor="text1"/>
          <w14:textFill>
            <w14:solidFill>
              <w14:schemeClr w14:val="tx1"/>
            </w14:solidFill>
          </w14:textFill>
        </w:rPr>
        <w:t>4.3  应急响应措施</w:t>
      </w:r>
      <w:bookmarkEnd w:id="28"/>
      <w:bookmarkEnd w:id="29"/>
    </w:p>
    <w:p>
      <w:pPr>
        <w:pStyle w:val="4"/>
        <w:keepNext/>
        <w:keepLines/>
        <w:pageBreakBefore w:val="0"/>
        <w:widowControl w:val="0"/>
        <w:kinsoku/>
        <w:wordWrap/>
        <w:overflowPunct/>
        <w:topLinePunct w:val="0"/>
        <w:autoSpaceDE/>
        <w:autoSpaceDN/>
        <w:bidi w:val="0"/>
        <w:adjustRightInd/>
        <w:snapToGrid/>
        <w:ind w:left="0" w:leftChars="0" w:firstLine="643" w:firstLineChars="200"/>
        <w:textAlignment w:val="auto"/>
        <w:rPr>
          <w:color w:val="000000" w:themeColor="text1"/>
          <w14:textFill>
            <w14:solidFill>
              <w14:schemeClr w14:val="tx1"/>
            </w14:solidFill>
          </w14:textFill>
        </w:rPr>
      </w:pPr>
      <w:r>
        <w:rPr>
          <w:color w:val="000000" w:themeColor="text1"/>
          <w14:textFill>
            <w14:solidFill>
              <w14:schemeClr w14:val="tx1"/>
            </w14:solidFill>
          </w14:textFill>
        </w:rPr>
        <w:t>4.3.1  转移与安置</w:t>
      </w:r>
    </w:p>
    <w:p>
      <w:pPr>
        <w:pageBreakBefore w:val="0"/>
        <w:widowControl w:val="0"/>
        <w:kinsoku/>
        <w:wordWrap/>
        <w:overflowPunct/>
        <w:topLinePunct w:val="0"/>
        <w:autoSpaceDE/>
        <w:autoSpaceDN/>
        <w:bidi w:val="0"/>
        <w:adjustRightInd/>
        <w:snapToGrid/>
        <w:ind w:firstLine="560"/>
        <w:textAlignment w:val="auto"/>
        <w:rPr>
          <w:rStyle w:val="38"/>
          <w:rFonts w:cs="Times New Roman"/>
          <w:color w:val="000000" w:themeColor="text1"/>
          <w14:textFill>
            <w14:solidFill>
              <w14:schemeClr w14:val="tx1"/>
            </w14:solidFill>
          </w14:textFill>
        </w:rPr>
      </w:pPr>
      <w:r>
        <w:rPr>
          <w:rStyle w:val="38"/>
          <w:rFonts w:cs="Times New Roman"/>
          <w:color w:val="000000" w:themeColor="text1"/>
          <w14:textFill>
            <w14:solidFill>
              <w14:schemeClr w14:val="tx1"/>
            </w14:solidFill>
          </w14:textFill>
        </w:rPr>
        <w:t>4.</w:t>
      </w:r>
      <w:r>
        <w:rPr>
          <w:rStyle w:val="38"/>
          <w:rFonts w:hint="eastAsia" w:cs="Times New Roman"/>
          <w:color w:val="000000" w:themeColor="text1"/>
          <w14:textFill>
            <w14:solidFill>
              <w14:schemeClr w14:val="tx1"/>
            </w14:solidFill>
          </w14:textFill>
        </w:rPr>
        <w:t>3</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1</w:t>
      </w:r>
      <w:r>
        <w:rPr>
          <w:rStyle w:val="38"/>
          <w:rFonts w:cs="Times New Roman"/>
          <w:color w:val="000000" w:themeColor="text1"/>
          <w14:textFill>
            <w14:solidFill>
              <w14:schemeClr w14:val="tx1"/>
            </w14:solidFill>
          </w14:textFill>
        </w:rPr>
        <w:t xml:space="preserve">.1 </w:t>
      </w:r>
      <w:r>
        <w:rPr>
          <w:rStyle w:val="38"/>
          <w:rFonts w:cs="Times New Roman"/>
          <w:color w:val="000000" w:themeColor="text1"/>
          <w:sz w:val="32"/>
          <w:szCs w:val="32"/>
          <w14:textFill>
            <w14:solidFill>
              <w14:schemeClr w14:val="tx1"/>
            </w14:solidFill>
          </w14:textFill>
        </w:rPr>
        <w:t xml:space="preserve"> 转移对象</w:t>
      </w:r>
      <w:r>
        <w:rPr>
          <w:rStyle w:val="38"/>
          <w:rFonts w:hint="eastAsia" w:cs="Times New Roman"/>
          <w:color w:val="000000" w:themeColor="text1"/>
          <w:sz w:val="32"/>
          <w:szCs w:val="32"/>
          <w14:textFill>
            <w14:solidFill>
              <w14:schemeClr w14:val="tx1"/>
            </w14:solidFill>
          </w14:textFill>
        </w:rPr>
        <w:t>及</w:t>
      </w:r>
      <w:r>
        <w:rPr>
          <w:rStyle w:val="38"/>
          <w:rFonts w:cs="Times New Roman"/>
          <w:color w:val="000000" w:themeColor="text1"/>
          <w:sz w:val="32"/>
          <w:szCs w:val="32"/>
          <w14:textFill>
            <w14:solidFill>
              <w14:schemeClr w14:val="tx1"/>
            </w14:solidFill>
          </w14:textFill>
        </w:rPr>
        <w:t>组织单位</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根据风险隐患点摸排成果和应急避险转移方案，市防指各有关成员单位、各级防汛抗旱指挥机构加强督促指导，各镇（区、街道）具体负责实施本区域内人员转移安置工作。</w:t>
      </w:r>
    </w:p>
    <w:p>
      <w:pPr>
        <w:pageBreakBefore w:val="0"/>
        <w:widowControl w:val="0"/>
        <w:kinsoku/>
        <w:wordWrap/>
        <w:overflowPunct/>
        <w:topLinePunct w:val="0"/>
        <w:autoSpaceDE/>
        <w:autoSpaceDN/>
        <w:bidi w:val="0"/>
        <w:adjustRightInd/>
        <w:snapToGrid/>
        <w:ind w:firstLine="560"/>
        <w:textAlignment w:val="auto"/>
        <w:rPr>
          <w:rStyle w:val="38"/>
          <w:rFonts w:cs="Times New Roman"/>
          <w:color w:val="000000" w:themeColor="text1"/>
          <w14:textFill>
            <w14:solidFill>
              <w14:schemeClr w14:val="tx1"/>
            </w14:solidFill>
          </w14:textFill>
        </w:rPr>
      </w:pPr>
      <w:r>
        <w:rPr>
          <w:rStyle w:val="38"/>
          <w:rFonts w:cs="Times New Roman"/>
          <w:color w:val="000000" w:themeColor="text1"/>
          <w14:textFill>
            <w14:solidFill>
              <w14:schemeClr w14:val="tx1"/>
            </w14:solidFill>
          </w14:textFill>
        </w:rPr>
        <w:t>4.</w:t>
      </w:r>
      <w:r>
        <w:rPr>
          <w:rStyle w:val="38"/>
          <w:rFonts w:hint="eastAsia" w:cs="Times New Roman"/>
          <w:color w:val="000000" w:themeColor="text1"/>
          <w14:textFill>
            <w14:solidFill>
              <w14:schemeClr w14:val="tx1"/>
            </w14:solidFill>
          </w14:textFill>
        </w:rPr>
        <w:t>3</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1</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2</w:t>
      </w:r>
      <w:r>
        <w:rPr>
          <w:rStyle w:val="38"/>
          <w:rFonts w:cs="Times New Roman"/>
          <w:color w:val="000000" w:themeColor="text1"/>
          <w14:textFill>
            <w14:solidFill>
              <w14:schemeClr w14:val="tx1"/>
            </w14:solidFill>
          </w14:textFill>
        </w:rPr>
        <w:t xml:space="preserve">  </w:t>
      </w:r>
      <w:r>
        <w:rPr>
          <w:rStyle w:val="38"/>
          <w:rFonts w:cs="Times New Roman"/>
          <w:color w:val="000000" w:themeColor="text1"/>
          <w:sz w:val="32"/>
          <w:szCs w:val="32"/>
          <w14:textFill>
            <w14:solidFill>
              <w14:schemeClr w14:val="tx1"/>
            </w14:solidFill>
          </w14:textFill>
        </w:rPr>
        <w:t>转移路线及方式</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镇（区、街道）根据应急避险转移方案组织应急避险工作，并报本级防汛抗旱指挥机构备案。事发地各镇（区、街道）应告知被转移人员灾害的危害性及转移地点和转移方式。按照紧急避险通告或者人员转移指令自行转移有困难的，各镇（区、街道）应当分片有序组织转移，告知被转移人员灾害的危害性及转移地点和转移方式。各镇（区、街道）应当安排救援人员，组织必要的车辆、救生艇</w:t>
      </w:r>
      <w:r>
        <w:rPr>
          <w:rFonts w:hint="eastAsia"/>
          <w:color w:val="000000" w:themeColor="text1"/>
          <w:szCs w:val="32"/>
          <w14:textFill>
            <w14:solidFill>
              <w14:schemeClr w14:val="tx1"/>
            </w14:solidFill>
          </w14:textFill>
        </w:rPr>
        <w:t>、挖掘机</w:t>
      </w:r>
      <w:r>
        <w:rPr>
          <w:color w:val="000000" w:themeColor="text1"/>
          <w:szCs w:val="32"/>
          <w14:textFill>
            <w14:solidFill>
              <w14:schemeClr w14:val="tx1"/>
            </w14:solidFill>
          </w14:textFill>
        </w:rPr>
        <w:t>等交通工具，并妥善安排被转移人员的基本生活。</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各镇（区、街道）应根据洪涝影响范围，在保证转移人员生命安全的道路中选择最佳路线作为避险转移路线，确保转移路线畅通、未处于洪涝影响风险区，如有异常应及时确定新的转移线路。</w:t>
      </w:r>
    </w:p>
    <w:p>
      <w:pPr>
        <w:pageBreakBefore w:val="0"/>
        <w:widowControl w:val="0"/>
        <w:kinsoku/>
        <w:wordWrap/>
        <w:overflowPunct/>
        <w:topLinePunct w:val="0"/>
        <w:autoSpaceDE/>
        <w:autoSpaceDN/>
        <w:bidi w:val="0"/>
        <w:adjustRightInd/>
        <w:snapToGrid/>
        <w:ind w:firstLine="560"/>
        <w:textAlignment w:val="auto"/>
        <w:rPr>
          <w:color w:val="000000" w:themeColor="text1"/>
          <w:szCs w:val="32"/>
          <w14:textFill>
            <w14:solidFill>
              <w14:schemeClr w14:val="tx1"/>
            </w14:solidFill>
          </w14:textFill>
        </w:rPr>
      </w:pPr>
      <w:r>
        <w:rPr>
          <w:rStyle w:val="38"/>
          <w:rFonts w:cs="Times New Roman"/>
          <w:color w:val="000000" w:themeColor="text1"/>
          <w14:textFill>
            <w14:solidFill>
              <w14:schemeClr w14:val="tx1"/>
            </w14:solidFill>
          </w14:textFill>
        </w:rPr>
        <w:t>4.</w:t>
      </w:r>
      <w:r>
        <w:rPr>
          <w:rStyle w:val="38"/>
          <w:rFonts w:hint="eastAsia" w:cs="Times New Roman"/>
          <w:color w:val="000000" w:themeColor="text1"/>
          <w14:textFill>
            <w14:solidFill>
              <w14:schemeClr w14:val="tx1"/>
            </w14:solidFill>
          </w14:textFill>
        </w:rPr>
        <w:t>3</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1</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3</w:t>
      </w:r>
      <w:r>
        <w:rPr>
          <w:rStyle w:val="38"/>
          <w:rFonts w:cs="Times New Roman"/>
          <w:color w:val="000000" w:themeColor="text1"/>
          <w14:textFill>
            <w14:solidFill>
              <w14:schemeClr w14:val="tx1"/>
            </w14:solidFill>
          </w14:textFill>
        </w:rPr>
        <w:t xml:space="preserve">  </w:t>
      </w:r>
      <w:r>
        <w:rPr>
          <w:rStyle w:val="38"/>
          <w:rFonts w:cs="Times New Roman"/>
          <w:color w:val="000000" w:themeColor="text1"/>
          <w:sz w:val="32"/>
          <w:szCs w:val="32"/>
          <w14:textFill>
            <w14:solidFill>
              <w14:schemeClr w14:val="tx1"/>
            </w14:solidFill>
          </w14:textFill>
        </w:rPr>
        <w:t>避险安置点</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太仓城市范围内现状城市避险安置地点主要为党群活动中心、居委会、社区会所、酒店、公寓、学校以及体育场馆等。</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当发生特大暴雨时，按照“优先选择地势高、距离近、容纳人口多的安置场所”原则，优先选择较高等级道路可到达、具有一定基础设施的学校、体育场馆等非露天公共建筑作为安置场所。按照上述原则，对需要转移的居民小区就近匹配转移安置点。同时，突发情况下可以考虑一楼住户向楼上临时紧急避险。</w:t>
      </w:r>
    </w:p>
    <w:p>
      <w:pPr>
        <w:pageBreakBefore w:val="0"/>
        <w:widowControl w:val="0"/>
        <w:kinsoku/>
        <w:wordWrap/>
        <w:overflowPunct/>
        <w:topLinePunct w:val="0"/>
        <w:autoSpaceDE/>
        <w:autoSpaceDN/>
        <w:bidi w:val="0"/>
        <w:adjustRightInd/>
        <w:snapToGrid/>
        <w:ind w:firstLine="560"/>
        <w:textAlignment w:val="auto"/>
        <w:rPr>
          <w:rStyle w:val="38"/>
          <w:rFonts w:cs="Times New Roman"/>
          <w:color w:val="000000" w:themeColor="text1"/>
          <w14:textFill>
            <w14:solidFill>
              <w14:schemeClr w14:val="tx1"/>
            </w14:solidFill>
          </w14:textFill>
        </w:rPr>
      </w:pPr>
      <w:r>
        <w:rPr>
          <w:rStyle w:val="38"/>
          <w:rFonts w:cs="Times New Roman"/>
          <w:color w:val="000000" w:themeColor="text1"/>
          <w14:textFill>
            <w14:solidFill>
              <w14:schemeClr w14:val="tx1"/>
            </w14:solidFill>
          </w14:textFill>
        </w:rPr>
        <w:t>4.</w:t>
      </w:r>
      <w:r>
        <w:rPr>
          <w:rStyle w:val="38"/>
          <w:rFonts w:hint="eastAsia" w:cs="Times New Roman"/>
          <w:color w:val="000000" w:themeColor="text1"/>
          <w14:textFill>
            <w14:solidFill>
              <w14:schemeClr w14:val="tx1"/>
            </w14:solidFill>
          </w14:textFill>
        </w:rPr>
        <w:t>3</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1</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4</w:t>
      </w:r>
      <w:r>
        <w:rPr>
          <w:rStyle w:val="38"/>
          <w:rFonts w:cs="Times New Roman"/>
          <w:color w:val="000000" w:themeColor="text1"/>
          <w:sz w:val="32"/>
          <w:szCs w:val="32"/>
          <w14:textFill>
            <w14:solidFill>
              <w14:schemeClr w14:val="tx1"/>
            </w14:solidFill>
          </w14:textFill>
        </w:rPr>
        <w:t xml:space="preserve"> 转移安置管理</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转移安置管理由镇（区、街道）负责，住建、城管、交运、水务、消防等部门提供运输转移车辆、冲锋舟；发改、商务、应急等部门保障生活物资；公安部门负责转移安置的治安维护工作；卫生部门负责转移人员的医疗救治、疾病控制工作。</w:t>
      </w:r>
    </w:p>
    <w:p>
      <w:pPr>
        <w:pageBreakBefore w:val="0"/>
        <w:widowControl w:val="0"/>
        <w:kinsoku/>
        <w:wordWrap/>
        <w:overflowPunct/>
        <w:topLinePunct w:val="0"/>
        <w:autoSpaceDE/>
        <w:autoSpaceDN/>
        <w:bidi w:val="0"/>
        <w:adjustRightInd/>
        <w:snapToGrid/>
        <w:ind w:firstLine="560"/>
        <w:textAlignment w:val="auto"/>
        <w:rPr>
          <w:rStyle w:val="38"/>
          <w:rFonts w:cs="Times New Roman"/>
          <w:color w:val="000000" w:themeColor="text1"/>
          <w14:textFill>
            <w14:solidFill>
              <w14:schemeClr w14:val="tx1"/>
            </w14:solidFill>
          </w14:textFill>
        </w:rPr>
      </w:pPr>
      <w:r>
        <w:rPr>
          <w:rStyle w:val="38"/>
          <w:rFonts w:cs="Times New Roman"/>
          <w:color w:val="000000" w:themeColor="text1"/>
          <w14:textFill>
            <w14:solidFill>
              <w14:schemeClr w14:val="tx1"/>
            </w14:solidFill>
          </w14:textFill>
        </w:rPr>
        <w:t>4.</w:t>
      </w:r>
      <w:r>
        <w:rPr>
          <w:rStyle w:val="38"/>
          <w:rFonts w:hint="eastAsia" w:cs="Times New Roman"/>
          <w:color w:val="000000" w:themeColor="text1"/>
          <w14:textFill>
            <w14:solidFill>
              <w14:schemeClr w14:val="tx1"/>
            </w14:solidFill>
          </w14:textFill>
        </w:rPr>
        <w:t>3</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1</w:t>
      </w:r>
      <w:r>
        <w:rPr>
          <w:rStyle w:val="38"/>
          <w:rFonts w:cs="Times New Roman"/>
          <w:color w:val="000000" w:themeColor="text1"/>
          <w14:textFill>
            <w14:solidFill>
              <w14:schemeClr w14:val="tx1"/>
            </w14:solidFill>
          </w14:textFill>
        </w:rPr>
        <w:t>.</w:t>
      </w:r>
      <w:r>
        <w:rPr>
          <w:rStyle w:val="38"/>
          <w:rFonts w:hint="eastAsia" w:cs="Times New Roman"/>
          <w:color w:val="000000" w:themeColor="text1"/>
          <w14:textFill>
            <w14:solidFill>
              <w14:schemeClr w14:val="tx1"/>
            </w14:solidFill>
          </w14:textFill>
        </w:rPr>
        <w:t>5</w:t>
      </w:r>
      <w:r>
        <w:rPr>
          <w:rStyle w:val="38"/>
          <w:rFonts w:cs="Times New Roman"/>
          <w:color w:val="000000" w:themeColor="text1"/>
          <w14:textFill>
            <w14:solidFill>
              <w14:schemeClr w14:val="tx1"/>
            </w14:solidFill>
          </w14:textFill>
        </w:rPr>
        <w:t xml:space="preserve">  </w:t>
      </w:r>
      <w:r>
        <w:rPr>
          <w:rStyle w:val="38"/>
          <w:rFonts w:cs="Times New Roman"/>
          <w:color w:val="000000" w:themeColor="text1"/>
          <w:sz w:val="32"/>
          <w:szCs w:val="32"/>
          <w14:textFill>
            <w14:solidFill>
              <w14:schemeClr w14:val="tx1"/>
            </w14:solidFill>
          </w14:textFill>
        </w:rPr>
        <w:t>防返措施</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各区、镇（街道）、社区要加强转移避险人员的安全管理和宣传教育工作，引导群众服从统一安排，稳定安置度过危险期，待警报解除并经转移责任人同意后方可返回。对人员已经转移撤离的危险区域，镇（街道）和社区应采取设置警戒线等措施，并实行24小时动态巡逻巡查。</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4.3.2  重点防护对象和措施</w:t>
      </w:r>
    </w:p>
    <w:p>
      <w:pPr>
        <w:pageBreakBefore w:val="0"/>
        <w:widowControl w:val="0"/>
        <w:kinsoku/>
        <w:wordWrap/>
        <w:overflowPunct/>
        <w:topLinePunct w:val="0"/>
        <w:autoSpaceDE/>
        <w:autoSpaceDN/>
        <w:bidi w:val="0"/>
        <w:adjustRightInd/>
        <w:snapToGrid/>
        <w:ind w:firstLine="560"/>
        <w:textAlignment w:val="auto"/>
        <w:rPr>
          <w:rStyle w:val="38"/>
          <w:rFonts w:cs="Times New Roman"/>
          <w:color w:val="000000" w:themeColor="text1"/>
          <w14:textFill>
            <w14:solidFill>
              <w14:schemeClr w14:val="tx1"/>
            </w14:solidFill>
          </w14:textFill>
        </w:rPr>
      </w:pPr>
      <w:r>
        <w:rPr>
          <w:rStyle w:val="38"/>
          <w:rFonts w:cs="Times New Roman"/>
          <w:color w:val="000000" w:themeColor="text1"/>
          <w14:textFill>
            <w14:solidFill>
              <w14:schemeClr w14:val="tx1"/>
            </w14:solidFill>
          </w14:textFill>
        </w:rPr>
        <w:t xml:space="preserve">4.3.2.1  </w:t>
      </w:r>
      <w:r>
        <w:rPr>
          <w:rStyle w:val="38"/>
          <w:rFonts w:cs="Times New Roman"/>
          <w:color w:val="000000" w:themeColor="text1"/>
          <w:sz w:val="32"/>
          <w:szCs w:val="32"/>
          <w14:textFill>
            <w14:solidFill>
              <w14:schemeClr w14:val="tx1"/>
            </w14:solidFill>
          </w14:textFill>
        </w:rPr>
        <w:t>水利工程</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汛抗旱指挥机构应按照防汛责任制的要求，组织专业防汛队伍24小时不间断巡堤查险，严密布防，全面落实各类水利工程特别是主要防洪控制线及骨干河道堤防、沿线口门建筑物的巡查防守人员，开展不间断拉网式巡查检查，抓早抓小，及时发现及时处置，必要时动用部队、武警参加重要堤段、重点工程的防守或突击抢险。</w:t>
      </w:r>
    </w:p>
    <w:p>
      <w:pPr>
        <w:pStyle w:val="5"/>
        <w:pageBreakBefore w:val="0"/>
        <w:widowControl w:val="0"/>
        <w:kinsoku/>
        <w:wordWrap/>
        <w:overflowPunct/>
        <w:topLinePunct w:val="0"/>
        <w:autoSpaceDE/>
        <w:autoSpaceDN/>
        <w:bidi w:val="0"/>
        <w:adjustRightInd/>
        <w:snapToGrid/>
        <w:ind w:firstLine="640"/>
        <w:textAlignment w:val="auto"/>
        <w:rPr>
          <w:color w:val="000000" w:themeColor="text1"/>
          <w14:textFill>
            <w14:solidFill>
              <w14:schemeClr w14:val="tx1"/>
            </w14:solidFill>
          </w14:textFill>
        </w:rPr>
      </w:pPr>
      <w:r>
        <w:rPr>
          <w:color w:val="000000" w:themeColor="text1"/>
          <w14:textFill>
            <w14:solidFill>
              <w14:schemeClr w14:val="tx1"/>
            </w14:solidFill>
          </w14:textFill>
        </w:rPr>
        <w:t>4.3.2.2  生命线及重点防护对象</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发改部门指导督促属地及人防工程管理单位做好排水防涝安全</w:t>
      </w:r>
      <w:r>
        <w:rPr>
          <w:rFonts w:hint="eastAsia"/>
          <w:color w:val="000000" w:themeColor="text1"/>
          <w:szCs w:val="32"/>
          <w14:textFill>
            <w14:solidFill>
              <w14:schemeClr w14:val="tx1"/>
            </w14:solidFill>
          </w14:textFill>
        </w:rPr>
        <w:t>及</w:t>
      </w:r>
      <w:r>
        <w:rPr>
          <w:color w:val="000000" w:themeColor="text1"/>
          <w:szCs w:val="32"/>
          <w14:textFill>
            <w14:solidFill>
              <w14:schemeClr w14:val="tx1"/>
            </w14:solidFill>
          </w14:textFill>
        </w:rPr>
        <w:t>被困人员的紧急救援工作。库存粮食及其他需要防水的物资快速做出调整计划，转移库存物品，防止雨水侵袭。</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教育部门指导督促学校、幼儿园做好及时停课准备；适时调整上学、放学及休息时间，避免学生在特大暴雨时段上学、放学；各校（园）指派专人负责管理已到校的学生和已入园的幼儿，确保学生安全。</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工信部门指导协调电信运营企业抢险队赶赴受损基站展开抢修；应急通信保障车和抢险车辆随时待命，维护受灾现场通信顺畅；指导电信运营商按要求做好特大暴雨抢险救灾短信全网发布工作。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民政部门组织做好特殊群体临灾转移工作，联动基层民政骨干、网格巡访员等，对独居老人、留守儿童、困难（重度）残疾人等进行入户提醒；督促养老院做好洪水内涝、建筑渗漏等风险隐患排除。</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住建部门组织检查房屋市政施工工地安全生产情况，严格落实施工工地应急排涝责任；督促属地住建部门做好危旧房屋动态监管和危旧房屋应急突发事件的处置工作；指导各级供气站做好安全运行工作。</w:t>
      </w:r>
      <w:r>
        <w:rPr>
          <w:rFonts w:hint="eastAsia"/>
          <w:color w:val="000000" w:themeColor="text1"/>
          <w:szCs w:val="32"/>
          <w14:textFill>
            <w14:solidFill>
              <w14:schemeClr w14:val="tx1"/>
            </w14:solidFill>
          </w14:textFill>
        </w:rPr>
        <w:t xml:space="preserve">指导督促属地及物业服务企业落实地下车库的防淹措施。 </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城管部门指导属地清除堵塞雨水篦子的垃圾杂物，指导属地及时修复因暴雨造成损毁的城市道路、桥梁。</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交通部门会同公安交警部门及时果断采取限速、限流、封道、停运等交通管制；及时转移撤离水域船只、浮码头、浮筒等人员；督促沿线政府会同铁路管养单位加强铁路沿线巡查，及时消除安全隐患；组织、指挥、协调修复因受灾中断的公路、桥梁、隧道、内河航道和其他受损坏的重要交通设施。做好交通下穿应急抢排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水务部门密切关注易涝积水点情况，指导城市排涝工作；因特大暴雨引发供水安全突发事件时，统一调度全市供水企业抢修队伍、物资、装备，支援重点地区应急抢修；及时调度和启用供水互连互通，最大限度满足居民生活用水。</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商务部门督促加油站（点）提前做好设备设施的维护保养和应急物资的储备工作，加强加油站（点）网架罩棚及广告牌的加固排查。指导督促地下商超做好排水防涝安全工作，做好商超被困人员转移工作。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应急部门密切关注危险化学品的安全生产工作，做好停产准备，防止发生危险化学品爆炸、泄露等安全事故及次生灾害。</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供电公司及时关注事故上报情况，迅速调集力量，赶赴事故地点进行抢修；立即进行电力设备和电网运营的安全检查，对低洼地带和抗涝薄弱区的供电设施进行加固、抢险抢修。</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住建、交通、水务等在建工地及时停工，建设单位根据应急避险转移方案做好人员转移撤离工作。属地镇（区、街道）、社区做好服务配合，行业主管部门加强督促指导。</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类室外（露天）临时性经营场所、商业步行街（露天部分）、地下商业综合体做好及时停业准备。商务、文体广旅等部门指导本行业本领域完善停业工作指引，纳入专项预案，各级政府（管委会）和有关部门指导监督各类主体及时停业，并做好滞留人员的疏散转移和安置工作。</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各有关部门、企事业单位等及时停工或调整上下班时间，暂停举办大型户外活动。</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4.3.3  工程调度措施</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各级防办密切关注水情、雨情，统筹流域、区域、城市，坚持洪涝分治，全力保障城市防洪排涝安全。</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（1）沿江口门闸泵联合，全力排水；各船闸（套闸）在确保工程安全的条件下共同参与排涝。</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 xml:space="preserve">（2）报请苏州市防指联合上游区域分洪，减少洪水入境，减轻下游太仓市防洪压力； </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市</w:t>
      </w:r>
      <w:r>
        <w:rPr>
          <w:color w:val="000000" w:themeColor="text1"/>
          <w:szCs w:val="32"/>
          <w14:textFill>
            <w14:solidFill>
              <w14:schemeClr w14:val="tx1"/>
            </w14:solidFill>
          </w14:textFill>
        </w:rPr>
        <w:t>河道处及属地</w:t>
      </w:r>
      <w:r>
        <w:rPr>
          <w:rFonts w:hint="eastAsia"/>
          <w:color w:val="000000" w:themeColor="text1"/>
          <w:szCs w:val="32"/>
          <w14:textFill>
            <w14:solidFill>
              <w14:schemeClr w14:val="tx1"/>
            </w14:solidFill>
          </w14:textFill>
        </w:rPr>
        <w:t>对重点保障区域的</w:t>
      </w:r>
      <w:r>
        <w:rPr>
          <w:color w:val="000000" w:themeColor="text1"/>
          <w:szCs w:val="32"/>
          <w14:textFill>
            <w14:solidFill>
              <w14:schemeClr w14:val="tx1"/>
            </w14:solidFill>
          </w14:textFill>
        </w:rPr>
        <w:t>排涝闸站全力排水，排水过程中加强堤岸巡查，防止发生崩岸坍塌等险情。</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4）按照“农业圩先限排，水面率大调蓄能力强的圩区先限排，圩内无重点防洪对象且经济损失小的圩区先限排”的原则，减轻集中排水对外河的防洪压力，减轻不设防地区因洪致涝压力，避免内外水位差过大造成骨干水利工程溃决导致重大灾情。</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4.3.4  交通临时管制与疏导措施</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隔离下穿通道。各防汛点责任人提前到位，采用隔离栏杆、铁马、警示牌等硬隔离措施，封闭下穿立交、隧道及低洼易涝点，疏导交通，组织撤离人员。</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交通临时管制。做好街面车辆的交通疏导和指引工作，引导车辆就近寻找安全位置后停驶并做好紧急避险；做好城市高架等重要道路的交通管制；做好河湖高水位时限速停航，加强人员转移撤离。</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4.3.5  调用排涝抢险专业队伍</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公安、住建、城管、交</w:t>
      </w:r>
      <w:r>
        <w:rPr>
          <w:rFonts w:hint="eastAsia"/>
          <w:color w:val="000000" w:themeColor="text1"/>
          <w:szCs w:val="32"/>
          <w14:textFill>
            <w14:solidFill>
              <w14:schemeClr w14:val="tx1"/>
            </w14:solidFill>
          </w14:textFill>
        </w:rPr>
        <w:t>运</w:t>
      </w:r>
      <w:r>
        <w:rPr>
          <w:color w:val="000000" w:themeColor="text1"/>
          <w:szCs w:val="32"/>
          <w14:textFill>
            <w14:solidFill>
              <w14:schemeClr w14:val="tx1"/>
            </w14:solidFill>
          </w14:textFill>
        </w:rPr>
        <w:t>、水务、应急、供电、</w:t>
      </w:r>
      <w:r>
        <w:rPr>
          <w:rFonts w:hint="eastAsia"/>
          <w:color w:val="000000" w:themeColor="text1"/>
          <w:szCs w:val="32"/>
          <w14:textFill>
            <w14:solidFill>
              <w14:schemeClr w14:val="tx1"/>
            </w14:solidFill>
          </w14:textFill>
        </w:rPr>
        <w:t>供水、</w:t>
      </w:r>
      <w:r>
        <w:rPr>
          <w:color w:val="000000" w:themeColor="text1"/>
          <w:szCs w:val="32"/>
          <w14:textFill>
            <w14:solidFill>
              <w14:schemeClr w14:val="tx1"/>
            </w14:solidFill>
          </w14:textFill>
        </w:rPr>
        <w:t>消防救援等部门负责调度指挥本行业、本领域的专业抢险救援队伍、社会应急队伍。镇（区、街道）负责调度指挥管辖范围内的基层应急队伍。</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各级防汛抗旱指挥机构根据需要，按有关规定，请求解放军和武警部队协助开展抢险救灾工作。</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4.3.6  调用排涝抢险物资</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汛抗旱指挥机构有权在其管辖范围内调用物资、设备、交通运输工具和人力，事后应及时归还或给予人力补偿。造成损坏或者无法归还的，按照属地政府（管委会）有关规定给予适当补偿或者作其他处理。因抢险需要取占土地、砍伐林木、清除阻水障碍的，任何单位和个人不得阻拦。取土占地、砍伐林木的，在响应结束后依法向有关部门补办手续。</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0" w:name="_Toc169610441"/>
      <w:r>
        <w:rPr>
          <w:color w:val="000000" w:themeColor="text1"/>
          <w14:textFill>
            <w14:solidFill>
              <w14:schemeClr w14:val="tx1"/>
            </w14:solidFill>
          </w14:textFill>
        </w:rPr>
        <w:t>4.</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 xml:space="preserve">  应急响应终止</w:t>
      </w:r>
      <w:bookmarkEnd w:id="30"/>
    </w:p>
    <w:bookmarkEnd w:id="10"/>
    <w:p>
      <w:pPr>
        <w:tabs>
          <w:tab w:val="left" w:pos="891"/>
        </w:tabs>
        <w:ind w:firstLine="640"/>
        <w:rPr>
          <w:color w:val="000000" w:themeColor="text1"/>
          <w:kern w:val="0"/>
          <w:szCs w:val="32"/>
          <w14:textFill>
            <w14:solidFill>
              <w14:schemeClr w14:val="tx1"/>
            </w14:solidFill>
          </w14:textFill>
        </w:rPr>
      </w:pPr>
      <w:bookmarkStart w:id="31" w:name="_Toc99551638"/>
      <w:r>
        <w:rPr>
          <w:rFonts w:hint="eastAsia"/>
          <w:color w:val="000000" w:themeColor="text1"/>
          <w:kern w:val="0"/>
          <w:szCs w:val="32"/>
          <w14:textFill>
            <w14:solidFill>
              <w14:schemeClr w14:val="tx1"/>
            </w14:solidFill>
          </w14:textFill>
        </w:rPr>
        <w:t>当气象部门解除暴雨红色预警信号，灾害得到有效控制或险情基本消除时，由市防指宣布解除应急状态，转入常态管理。</w:t>
      </w:r>
    </w:p>
    <w:p>
      <w:pPr>
        <w:tabs>
          <w:tab w:val="left" w:pos="891"/>
        </w:tabs>
        <w:ind w:firstLine="640"/>
        <w:rPr>
          <w:color w:val="000000" w:themeColor="text1"/>
          <w:kern w:val="0"/>
          <w:szCs w:val="32"/>
          <w14:textFill>
            <w14:solidFill>
              <w14:schemeClr w14:val="tx1"/>
            </w14:solidFill>
          </w14:textFill>
        </w:rPr>
      </w:pPr>
      <w:r>
        <w:rPr>
          <w:rFonts w:hint="eastAsia"/>
          <w:color w:val="000000" w:themeColor="text1"/>
          <w:kern w:val="0"/>
          <w:szCs w:val="32"/>
          <w14:textFill>
            <w14:solidFill>
              <w14:schemeClr w14:val="tx1"/>
            </w14:solidFill>
          </w14:textFill>
        </w:rPr>
        <w:t>紧急处置工作结束后，各级防汛抗旱指挥机构在属地政府（管委会）的领导下，进一步恢复正常生活、生产、工作秩序，修复水毁工程和设施。</w:t>
      </w: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2" w:name="_Toc169610442"/>
      <w:r>
        <w:rPr>
          <w:rFonts w:hint="eastAsia"/>
          <w:color w:val="000000" w:themeColor="text1"/>
          <w14:textFill>
            <w14:solidFill>
              <w14:schemeClr w14:val="tx1"/>
            </w14:solidFill>
          </w14:textFill>
        </w:rPr>
        <w:t>5</w:t>
      </w:r>
      <w:r>
        <w:rPr>
          <w:color w:val="000000" w:themeColor="text1"/>
          <w14:textFill>
            <w14:solidFill>
              <w14:schemeClr w14:val="tx1"/>
            </w14:solidFill>
          </w14:textFill>
        </w:rPr>
        <w:t xml:space="preserve">  保障措施</w:t>
      </w:r>
      <w:bookmarkEnd w:id="31"/>
      <w:bookmarkEnd w:id="32"/>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3" w:name="_Toc169610443"/>
      <w:r>
        <w:rPr>
          <w:rFonts w:hint="eastAsia"/>
          <w:color w:val="000000" w:themeColor="text1"/>
          <w14:textFill>
            <w14:solidFill>
              <w14:schemeClr w14:val="tx1"/>
            </w14:solidFill>
          </w14:textFill>
        </w:rPr>
        <w:t>5</w:t>
      </w:r>
      <w:r>
        <w:rPr>
          <w:color w:val="000000" w:themeColor="text1"/>
          <w14:textFill>
            <w14:solidFill>
              <w14:schemeClr w14:val="tx1"/>
            </w14:solidFill>
          </w14:textFill>
        </w:rPr>
        <w:t>.1  组织保障</w:t>
      </w:r>
      <w:bookmarkEnd w:id="33"/>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建立健全防汛指挥机构，完善组织体系，细化职责分工，建立组织协调、应急联动、信息共享等工作机制。</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4" w:name="_Toc169610444"/>
      <w:r>
        <w:rPr>
          <w:rFonts w:hint="eastAsia"/>
          <w:color w:val="000000" w:themeColor="text1"/>
          <w14:textFill>
            <w14:solidFill>
              <w14:schemeClr w14:val="tx1"/>
            </w14:solidFill>
          </w14:textFill>
        </w:rPr>
        <w:t>5</w:t>
      </w:r>
      <w:r>
        <w:rPr>
          <w:color w:val="000000" w:themeColor="text1"/>
          <w14:textFill>
            <w14:solidFill>
              <w14:schemeClr w14:val="tx1"/>
            </w14:solidFill>
          </w14:textFill>
        </w:rPr>
        <w:t>.2  受困和转移人口保障</w:t>
      </w:r>
      <w:bookmarkEnd w:id="34"/>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人员转移工作由各级党委、政府牵头，各有关部门（单位）协助实施。镇（区、街道）、村（社区）按照应急避险转移方案确定的工作流程、转移路线、安置地点做好人员转移安置工作。切实做到“七有”（有负责领导、有集中安置点位、有应急转移路线、有入户宣传方案、有安置管理机制、有车辆和救灾物资储备、有卫生防疫措施），确保受灾群众基本生活得到保障。</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5" w:name="_Toc169610445"/>
      <w:r>
        <w:rPr>
          <w:rFonts w:hint="eastAsia"/>
          <w:color w:val="000000" w:themeColor="text1"/>
          <w14:textFill>
            <w14:solidFill>
              <w14:schemeClr w14:val="tx1"/>
            </w14:solidFill>
          </w14:textFill>
        </w:rPr>
        <w:t>5</w:t>
      </w:r>
      <w:r>
        <w:rPr>
          <w:color w:val="000000" w:themeColor="text1"/>
          <w14:textFill>
            <w14:solidFill>
              <w14:schemeClr w14:val="tx1"/>
            </w14:solidFill>
          </w14:textFill>
        </w:rPr>
        <w:t>.3  物资与资金保障</w:t>
      </w:r>
      <w:bookmarkEnd w:id="35"/>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完善属地为主、分级分部门负责的防汛抢险救灾物资装备储备体系</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制定物资储备定额标准并足额储备到位。发改、应急、水务等部门按职责分工负责储备排涝抢险救灾物资设备，各相关行业单位应按规范储备排涝专用物资设备，以备抢险急需。生命线工程、重要基础设施、地下空间等应设置挡水设施，备足防汛沙袋。因地制宜研究确定并落实极端情况下所需的抢险救灾物资以及抢险救援使用的移动泵车、大流量高扬程排水车、卫星等保底通信设备、应急发电车、长臂挖掘机、水下救生装备等。遇紧急情况，应提前向城市生命线工程等重要基础设施、重点保护对象和重要风险隐患点前置部署抢险力量和物资装备。</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市、镇两级要加大财政投入力度，落实防汛相关资金，严格资金的使用和管理，保障特大暴雨抢险救灾需要。防汛资金按现行事权、财权划分原则，分级负担。</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6" w:name="_Toc169610446"/>
      <w:r>
        <w:rPr>
          <w:rFonts w:hint="eastAsia"/>
          <w:color w:val="000000" w:themeColor="text1"/>
          <w14:textFill>
            <w14:solidFill>
              <w14:schemeClr w14:val="tx1"/>
            </w14:solidFill>
          </w14:textFill>
        </w:rPr>
        <w:t>5</w:t>
      </w:r>
      <w:r>
        <w:rPr>
          <w:color w:val="000000" w:themeColor="text1"/>
          <w14:textFill>
            <w14:solidFill>
              <w14:schemeClr w14:val="tx1"/>
            </w14:solidFill>
          </w14:textFill>
        </w:rPr>
        <w:t>.4  信息保障</w:t>
      </w:r>
      <w:bookmarkEnd w:id="36"/>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工信部门负责组织、督促基础电信运营企业加强通信、保障系统的维护，确保应急期间的通信畅通，并制定通信系统备用方案和应急处置预案。各级防汛抗旱指挥机构应协调当地通信管理部门，按照特大暴雨防洪避险的实际需要，将有关要求纳入应急处置预案。各级防汛抗旱指挥机构应充分利用公共广播和电视等媒体以及手机短信等发布信息，通知群众快速撤离，确保人民生命财产安全。</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7" w:name="_Toc169610447"/>
      <w:r>
        <w:rPr>
          <w:rFonts w:hint="eastAsia"/>
          <w:color w:val="000000" w:themeColor="text1"/>
          <w14:textFill>
            <w14:solidFill>
              <w14:schemeClr w14:val="tx1"/>
            </w14:solidFill>
          </w14:textFill>
        </w:rPr>
        <w:t>5</w:t>
      </w:r>
      <w:r>
        <w:rPr>
          <w:color w:val="000000" w:themeColor="text1"/>
          <w14:textFill>
            <w14:solidFill>
              <w14:schemeClr w14:val="tx1"/>
            </w14:solidFill>
          </w14:textFill>
        </w:rPr>
        <w:t>.5  交通保障</w:t>
      </w:r>
      <w:bookmarkEnd w:id="37"/>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交运部门负责保障人员转移、物资运输的车辆调配工作，健全运力调用调配和应急绿色通道机制，保证排涝抢险救灾物资运输、人员转移等安全</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公安部门负责保障人员转移、物资运输车辆畅通</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必要时实行交通管制，保障排涝抢险救灾工作顺利进行。各级防指可通过征用社会车辆组建排涝抢险救灾应急车队。</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8" w:name="_Toc169610448"/>
      <w:r>
        <w:rPr>
          <w:rFonts w:hint="eastAsia"/>
          <w:color w:val="000000" w:themeColor="text1"/>
          <w14:textFill>
            <w14:solidFill>
              <w14:schemeClr w14:val="tx1"/>
            </w14:solidFill>
          </w14:textFill>
        </w:rPr>
        <w:t>5</w:t>
      </w:r>
      <w:r>
        <w:rPr>
          <w:color w:val="000000" w:themeColor="text1"/>
          <w14:textFill>
            <w14:solidFill>
              <w14:schemeClr w14:val="tx1"/>
            </w14:solidFill>
          </w14:textFill>
        </w:rPr>
        <w:t>.6  电力保障</w:t>
      </w:r>
      <w:bookmarkEnd w:id="38"/>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供电部门做好排涝抢险救灾供电调度；安排应急维修抢险队伍，对输电故障及时维修；落实应急发电机组，确保排涝抢险救灾现场临时供电。负责人员转移安置点的用电保障。</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39" w:name="_Toc169610449"/>
      <w:r>
        <w:rPr>
          <w:rFonts w:hint="eastAsia"/>
          <w:color w:val="000000" w:themeColor="text1"/>
          <w14:textFill>
            <w14:solidFill>
              <w14:schemeClr w14:val="tx1"/>
            </w14:solidFill>
          </w14:textFill>
        </w:rPr>
        <w:t>5</w:t>
      </w:r>
      <w:r>
        <w:rPr>
          <w:color w:val="000000" w:themeColor="text1"/>
          <w14:textFill>
            <w14:solidFill>
              <w14:schemeClr w14:val="tx1"/>
            </w14:solidFill>
          </w14:textFill>
        </w:rPr>
        <w:t>.7  治安保障</w:t>
      </w:r>
      <w:bookmarkEnd w:id="39"/>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公安部门负责特大暴雨城市防洪避险期间的治安维护工作，依法严厉打击破坏抢险行动和工程设施安全的行为，保证抗灾救灾工作的顺利进行；负责组织抢险、分洪爆破时的戒严、警卫工作，维护灾区的社会治安秩序。</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0" w:name="_Toc169610450"/>
      <w:r>
        <w:rPr>
          <w:rFonts w:hint="eastAsia"/>
          <w:color w:val="000000" w:themeColor="text1"/>
          <w14:textFill>
            <w14:solidFill>
              <w14:schemeClr w14:val="tx1"/>
            </w14:solidFill>
          </w14:textFill>
        </w:rPr>
        <w:t>5</w:t>
      </w:r>
      <w:r>
        <w:rPr>
          <w:color w:val="000000" w:themeColor="text1"/>
          <w14:textFill>
            <w14:solidFill>
              <w14:schemeClr w14:val="tx1"/>
            </w14:solidFill>
          </w14:textFill>
        </w:rPr>
        <w:t>.8  卫生保障</w:t>
      </w:r>
      <w:bookmarkEnd w:id="40"/>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卫生部门加强灾区的疾病和突发公共卫生事件监测、报告工作，落实各项防病措施；及时有效组织卫生队赴灾区开展好伤员救治、巡医问诊和卫生防疫等工作，防止疾病流行。</w:t>
      </w: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1" w:name="_Toc169610451"/>
      <w:r>
        <w:rPr>
          <w:rFonts w:hint="eastAsia"/>
          <w:color w:val="000000" w:themeColor="text1"/>
          <w14:textFill>
            <w14:solidFill>
              <w14:schemeClr w14:val="tx1"/>
            </w14:solidFill>
          </w14:textFill>
        </w:rPr>
        <w:t>6</w:t>
      </w:r>
      <w:r>
        <w:rPr>
          <w:color w:val="000000" w:themeColor="text1"/>
          <w14:textFill>
            <w14:solidFill>
              <w14:schemeClr w14:val="tx1"/>
            </w14:solidFill>
          </w14:textFill>
        </w:rPr>
        <w:t xml:space="preserve">  后期处置</w:t>
      </w:r>
      <w:bookmarkEnd w:id="41"/>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2" w:name="_Toc169610452"/>
      <w:r>
        <w:rPr>
          <w:rFonts w:hint="eastAsia"/>
          <w:color w:val="000000" w:themeColor="text1"/>
          <w14:textFill>
            <w14:solidFill>
              <w14:schemeClr w14:val="tx1"/>
            </w14:solidFill>
          </w14:textFill>
        </w:rPr>
        <w:t>6</w:t>
      </w:r>
      <w:r>
        <w:rPr>
          <w:color w:val="000000" w:themeColor="text1"/>
          <w14:textFill>
            <w14:solidFill>
              <w14:schemeClr w14:val="tx1"/>
            </w14:solidFill>
          </w14:textFill>
        </w:rPr>
        <w:t>.1  灾后救助</w:t>
      </w:r>
      <w:bookmarkEnd w:id="42"/>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灾后救助按照《太仓市自然灾害救助应急预案》执行。特大暴雨灾害发生后，各级财政、相关职能部门按规定及时拨付过渡期生活救助资金。相关政府（管委会</w:t>
      </w:r>
      <w:r>
        <w:rPr>
          <w:color w:val="000000" w:themeColor="text1"/>
          <w14:textFill>
            <w14:solidFill>
              <w14:schemeClr w14:val="tx1"/>
            </w14:solidFill>
          </w14:textFill>
        </w:rPr>
        <w:t>、街道办事处</w:t>
      </w:r>
      <w:r>
        <w:rPr>
          <w:color w:val="000000" w:themeColor="text1"/>
          <w:szCs w:val="32"/>
          <w14:textFill>
            <w14:solidFill>
              <w14:schemeClr w14:val="tx1"/>
            </w14:solidFill>
          </w14:textFill>
        </w:rPr>
        <w:t>）成立救灾指挥部，负责灾害救助的组织、协调和指挥工作。根据救灾工作实际需要，市有关部门和单位派联络员参加指挥部办公室工作。应急部门会同有关方面组织协调紧急转移安置受灾群众、因灾毁损房屋恢复重建补助和受灾群众生活救助。卫生部门负责组织医疗卫生技术力量，抢救因灾伤病人员，对污染源进行消毒处理，防止疫病的传播和蔓延。相关政府（管委会</w:t>
      </w:r>
      <w:r>
        <w:rPr>
          <w:color w:val="000000" w:themeColor="text1"/>
          <w14:textFill>
            <w14:solidFill>
              <w14:schemeClr w14:val="tx1"/>
            </w14:solidFill>
          </w14:textFill>
        </w:rPr>
        <w:t>、街道办事处</w:t>
      </w:r>
      <w:r>
        <w:rPr>
          <w:color w:val="000000" w:themeColor="text1"/>
          <w:szCs w:val="32"/>
          <w14:textFill>
            <w14:solidFill>
              <w14:schemeClr w14:val="tx1"/>
            </w14:solidFill>
          </w14:textFill>
        </w:rPr>
        <w:t>）组织对可能造成环境污染的污染物进行清除。根据救灾工作需要，在行政区域内组织动员社会各界开展救灾捐赠活动，工会、共青团、妇联及慈善团体积极开展捐赠、心理援助等社会救助活动。</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3" w:name="_Toc169610453"/>
      <w:r>
        <w:rPr>
          <w:rFonts w:hint="eastAsia"/>
          <w:color w:val="000000" w:themeColor="text1"/>
          <w14:textFill>
            <w14:solidFill>
              <w14:schemeClr w14:val="tx1"/>
            </w14:solidFill>
          </w14:textFill>
        </w:rPr>
        <w:t>6</w:t>
      </w:r>
      <w:r>
        <w:rPr>
          <w:color w:val="000000" w:themeColor="text1"/>
          <w14:textFill>
            <w14:solidFill>
              <w14:schemeClr w14:val="tx1"/>
            </w14:solidFill>
          </w14:textFill>
        </w:rPr>
        <w:t>.2  总结评估</w:t>
      </w:r>
      <w:bookmarkEnd w:id="43"/>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各级防汛抗旱指挥机构组织开展特大暴雨城市防洪避险工作评估，总结经验教训，提出改进措施建议。</w:t>
      </w:r>
    </w:p>
    <w:p>
      <w:pPr>
        <w:pStyle w:val="2"/>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4" w:name="_Toc169610454"/>
      <w:bookmarkStart w:id="45" w:name="_Toc99551661"/>
      <w:r>
        <w:rPr>
          <w:color w:val="000000" w:themeColor="text1"/>
          <w14:textFill>
            <w14:solidFill>
              <w14:schemeClr w14:val="tx1"/>
            </w14:solidFill>
          </w14:textFill>
        </w:rPr>
        <w:t>7  附则</w:t>
      </w:r>
      <w:bookmarkEnd w:id="44"/>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6" w:name="_Toc169610455"/>
      <w:r>
        <w:rPr>
          <w:color w:val="000000" w:themeColor="text1"/>
          <w14:textFill>
            <w14:solidFill>
              <w14:schemeClr w14:val="tx1"/>
            </w14:solidFill>
          </w14:textFill>
        </w:rPr>
        <w:t>7.1  宣传培训与演练</w:t>
      </w:r>
      <w:bookmarkEnd w:id="46"/>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7.1.1  宣传</w:t>
      </w:r>
    </w:p>
    <w:p>
      <w:pPr>
        <w:ind w:firstLine="640"/>
        <w:rPr>
          <w:color w:val="000000" w:themeColor="text1"/>
          <w14:textFill>
            <w14:solidFill>
              <w14:schemeClr w14:val="tx1"/>
            </w14:solidFill>
          </w14:textFill>
        </w:rPr>
      </w:pPr>
      <w:r>
        <w:rPr>
          <w:color w:val="000000" w:themeColor="text1"/>
          <w14:textFill>
            <w14:solidFill>
              <w14:schemeClr w14:val="tx1"/>
            </w14:solidFill>
          </w14:textFill>
        </w:rPr>
        <w:t>各级防指应通过广播、电视、报纸、网络、手机通信等媒体，开展特大暴雨有关政策、法规以及预防、避险、自救、互救等知识宣传教育。</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7.1.2  培训</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按照分级负责的原则，各级防指积极开展领导干部、防汛管理人员、抢险队伍等防汛知识和技术培训。培训工作可采取多种形式，定期与不定期相结合，每年汛前至少组织一次。</w:t>
      </w:r>
    </w:p>
    <w:p>
      <w:pPr>
        <w:pStyle w:val="4"/>
        <w:keepNext/>
        <w:keepLines/>
        <w:pageBreakBefore w:val="0"/>
        <w:widowControl w:val="0"/>
        <w:kinsoku/>
        <w:wordWrap/>
        <w:overflowPunct/>
        <w:topLinePunct w:val="0"/>
        <w:autoSpaceDE/>
        <w:autoSpaceDN/>
        <w:bidi w:val="0"/>
        <w:adjustRightInd/>
        <w:snapToGrid/>
        <w:ind w:firstLine="643"/>
        <w:textAlignment w:val="auto"/>
        <w:rPr>
          <w:color w:val="000000" w:themeColor="text1"/>
          <w14:textFill>
            <w14:solidFill>
              <w14:schemeClr w14:val="tx1"/>
            </w14:solidFill>
          </w14:textFill>
        </w:rPr>
      </w:pPr>
      <w:r>
        <w:rPr>
          <w:color w:val="000000" w:themeColor="text1"/>
          <w14:textFill>
            <w14:solidFill>
              <w14:schemeClr w14:val="tx1"/>
            </w14:solidFill>
          </w14:textFill>
        </w:rPr>
        <w:t>7.1.3  演练</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市防指各成员单位结合实际，做好本部门、本系统的特大暴雨防洪避险演练工作，特别是人员转移安置演练。专业抢险队伍应针对自身的业务特长和当地易发生的各类险情，有针对性地进行隧道、交通干道等积淹水处置抢险演练。</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7" w:name="_Toc169610456"/>
      <w:r>
        <w:rPr>
          <w:color w:val="000000" w:themeColor="text1"/>
          <w14:textFill>
            <w14:solidFill>
              <w14:schemeClr w14:val="tx1"/>
            </w14:solidFill>
          </w14:textFill>
        </w:rPr>
        <w:t>7.2  预案管理</w:t>
      </w:r>
      <w:bookmarkEnd w:id="47"/>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本预案由市防指牵头负责编制，并按规定报太仓市人民政府批准后实施。</w:t>
      </w:r>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特大暴雨城市防洪避险预案应根据本市实际情况变化适时修订，并按原报批程序报批。</w:t>
      </w:r>
    </w:p>
    <w:p>
      <w:pPr>
        <w:snapToGrid w:val="0"/>
        <w:spacing w:line="600" w:lineRule="exact"/>
        <w:ind w:firstLine="608" w:firstLineChars="19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太仓市特大暴雨城市防洪避险预案为太仓市特大暴雨灾害的市级专项预案，各镇（区、街道）特大暴雨城市防洪避险预案作为本预案的子预案，市防指成员单位要编制部门特大暴雨城市防洪避险预案并作为本预案的分预案。</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8" w:name="_Toc169610457"/>
      <w:r>
        <w:rPr>
          <w:color w:val="000000" w:themeColor="text1"/>
          <w14:textFill>
            <w14:solidFill>
              <w14:schemeClr w14:val="tx1"/>
            </w14:solidFill>
          </w14:textFill>
        </w:rPr>
        <w:t>7.3  预案解释部门</w:t>
      </w:r>
      <w:bookmarkEnd w:id="48"/>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本预案由太仓市防汛抗旱指挥部负责解释。</w:t>
      </w:r>
    </w:p>
    <w:p>
      <w:pPr>
        <w:pStyle w:val="3"/>
        <w:keepNext/>
        <w:keepLines/>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bookmarkStart w:id="49" w:name="_Toc169610458"/>
      <w:r>
        <w:rPr>
          <w:color w:val="000000" w:themeColor="text1"/>
          <w14:textFill>
            <w14:solidFill>
              <w14:schemeClr w14:val="tx1"/>
            </w14:solidFill>
          </w14:textFill>
        </w:rPr>
        <w:t>7.4  预案实施时间</w:t>
      </w:r>
      <w:bookmarkEnd w:id="49"/>
    </w:p>
    <w:p>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本预案自发布之日起施行。</w:t>
      </w:r>
    </w:p>
    <w:bookmarkEnd w:id="45"/>
    <w:p>
      <w:pPr>
        <w:ind w:firstLine="640"/>
        <w:rPr>
          <w:color w:val="000000" w:themeColor="text1"/>
          <w14:textFill>
            <w14:solidFill>
              <w14:schemeClr w14:val="tx1"/>
            </w14:solidFill>
          </w14:textFill>
        </w:rPr>
      </w:pPr>
    </w:p>
    <w:sectPr>
      <w:footerReference r:id="rId11" w:type="default"/>
      <w:pgSz w:w="11906" w:h="16838"/>
      <w:pgMar w:top="1418" w:right="1418" w:bottom="1418" w:left="1418" w:header="363" w:footer="703" w:gutter="0"/>
      <w:pgNumType w:fmt="numberInDash" w:start="1"/>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rPr>
      <w:id w:val="-977916768"/>
    </w:sdtPr>
    <w:sdtEndPr>
      <w:rPr>
        <w:sz w:val="24"/>
      </w:rPr>
    </w:sdtEndPr>
    <w:sdtContent>
      <w:p>
        <w:pPr>
          <w:pStyle w:val="17"/>
          <w:ind w:firstLine="0" w:firstLineChars="0"/>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1 -</w:t>
        </w:r>
        <w:r>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34679"/>
    <w:multiLevelType w:val="multilevel"/>
    <w:tmpl w:val="45A34679"/>
    <w:lvl w:ilvl="0" w:tentative="0">
      <w:start w:val="1"/>
      <w:numFmt w:val="decimal"/>
      <w:lvlText w:val="%1"/>
      <w:lvlJc w:val="center"/>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Restart w:val="2"/>
      <w:lvlText w:val="表%1.%2-%5  "/>
      <w:lvlJc w:val="center"/>
      <w:pPr>
        <w:ind w:left="0" w:firstLine="288"/>
      </w:pPr>
      <w:rPr>
        <w:rFonts w:hint="eastAsia"/>
      </w:rPr>
    </w:lvl>
    <w:lvl w:ilvl="5" w:tentative="0">
      <w:start w:val="1"/>
      <w:numFmt w:val="decimal"/>
      <w:lvlRestart w:val="2"/>
      <w:pStyle w:val="46"/>
      <w:lvlText w:val="图%1.%2-%6  "/>
      <w:lvlJc w:val="center"/>
      <w:pPr>
        <w:ind w:left="0" w:firstLine="288"/>
      </w:pPr>
      <w:rPr>
        <w:rFonts w:hint="eastAsia"/>
        <w:b w:val="0"/>
        <w:bCs w:val="0"/>
        <w:i w:val="0"/>
        <w:iCs w:val="0"/>
        <w:caps w:val="0"/>
        <w:smallCaps w:val="0"/>
        <w:strike w:val="0"/>
        <w:dstrike w:val="0"/>
        <w:vanish w:val="0"/>
        <w:spacing w:val="0"/>
        <w:kern w:val="0"/>
        <w:position w:val="0"/>
        <w:u w:val="none"/>
        <w:vertAlign w:val="baseline"/>
      </w:rPr>
    </w:lvl>
    <w:lvl w:ilvl="6" w:tentative="0">
      <w:start w:val="1"/>
      <w:numFmt w:val="decimal"/>
      <w:lvlRestart w:val="2"/>
      <w:lvlText w:val="%1.%2.%3.%4.%5.%6.%7."/>
      <w:lvlJc w:val="left"/>
      <w:pPr>
        <w:ind w:left="0" w:firstLine="0"/>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N2ExZDg0N2U1NmQ0OTg3NDIzODdmNTIyYzk4MDYifQ=="/>
  </w:docVars>
  <w:rsids>
    <w:rsidRoot w:val="002C4385"/>
    <w:rsid w:val="000003B5"/>
    <w:rsid w:val="000010FE"/>
    <w:rsid w:val="0000142B"/>
    <w:rsid w:val="00001BCE"/>
    <w:rsid w:val="00002BBE"/>
    <w:rsid w:val="00002F56"/>
    <w:rsid w:val="0000312F"/>
    <w:rsid w:val="00003459"/>
    <w:rsid w:val="0000351B"/>
    <w:rsid w:val="00003591"/>
    <w:rsid w:val="00004302"/>
    <w:rsid w:val="000045E7"/>
    <w:rsid w:val="00004695"/>
    <w:rsid w:val="00004A57"/>
    <w:rsid w:val="00004AF6"/>
    <w:rsid w:val="00004CA9"/>
    <w:rsid w:val="00004F77"/>
    <w:rsid w:val="00005184"/>
    <w:rsid w:val="00005241"/>
    <w:rsid w:val="00005B41"/>
    <w:rsid w:val="00005DCA"/>
    <w:rsid w:val="00005E67"/>
    <w:rsid w:val="00005F31"/>
    <w:rsid w:val="0000668C"/>
    <w:rsid w:val="00006C46"/>
    <w:rsid w:val="00006D44"/>
    <w:rsid w:val="00006F0C"/>
    <w:rsid w:val="00007297"/>
    <w:rsid w:val="00010235"/>
    <w:rsid w:val="00010450"/>
    <w:rsid w:val="0001063A"/>
    <w:rsid w:val="00010C3E"/>
    <w:rsid w:val="00011D7F"/>
    <w:rsid w:val="0001208D"/>
    <w:rsid w:val="00012547"/>
    <w:rsid w:val="000129B5"/>
    <w:rsid w:val="0001314C"/>
    <w:rsid w:val="00013806"/>
    <w:rsid w:val="000140A6"/>
    <w:rsid w:val="00014135"/>
    <w:rsid w:val="000144D7"/>
    <w:rsid w:val="0001461A"/>
    <w:rsid w:val="00014B3F"/>
    <w:rsid w:val="00015007"/>
    <w:rsid w:val="00016C6A"/>
    <w:rsid w:val="00017968"/>
    <w:rsid w:val="00017ABC"/>
    <w:rsid w:val="00017DD7"/>
    <w:rsid w:val="00020976"/>
    <w:rsid w:val="00021391"/>
    <w:rsid w:val="00021734"/>
    <w:rsid w:val="00022243"/>
    <w:rsid w:val="000222BC"/>
    <w:rsid w:val="000226DC"/>
    <w:rsid w:val="00022817"/>
    <w:rsid w:val="000228E7"/>
    <w:rsid w:val="00022B1E"/>
    <w:rsid w:val="0002308A"/>
    <w:rsid w:val="00023842"/>
    <w:rsid w:val="00023BC4"/>
    <w:rsid w:val="00024333"/>
    <w:rsid w:val="00025358"/>
    <w:rsid w:val="00025871"/>
    <w:rsid w:val="00025BD7"/>
    <w:rsid w:val="00025C0A"/>
    <w:rsid w:val="00026B8F"/>
    <w:rsid w:val="00027017"/>
    <w:rsid w:val="00027894"/>
    <w:rsid w:val="00027B38"/>
    <w:rsid w:val="00027DC7"/>
    <w:rsid w:val="000312EE"/>
    <w:rsid w:val="00031747"/>
    <w:rsid w:val="0003249D"/>
    <w:rsid w:val="0003421F"/>
    <w:rsid w:val="000348EB"/>
    <w:rsid w:val="00034DAD"/>
    <w:rsid w:val="000355A3"/>
    <w:rsid w:val="00035631"/>
    <w:rsid w:val="0003576A"/>
    <w:rsid w:val="000360B3"/>
    <w:rsid w:val="000360E8"/>
    <w:rsid w:val="000363BC"/>
    <w:rsid w:val="000363FE"/>
    <w:rsid w:val="0003656E"/>
    <w:rsid w:val="00037119"/>
    <w:rsid w:val="00037991"/>
    <w:rsid w:val="000406A6"/>
    <w:rsid w:val="00040C6C"/>
    <w:rsid w:val="0004181B"/>
    <w:rsid w:val="00041B05"/>
    <w:rsid w:val="00042103"/>
    <w:rsid w:val="000424C7"/>
    <w:rsid w:val="00042B09"/>
    <w:rsid w:val="00042D8F"/>
    <w:rsid w:val="00043177"/>
    <w:rsid w:val="000433F2"/>
    <w:rsid w:val="000436E2"/>
    <w:rsid w:val="00044582"/>
    <w:rsid w:val="00044C3B"/>
    <w:rsid w:val="00044F9E"/>
    <w:rsid w:val="000464F6"/>
    <w:rsid w:val="0005023B"/>
    <w:rsid w:val="00050373"/>
    <w:rsid w:val="000505D1"/>
    <w:rsid w:val="000517BE"/>
    <w:rsid w:val="000529FE"/>
    <w:rsid w:val="000534AE"/>
    <w:rsid w:val="000534C0"/>
    <w:rsid w:val="0005419D"/>
    <w:rsid w:val="00054490"/>
    <w:rsid w:val="00054CFC"/>
    <w:rsid w:val="00055E37"/>
    <w:rsid w:val="00055F8F"/>
    <w:rsid w:val="00056016"/>
    <w:rsid w:val="000561E1"/>
    <w:rsid w:val="00056F98"/>
    <w:rsid w:val="00057287"/>
    <w:rsid w:val="000576F8"/>
    <w:rsid w:val="00057A0F"/>
    <w:rsid w:val="00060532"/>
    <w:rsid w:val="00061715"/>
    <w:rsid w:val="00061A1A"/>
    <w:rsid w:val="00061D83"/>
    <w:rsid w:val="00062284"/>
    <w:rsid w:val="0006251F"/>
    <w:rsid w:val="000627EE"/>
    <w:rsid w:val="00062A51"/>
    <w:rsid w:val="000631EF"/>
    <w:rsid w:val="00063AD3"/>
    <w:rsid w:val="00064504"/>
    <w:rsid w:val="00064588"/>
    <w:rsid w:val="00065864"/>
    <w:rsid w:val="00065EB9"/>
    <w:rsid w:val="00066106"/>
    <w:rsid w:val="000669AF"/>
    <w:rsid w:val="00066A5A"/>
    <w:rsid w:val="00066A73"/>
    <w:rsid w:val="00067266"/>
    <w:rsid w:val="000674CB"/>
    <w:rsid w:val="000675A5"/>
    <w:rsid w:val="0007012D"/>
    <w:rsid w:val="00071142"/>
    <w:rsid w:val="00071A59"/>
    <w:rsid w:val="00071BCC"/>
    <w:rsid w:val="00071EC0"/>
    <w:rsid w:val="00072F3F"/>
    <w:rsid w:val="00073948"/>
    <w:rsid w:val="00073A08"/>
    <w:rsid w:val="00073CE1"/>
    <w:rsid w:val="000748C3"/>
    <w:rsid w:val="00074BAD"/>
    <w:rsid w:val="00074D9C"/>
    <w:rsid w:val="00075235"/>
    <w:rsid w:val="00077142"/>
    <w:rsid w:val="000771BF"/>
    <w:rsid w:val="000775CD"/>
    <w:rsid w:val="00077833"/>
    <w:rsid w:val="00077939"/>
    <w:rsid w:val="00077E12"/>
    <w:rsid w:val="00080A2D"/>
    <w:rsid w:val="00080AEB"/>
    <w:rsid w:val="0008111F"/>
    <w:rsid w:val="00081286"/>
    <w:rsid w:val="000816D5"/>
    <w:rsid w:val="00081F4F"/>
    <w:rsid w:val="00082309"/>
    <w:rsid w:val="0008250C"/>
    <w:rsid w:val="0008283B"/>
    <w:rsid w:val="00082BE0"/>
    <w:rsid w:val="00082FEB"/>
    <w:rsid w:val="00083261"/>
    <w:rsid w:val="0008439C"/>
    <w:rsid w:val="00084897"/>
    <w:rsid w:val="00084EF6"/>
    <w:rsid w:val="0008514B"/>
    <w:rsid w:val="000861FC"/>
    <w:rsid w:val="000869F0"/>
    <w:rsid w:val="000900C5"/>
    <w:rsid w:val="0009040C"/>
    <w:rsid w:val="00090D26"/>
    <w:rsid w:val="0009157C"/>
    <w:rsid w:val="0009161A"/>
    <w:rsid w:val="00091655"/>
    <w:rsid w:val="00091808"/>
    <w:rsid w:val="00091CDA"/>
    <w:rsid w:val="00091D3B"/>
    <w:rsid w:val="000936A4"/>
    <w:rsid w:val="000936EA"/>
    <w:rsid w:val="00093937"/>
    <w:rsid w:val="00093DF8"/>
    <w:rsid w:val="00094752"/>
    <w:rsid w:val="000959ED"/>
    <w:rsid w:val="00095AB1"/>
    <w:rsid w:val="0009731E"/>
    <w:rsid w:val="0009766C"/>
    <w:rsid w:val="000A056E"/>
    <w:rsid w:val="000A1B0D"/>
    <w:rsid w:val="000A1DA8"/>
    <w:rsid w:val="000A2044"/>
    <w:rsid w:val="000A2306"/>
    <w:rsid w:val="000A2B22"/>
    <w:rsid w:val="000A2C08"/>
    <w:rsid w:val="000A2F2C"/>
    <w:rsid w:val="000A33DD"/>
    <w:rsid w:val="000A3DE2"/>
    <w:rsid w:val="000A403F"/>
    <w:rsid w:val="000A445C"/>
    <w:rsid w:val="000A4981"/>
    <w:rsid w:val="000A56F4"/>
    <w:rsid w:val="000A6347"/>
    <w:rsid w:val="000A63B5"/>
    <w:rsid w:val="000A7123"/>
    <w:rsid w:val="000A7159"/>
    <w:rsid w:val="000A76B5"/>
    <w:rsid w:val="000B0DFA"/>
    <w:rsid w:val="000B11FD"/>
    <w:rsid w:val="000B1967"/>
    <w:rsid w:val="000B2315"/>
    <w:rsid w:val="000B2719"/>
    <w:rsid w:val="000B2BCA"/>
    <w:rsid w:val="000B2C4C"/>
    <w:rsid w:val="000B369D"/>
    <w:rsid w:val="000B387B"/>
    <w:rsid w:val="000B3BAB"/>
    <w:rsid w:val="000B4FF5"/>
    <w:rsid w:val="000B5114"/>
    <w:rsid w:val="000B579C"/>
    <w:rsid w:val="000B57CB"/>
    <w:rsid w:val="000B6918"/>
    <w:rsid w:val="000B798D"/>
    <w:rsid w:val="000C0C1C"/>
    <w:rsid w:val="000C1B7D"/>
    <w:rsid w:val="000C2318"/>
    <w:rsid w:val="000C232D"/>
    <w:rsid w:val="000C244E"/>
    <w:rsid w:val="000C2468"/>
    <w:rsid w:val="000C35EB"/>
    <w:rsid w:val="000C3653"/>
    <w:rsid w:val="000C3BC9"/>
    <w:rsid w:val="000C57F1"/>
    <w:rsid w:val="000C57F4"/>
    <w:rsid w:val="000C6B11"/>
    <w:rsid w:val="000C7B0C"/>
    <w:rsid w:val="000D05EF"/>
    <w:rsid w:val="000D07C0"/>
    <w:rsid w:val="000D0B58"/>
    <w:rsid w:val="000D0CC6"/>
    <w:rsid w:val="000D1171"/>
    <w:rsid w:val="000D11C0"/>
    <w:rsid w:val="000D11E7"/>
    <w:rsid w:val="000D13F5"/>
    <w:rsid w:val="000D1DBE"/>
    <w:rsid w:val="000D2296"/>
    <w:rsid w:val="000D271F"/>
    <w:rsid w:val="000D2EC7"/>
    <w:rsid w:val="000D3007"/>
    <w:rsid w:val="000D330C"/>
    <w:rsid w:val="000D3D76"/>
    <w:rsid w:val="000D3E1D"/>
    <w:rsid w:val="000D5431"/>
    <w:rsid w:val="000D59A2"/>
    <w:rsid w:val="000D5ACC"/>
    <w:rsid w:val="000D613A"/>
    <w:rsid w:val="000D65DA"/>
    <w:rsid w:val="000D67BF"/>
    <w:rsid w:val="000D773C"/>
    <w:rsid w:val="000D777B"/>
    <w:rsid w:val="000D7E4D"/>
    <w:rsid w:val="000E2918"/>
    <w:rsid w:val="000E31A2"/>
    <w:rsid w:val="000E388F"/>
    <w:rsid w:val="000E4647"/>
    <w:rsid w:val="000E46AC"/>
    <w:rsid w:val="000E5764"/>
    <w:rsid w:val="000E60CC"/>
    <w:rsid w:val="000E6ABD"/>
    <w:rsid w:val="000E6E86"/>
    <w:rsid w:val="000E6E98"/>
    <w:rsid w:val="000E7122"/>
    <w:rsid w:val="000E776F"/>
    <w:rsid w:val="000E7CAE"/>
    <w:rsid w:val="000F0A04"/>
    <w:rsid w:val="000F0E27"/>
    <w:rsid w:val="000F1133"/>
    <w:rsid w:val="000F17C3"/>
    <w:rsid w:val="000F1AC3"/>
    <w:rsid w:val="000F3950"/>
    <w:rsid w:val="000F4B8D"/>
    <w:rsid w:val="000F4C0C"/>
    <w:rsid w:val="000F50D6"/>
    <w:rsid w:val="000F5F82"/>
    <w:rsid w:val="000F6504"/>
    <w:rsid w:val="000F6743"/>
    <w:rsid w:val="000F74DE"/>
    <w:rsid w:val="000F7BDB"/>
    <w:rsid w:val="000F7D30"/>
    <w:rsid w:val="001000AF"/>
    <w:rsid w:val="00100126"/>
    <w:rsid w:val="001001CF"/>
    <w:rsid w:val="00101835"/>
    <w:rsid w:val="00101B69"/>
    <w:rsid w:val="00102590"/>
    <w:rsid w:val="00102727"/>
    <w:rsid w:val="00102C92"/>
    <w:rsid w:val="00102F68"/>
    <w:rsid w:val="00103441"/>
    <w:rsid w:val="001042B7"/>
    <w:rsid w:val="0010436E"/>
    <w:rsid w:val="00104C0A"/>
    <w:rsid w:val="00105227"/>
    <w:rsid w:val="00105C13"/>
    <w:rsid w:val="00106A5A"/>
    <w:rsid w:val="00106D90"/>
    <w:rsid w:val="00107684"/>
    <w:rsid w:val="00107B6B"/>
    <w:rsid w:val="001103D2"/>
    <w:rsid w:val="001110D2"/>
    <w:rsid w:val="00111D58"/>
    <w:rsid w:val="00111FF9"/>
    <w:rsid w:val="00112550"/>
    <w:rsid w:val="00112A1A"/>
    <w:rsid w:val="00112CCB"/>
    <w:rsid w:val="00112E6D"/>
    <w:rsid w:val="00113981"/>
    <w:rsid w:val="00113AB0"/>
    <w:rsid w:val="00113DE2"/>
    <w:rsid w:val="0011450C"/>
    <w:rsid w:val="00114B40"/>
    <w:rsid w:val="00114B6B"/>
    <w:rsid w:val="00115A24"/>
    <w:rsid w:val="00115B36"/>
    <w:rsid w:val="00115C6B"/>
    <w:rsid w:val="00115D0E"/>
    <w:rsid w:val="00117002"/>
    <w:rsid w:val="001171FB"/>
    <w:rsid w:val="001175FC"/>
    <w:rsid w:val="001176A9"/>
    <w:rsid w:val="00121139"/>
    <w:rsid w:val="00122196"/>
    <w:rsid w:val="00122240"/>
    <w:rsid w:val="0012243B"/>
    <w:rsid w:val="00122A1A"/>
    <w:rsid w:val="00122BAB"/>
    <w:rsid w:val="00122FAB"/>
    <w:rsid w:val="00123E92"/>
    <w:rsid w:val="0012418C"/>
    <w:rsid w:val="001243CE"/>
    <w:rsid w:val="00124B3A"/>
    <w:rsid w:val="00124DEE"/>
    <w:rsid w:val="00125370"/>
    <w:rsid w:val="00125C71"/>
    <w:rsid w:val="00125E17"/>
    <w:rsid w:val="00127551"/>
    <w:rsid w:val="00127771"/>
    <w:rsid w:val="00127B93"/>
    <w:rsid w:val="00130354"/>
    <w:rsid w:val="00131DF7"/>
    <w:rsid w:val="00132776"/>
    <w:rsid w:val="00132D53"/>
    <w:rsid w:val="00133026"/>
    <w:rsid w:val="001334E6"/>
    <w:rsid w:val="00133757"/>
    <w:rsid w:val="0013394D"/>
    <w:rsid w:val="001340BD"/>
    <w:rsid w:val="00134397"/>
    <w:rsid w:val="00134575"/>
    <w:rsid w:val="001349F2"/>
    <w:rsid w:val="00135273"/>
    <w:rsid w:val="00135298"/>
    <w:rsid w:val="00135849"/>
    <w:rsid w:val="00135EFF"/>
    <w:rsid w:val="001365C2"/>
    <w:rsid w:val="001367D9"/>
    <w:rsid w:val="001369F4"/>
    <w:rsid w:val="00136BBB"/>
    <w:rsid w:val="001374B9"/>
    <w:rsid w:val="00140382"/>
    <w:rsid w:val="001408EE"/>
    <w:rsid w:val="00140C60"/>
    <w:rsid w:val="00140D7A"/>
    <w:rsid w:val="001422E2"/>
    <w:rsid w:val="00142F4F"/>
    <w:rsid w:val="00142F7E"/>
    <w:rsid w:val="00143660"/>
    <w:rsid w:val="00145082"/>
    <w:rsid w:val="00145620"/>
    <w:rsid w:val="0014762D"/>
    <w:rsid w:val="00147950"/>
    <w:rsid w:val="001504F5"/>
    <w:rsid w:val="00150EF0"/>
    <w:rsid w:val="0015125F"/>
    <w:rsid w:val="0015131B"/>
    <w:rsid w:val="001513AA"/>
    <w:rsid w:val="00152809"/>
    <w:rsid w:val="00152A40"/>
    <w:rsid w:val="00153679"/>
    <w:rsid w:val="00153F8A"/>
    <w:rsid w:val="001550AD"/>
    <w:rsid w:val="00156EB7"/>
    <w:rsid w:val="00157A61"/>
    <w:rsid w:val="00157AEA"/>
    <w:rsid w:val="001601D2"/>
    <w:rsid w:val="001601F7"/>
    <w:rsid w:val="001603A7"/>
    <w:rsid w:val="00160F7F"/>
    <w:rsid w:val="001611BF"/>
    <w:rsid w:val="001616BD"/>
    <w:rsid w:val="00162860"/>
    <w:rsid w:val="00162E5E"/>
    <w:rsid w:val="00162FAA"/>
    <w:rsid w:val="001633C2"/>
    <w:rsid w:val="00163986"/>
    <w:rsid w:val="00164AF4"/>
    <w:rsid w:val="00165B86"/>
    <w:rsid w:val="00165DA7"/>
    <w:rsid w:val="00165F95"/>
    <w:rsid w:val="00166AFF"/>
    <w:rsid w:val="00166D61"/>
    <w:rsid w:val="00167655"/>
    <w:rsid w:val="00167699"/>
    <w:rsid w:val="00167813"/>
    <w:rsid w:val="00167B70"/>
    <w:rsid w:val="00172689"/>
    <w:rsid w:val="00172D64"/>
    <w:rsid w:val="00173111"/>
    <w:rsid w:val="00173376"/>
    <w:rsid w:val="00173C99"/>
    <w:rsid w:val="00173EC8"/>
    <w:rsid w:val="001744FC"/>
    <w:rsid w:val="00174B5C"/>
    <w:rsid w:val="00175789"/>
    <w:rsid w:val="00175E3A"/>
    <w:rsid w:val="00176416"/>
    <w:rsid w:val="0017647D"/>
    <w:rsid w:val="00176A5F"/>
    <w:rsid w:val="00176AF1"/>
    <w:rsid w:val="00176E5F"/>
    <w:rsid w:val="001802D1"/>
    <w:rsid w:val="001808DB"/>
    <w:rsid w:val="00180A40"/>
    <w:rsid w:val="00181EC3"/>
    <w:rsid w:val="00182006"/>
    <w:rsid w:val="00182180"/>
    <w:rsid w:val="0018278F"/>
    <w:rsid w:val="00182BBD"/>
    <w:rsid w:val="00184357"/>
    <w:rsid w:val="00184D8C"/>
    <w:rsid w:val="00184FA0"/>
    <w:rsid w:val="00185123"/>
    <w:rsid w:val="001852FB"/>
    <w:rsid w:val="00185647"/>
    <w:rsid w:val="0018670C"/>
    <w:rsid w:val="001869FC"/>
    <w:rsid w:val="00186E36"/>
    <w:rsid w:val="001875A7"/>
    <w:rsid w:val="00187B61"/>
    <w:rsid w:val="00187D03"/>
    <w:rsid w:val="00190A80"/>
    <w:rsid w:val="00190C53"/>
    <w:rsid w:val="00190EF1"/>
    <w:rsid w:val="001910F8"/>
    <w:rsid w:val="0019132F"/>
    <w:rsid w:val="00191B29"/>
    <w:rsid w:val="00191E25"/>
    <w:rsid w:val="00191FA2"/>
    <w:rsid w:val="00192545"/>
    <w:rsid w:val="001925F0"/>
    <w:rsid w:val="0019260B"/>
    <w:rsid w:val="001929B2"/>
    <w:rsid w:val="00193E1A"/>
    <w:rsid w:val="00194197"/>
    <w:rsid w:val="00194BD8"/>
    <w:rsid w:val="00194F3F"/>
    <w:rsid w:val="0019508D"/>
    <w:rsid w:val="00195811"/>
    <w:rsid w:val="0019597C"/>
    <w:rsid w:val="00195C9B"/>
    <w:rsid w:val="00195E1B"/>
    <w:rsid w:val="0019616B"/>
    <w:rsid w:val="00196FCB"/>
    <w:rsid w:val="00197E04"/>
    <w:rsid w:val="00197E7F"/>
    <w:rsid w:val="001A040C"/>
    <w:rsid w:val="001A0564"/>
    <w:rsid w:val="001A05C1"/>
    <w:rsid w:val="001A08F0"/>
    <w:rsid w:val="001A091A"/>
    <w:rsid w:val="001A0BDC"/>
    <w:rsid w:val="001A0BFD"/>
    <w:rsid w:val="001A31D2"/>
    <w:rsid w:val="001A3E32"/>
    <w:rsid w:val="001A4309"/>
    <w:rsid w:val="001A5E15"/>
    <w:rsid w:val="001A665D"/>
    <w:rsid w:val="001A6CE3"/>
    <w:rsid w:val="001A718C"/>
    <w:rsid w:val="001A7295"/>
    <w:rsid w:val="001A76FC"/>
    <w:rsid w:val="001A7F75"/>
    <w:rsid w:val="001B00E1"/>
    <w:rsid w:val="001B0650"/>
    <w:rsid w:val="001B0821"/>
    <w:rsid w:val="001B0E97"/>
    <w:rsid w:val="001B11EB"/>
    <w:rsid w:val="001B1628"/>
    <w:rsid w:val="001B2708"/>
    <w:rsid w:val="001B289C"/>
    <w:rsid w:val="001B2B64"/>
    <w:rsid w:val="001B2C10"/>
    <w:rsid w:val="001B2F71"/>
    <w:rsid w:val="001B3928"/>
    <w:rsid w:val="001B3FE1"/>
    <w:rsid w:val="001B5A2E"/>
    <w:rsid w:val="001B612D"/>
    <w:rsid w:val="001B64BE"/>
    <w:rsid w:val="001B7C86"/>
    <w:rsid w:val="001C001C"/>
    <w:rsid w:val="001C00FF"/>
    <w:rsid w:val="001C09E2"/>
    <w:rsid w:val="001C0F28"/>
    <w:rsid w:val="001C2D00"/>
    <w:rsid w:val="001C350C"/>
    <w:rsid w:val="001C390C"/>
    <w:rsid w:val="001C3D4F"/>
    <w:rsid w:val="001C4114"/>
    <w:rsid w:val="001C4213"/>
    <w:rsid w:val="001C491F"/>
    <w:rsid w:val="001C49FF"/>
    <w:rsid w:val="001C5388"/>
    <w:rsid w:val="001C575B"/>
    <w:rsid w:val="001C67E6"/>
    <w:rsid w:val="001C6AC8"/>
    <w:rsid w:val="001D02E6"/>
    <w:rsid w:val="001D0CF8"/>
    <w:rsid w:val="001D146C"/>
    <w:rsid w:val="001D15C4"/>
    <w:rsid w:val="001D234D"/>
    <w:rsid w:val="001D2460"/>
    <w:rsid w:val="001D29DF"/>
    <w:rsid w:val="001D3A19"/>
    <w:rsid w:val="001D41F4"/>
    <w:rsid w:val="001D4DF7"/>
    <w:rsid w:val="001D5803"/>
    <w:rsid w:val="001D5864"/>
    <w:rsid w:val="001D5B9E"/>
    <w:rsid w:val="001D5E69"/>
    <w:rsid w:val="001D61A3"/>
    <w:rsid w:val="001D65D3"/>
    <w:rsid w:val="001D7767"/>
    <w:rsid w:val="001E0443"/>
    <w:rsid w:val="001E07C0"/>
    <w:rsid w:val="001E1406"/>
    <w:rsid w:val="001E1839"/>
    <w:rsid w:val="001E33A6"/>
    <w:rsid w:val="001E348A"/>
    <w:rsid w:val="001E34F5"/>
    <w:rsid w:val="001E377C"/>
    <w:rsid w:val="001E37A5"/>
    <w:rsid w:val="001E3AE6"/>
    <w:rsid w:val="001E3B8C"/>
    <w:rsid w:val="001E3F2B"/>
    <w:rsid w:val="001E45E9"/>
    <w:rsid w:val="001E4790"/>
    <w:rsid w:val="001E47D7"/>
    <w:rsid w:val="001E4D58"/>
    <w:rsid w:val="001E4E85"/>
    <w:rsid w:val="001E4F30"/>
    <w:rsid w:val="001E5520"/>
    <w:rsid w:val="001F09B0"/>
    <w:rsid w:val="001F0E5F"/>
    <w:rsid w:val="001F1581"/>
    <w:rsid w:val="001F1871"/>
    <w:rsid w:val="001F1E4F"/>
    <w:rsid w:val="001F2061"/>
    <w:rsid w:val="001F21B5"/>
    <w:rsid w:val="001F23E2"/>
    <w:rsid w:val="001F3591"/>
    <w:rsid w:val="001F3BB0"/>
    <w:rsid w:val="001F3F43"/>
    <w:rsid w:val="001F41A0"/>
    <w:rsid w:val="001F4AB5"/>
    <w:rsid w:val="001F4CDB"/>
    <w:rsid w:val="001F53A3"/>
    <w:rsid w:val="001F53F1"/>
    <w:rsid w:val="001F55F4"/>
    <w:rsid w:val="001F5697"/>
    <w:rsid w:val="001F5713"/>
    <w:rsid w:val="001F5747"/>
    <w:rsid w:val="001F64CB"/>
    <w:rsid w:val="001F737D"/>
    <w:rsid w:val="001F744A"/>
    <w:rsid w:val="001F7F29"/>
    <w:rsid w:val="00200F61"/>
    <w:rsid w:val="00201308"/>
    <w:rsid w:val="0020156F"/>
    <w:rsid w:val="00201822"/>
    <w:rsid w:val="00201B50"/>
    <w:rsid w:val="00201C2D"/>
    <w:rsid w:val="00202418"/>
    <w:rsid w:val="002024C8"/>
    <w:rsid w:val="0020289E"/>
    <w:rsid w:val="002029DE"/>
    <w:rsid w:val="00202BBF"/>
    <w:rsid w:val="00202D78"/>
    <w:rsid w:val="00202E29"/>
    <w:rsid w:val="00202F28"/>
    <w:rsid w:val="002032AD"/>
    <w:rsid w:val="00203551"/>
    <w:rsid w:val="002037C0"/>
    <w:rsid w:val="00203F26"/>
    <w:rsid w:val="0020485D"/>
    <w:rsid w:val="00204966"/>
    <w:rsid w:val="00205100"/>
    <w:rsid w:val="00205791"/>
    <w:rsid w:val="00205E6D"/>
    <w:rsid w:val="0020622A"/>
    <w:rsid w:val="00206267"/>
    <w:rsid w:val="0020660E"/>
    <w:rsid w:val="002068B7"/>
    <w:rsid w:val="00206B52"/>
    <w:rsid w:val="00207259"/>
    <w:rsid w:val="00207528"/>
    <w:rsid w:val="0021030B"/>
    <w:rsid w:val="00210363"/>
    <w:rsid w:val="00210C30"/>
    <w:rsid w:val="0021199F"/>
    <w:rsid w:val="00211BCD"/>
    <w:rsid w:val="00212E59"/>
    <w:rsid w:val="002135AF"/>
    <w:rsid w:val="00215294"/>
    <w:rsid w:val="00215296"/>
    <w:rsid w:val="00215EAF"/>
    <w:rsid w:val="00217302"/>
    <w:rsid w:val="002177C6"/>
    <w:rsid w:val="00217A98"/>
    <w:rsid w:val="00217B1E"/>
    <w:rsid w:val="00217B9D"/>
    <w:rsid w:val="002201FC"/>
    <w:rsid w:val="00220382"/>
    <w:rsid w:val="00220A41"/>
    <w:rsid w:val="00220E4B"/>
    <w:rsid w:val="00220F95"/>
    <w:rsid w:val="00221920"/>
    <w:rsid w:val="00221A99"/>
    <w:rsid w:val="0022274A"/>
    <w:rsid w:val="00222B3F"/>
    <w:rsid w:val="002230F8"/>
    <w:rsid w:val="0022374A"/>
    <w:rsid w:val="002237FD"/>
    <w:rsid w:val="00223A6F"/>
    <w:rsid w:val="00223E63"/>
    <w:rsid w:val="002256C6"/>
    <w:rsid w:val="00225E7E"/>
    <w:rsid w:val="00225F02"/>
    <w:rsid w:val="0022658E"/>
    <w:rsid w:val="00226592"/>
    <w:rsid w:val="002265B3"/>
    <w:rsid w:val="002271A5"/>
    <w:rsid w:val="00231532"/>
    <w:rsid w:val="00231F4D"/>
    <w:rsid w:val="00232385"/>
    <w:rsid w:val="00232A43"/>
    <w:rsid w:val="00232B19"/>
    <w:rsid w:val="00232D8B"/>
    <w:rsid w:val="002332FF"/>
    <w:rsid w:val="00234018"/>
    <w:rsid w:val="002342B6"/>
    <w:rsid w:val="00234B59"/>
    <w:rsid w:val="00235357"/>
    <w:rsid w:val="00235870"/>
    <w:rsid w:val="002363BC"/>
    <w:rsid w:val="00236882"/>
    <w:rsid w:val="00236A2A"/>
    <w:rsid w:val="00236D66"/>
    <w:rsid w:val="0023765F"/>
    <w:rsid w:val="0023785B"/>
    <w:rsid w:val="002378BE"/>
    <w:rsid w:val="00237985"/>
    <w:rsid w:val="0024015C"/>
    <w:rsid w:val="002403EF"/>
    <w:rsid w:val="002404A8"/>
    <w:rsid w:val="0024078B"/>
    <w:rsid w:val="0024212A"/>
    <w:rsid w:val="002425D1"/>
    <w:rsid w:val="00242E2F"/>
    <w:rsid w:val="0024315C"/>
    <w:rsid w:val="0024328C"/>
    <w:rsid w:val="002434FE"/>
    <w:rsid w:val="00243938"/>
    <w:rsid w:val="002443FB"/>
    <w:rsid w:val="00244423"/>
    <w:rsid w:val="002444C4"/>
    <w:rsid w:val="00244A70"/>
    <w:rsid w:val="00244C68"/>
    <w:rsid w:val="0024500F"/>
    <w:rsid w:val="00245282"/>
    <w:rsid w:val="00245387"/>
    <w:rsid w:val="00245681"/>
    <w:rsid w:val="002465CD"/>
    <w:rsid w:val="0024670D"/>
    <w:rsid w:val="00246AA0"/>
    <w:rsid w:val="002470A4"/>
    <w:rsid w:val="0024725C"/>
    <w:rsid w:val="00247947"/>
    <w:rsid w:val="00247D1A"/>
    <w:rsid w:val="00247EAE"/>
    <w:rsid w:val="00247FB2"/>
    <w:rsid w:val="002500CE"/>
    <w:rsid w:val="002503F8"/>
    <w:rsid w:val="00251033"/>
    <w:rsid w:val="002512EF"/>
    <w:rsid w:val="00251483"/>
    <w:rsid w:val="00251B3B"/>
    <w:rsid w:val="00251B9E"/>
    <w:rsid w:val="0025219A"/>
    <w:rsid w:val="00253A17"/>
    <w:rsid w:val="00254283"/>
    <w:rsid w:val="00254AAE"/>
    <w:rsid w:val="002550E9"/>
    <w:rsid w:val="002552A5"/>
    <w:rsid w:val="00255A12"/>
    <w:rsid w:val="00255C8E"/>
    <w:rsid w:val="00256D96"/>
    <w:rsid w:val="00257560"/>
    <w:rsid w:val="0025762B"/>
    <w:rsid w:val="0025789A"/>
    <w:rsid w:val="00260907"/>
    <w:rsid w:val="00260B27"/>
    <w:rsid w:val="00261CDE"/>
    <w:rsid w:val="00261EF8"/>
    <w:rsid w:val="002626FF"/>
    <w:rsid w:val="00262BFA"/>
    <w:rsid w:val="00263360"/>
    <w:rsid w:val="00263FFD"/>
    <w:rsid w:val="00264271"/>
    <w:rsid w:val="00264380"/>
    <w:rsid w:val="00265B86"/>
    <w:rsid w:val="00265EFC"/>
    <w:rsid w:val="002663E8"/>
    <w:rsid w:val="002669F5"/>
    <w:rsid w:val="00266FF6"/>
    <w:rsid w:val="00267AB8"/>
    <w:rsid w:val="00267D6D"/>
    <w:rsid w:val="00267F03"/>
    <w:rsid w:val="00270039"/>
    <w:rsid w:val="0027051D"/>
    <w:rsid w:val="00270AD8"/>
    <w:rsid w:val="002719BB"/>
    <w:rsid w:val="00271B22"/>
    <w:rsid w:val="00272A2F"/>
    <w:rsid w:val="002731D5"/>
    <w:rsid w:val="00273280"/>
    <w:rsid w:val="002736E8"/>
    <w:rsid w:val="0027395E"/>
    <w:rsid w:val="00274C90"/>
    <w:rsid w:val="00274E91"/>
    <w:rsid w:val="00274F74"/>
    <w:rsid w:val="002755A5"/>
    <w:rsid w:val="0027576B"/>
    <w:rsid w:val="00276A42"/>
    <w:rsid w:val="00276D50"/>
    <w:rsid w:val="00277120"/>
    <w:rsid w:val="00280482"/>
    <w:rsid w:val="00280EF0"/>
    <w:rsid w:val="002816BB"/>
    <w:rsid w:val="00282964"/>
    <w:rsid w:val="00282AAE"/>
    <w:rsid w:val="00282C6F"/>
    <w:rsid w:val="0028415B"/>
    <w:rsid w:val="00284BAB"/>
    <w:rsid w:val="00285106"/>
    <w:rsid w:val="00285268"/>
    <w:rsid w:val="0028559A"/>
    <w:rsid w:val="002859A7"/>
    <w:rsid w:val="00285A8A"/>
    <w:rsid w:val="0028653F"/>
    <w:rsid w:val="002867C5"/>
    <w:rsid w:val="00286A6D"/>
    <w:rsid w:val="00286C5C"/>
    <w:rsid w:val="00287061"/>
    <w:rsid w:val="00287609"/>
    <w:rsid w:val="002878ED"/>
    <w:rsid w:val="0029082D"/>
    <w:rsid w:val="002916A0"/>
    <w:rsid w:val="00292462"/>
    <w:rsid w:val="00292A42"/>
    <w:rsid w:val="00292EF7"/>
    <w:rsid w:val="0029308E"/>
    <w:rsid w:val="00293210"/>
    <w:rsid w:val="0029378E"/>
    <w:rsid w:val="00293E97"/>
    <w:rsid w:val="00295C66"/>
    <w:rsid w:val="00296723"/>
    <w:rsid w:val="0029692E"/>
    <w:rsid w:val="002969F1"/>
    <w:rsid w:val="00297A4F"/>
    <w:rsid w:val="002A117B"/>
    <w:rsid w:val="002A12DF"/>
    <w:rsid w:val="002A17CA"/>
    <w:rsid w:val="002A201A"/>
    <w:rsid w:val="002A25E3"/>
    <w:rsid w:val="002A2DD6"/>
    <w:rsid w:val="002A2FFE"/>
    <w:rsid w:val="002A504F"/>
    <w:rsid w:val="002A510C"/>
    <w:rsid w:val="002A5227"/>
    <w:rsid w:val="002A58C4"/>
    <w:rsid w:val="002A5C43"/>
    <w:rsid w:val="002A7147"/>
    <w:rsid w:val="002A7241"/>
    <w:rsid w:val="002A767F"/>
    <w:rsid w:val="002A79EC"/>
    <w:rsid w:val="002B02B6"/>
    <w:rsid w:val="002B0390"/>
    <w:rsid w:val="002B0438"/>
    <w:rsid w:val="002B0F36"/>
    <w:rsid w:val="002B1571"/>
    <w:rsid w:val="002B161F"/>
    <w:rsid w:val="002B1BC3"/>
    <w:rsid w:val="002B1C86"/>
    <w:rsid w:val="002B2215"/>
    <w:rsid w:val="002B2588"/>
    <w:rsid w:val="002B2B61"/>
    <w:rsid w:val="002B2F6D"/>
    <w:rsid w:val="002B33DC"/>
    <w:rsid w:val="002B3429"/>
    <w:rsid w:val="002B366D"/>
    <w:rsid w:val="002B38BC"/>
    <w:rsid w:val="002B4017"/>
    <w:rsid w:val="002B435C"/>
    <w:rsid w:val="002B45DC"/>
    <w:rsid w:val="002B4928"/>
    <w:rsid w:val="002B5CB4"/>
    <w:rsid w:val="002B69DE"/>
    <w:rsid w:val="002B7084"/>
    <w:rsid w:val="002B7460"/>
    <w:rsid w:val="002B7CB3"/>
    <w:rsid w:val="002B7FC2"/>
    <w:rsid w:val="002C0615"/>
    <w:rsid w:val="002C0E80"/>
    <w:rsid w:val="002C3679"/>
    <w:rsid w:val="002C3FC7"/>
    <w:rsid w:val="002C4385"/>
    <w:rsid w:val="002C4885"/>
    <w:rsid w:val="002C4ADA"/>
    <w:rsid w:val="002C4E7B"/>
    <w:rsid w:val="002C4FBC"/>
    <w:rsid w:val="002C6100"/>
    <w:rsid w:val="002C6246"/>
    <w:rsid w:val="002C64C3"/>
    <w:rsid w:val="002C6E3A"/>
    <w:rsid w:val="002D03D6"/>
    <w:rsid w:val="002D0E41"/>
    <w:rsid w:val="002D0ED0"/>
    <w:rsid w:val="002D16FD"/>
    <w:rsid w:val="002D23AE"/>
    <w:rsid w:val="002D25A7"/>
    <w:rsid w:val="002D263B"/>
    <w:rsid w:val="002D26F9"/>
    <w:rsid w:val="002D2BF4"/>
    <w:rsid w:val="002D3773"/>
    <w:rsid w:val="002D3AA7"/>
    <w:rsid w:val="002D47DB"/>
    <w:rsid w:val="002D4C58"/>
    <w:rsid w:val="002D4F4A"/>
    <w:rsid w:val="002D5270"/>
    <w:rsid w:val="002D56AD"/>
    <w:rsid w:val="002D577F"/>
    <w:rsid w:val="002D6261"/>
    <w:rsid w:val="002D644F"/>
    <w:rsid w:val="002D6A38"/>
    <w:rsid w:val="002D73A8"/>
    <w:rsid w:val="002E0212"/>
    <w:rsid w:val="002E0313"/>
    <w:rsid w:val="002E098E"/>
    <w:rsid w:val="002E16E8"/>
    <w:rsid w:val="002E1A1A"/>
    <w:rsid w:val="002E1AE4"/>
    <w:rsid w:val="002E23FD"/>
    <w:rsid w:val="002E29C6"/>
    <w:rsid w:val="002E41C5"/>
    <w:rsid w:val="002E4F6F"/>
    <w:rsid w:val="002E593E"/>
    <w:rsid w:val="002E5B7C"/>
    <w:rsid w:val="002E621C"/>
    <w:rsid w:val="002E659B"/>
    <w:rsid w:val="002E667B"/>
    <w:rsid w:val="002E67D4"/>
    <w:rsid w:val="002E77DB"/>
    <w:rsid w:val="002E7C33"/>
    <w:rsid w:val="002F06DB"/>
    <w:rsid w:val="002F0E79"/>
    <w:rsid w:val="002F0F58"/>
    <w:rsid w:val="002F20B2"/>
    <w:rsid w:val="002F2267"/>
    <w:rsid w:val="002F323E"/>
    <w:rsid w:val="002F3499"/>
    <w:rsid w:val="002F372E"/>
    <w:rsid w:val="002F3A45"/>
    <w:rsid w:val="002F4008"/>
    <w:rsid w:val="002F456E"/>
    <w:rsid w:val="002F4F75"/>
    <w:rsid w:val="002F5915"/>
    <w:rsid w:val="002F622A"/>
    <w:rsid w:val="002F68AF"/>
    <w:rsid w:val="002F68D7"/>
    <w:rsid w:val="002F721A"/>
    <w:rsid w:val="002F7559"/>
    <w:rsid w:val="002F779E"/>
    <w:rsid w:val="002F7C22"/>
    <w:rsid w:val="002F7D01"/>
    <w:rsid w:val="002F7D49"/>
    <w:rsid w:val="002F7DF5"/>
    <w:rsid w:val="00300B45"/>
    <w:rsid w:val="00300C2A"/>
    <w:rsid w:val="00300CA3"/>
    <w:rsid w:val="0030116A"/>
    <w:rsid w:val="003019CD"/>
    <w:rsid w:val="00301E4A"/>
    <w:rsid w:val="00301E85"/>
    <w:rsid w:val="00302736"/>
    <w:rsid w:val="00302FFC"/>
    <w:rsid w:val="003032DE"/>
    <w:rsid w:val="00303794"/>
    <w:rsid w:val="00303C36"/>
    <w:rsid w:val="003045B7"/>
    <w:rsid w:val="00304C6E"/>
    <w:rsid w:val="0030543D"/>
    <w:rsid w:val="00305636"/>
    <w:rsid w:val="003059D5"/>
    <w:rsid w:val="00305A29"/>
    <w:rsid w:val="00305CD1"/>
    <w:rsid w:val="003061D1"/>
    <w:rsid w:val="00306A9F"/>
    <w:rsid w:val="003070BB"/>
    <w:rsid w:val="00307259"/>
    <w:rsid w:val="00307C75"/>
    <w:rsid w:val="00310C7C"/>
    <w:rsid w:val="00310CF0"/>
    <w:rsid w:val="00312225"/>
    <w:rsid w:val="0031284E"/>
    <w:rsid w:val="00312AF6"/>
    <w:rsid w:val="00312BBB"/>
    <w:rsid w:val="00312F5E"/>
    <w:rsid w:val="00313494"/>
    <w:rsid w:val="00313B52"/>
    <w:rsid w:val="00314874"/>
    <w:rsid w:val="0031503C"/>
    <w:rsid w:val="00316AFA"/>
    <w:rsid w:val="00316E99"/>
    <w:rsid w:val="003172DE"/>
    <w:rsid w:val="00317897"/>
    <w:rsid w:val="00317EAA"/>
    <w:rsid w:val="00321891"/>
    <w:rsid w:val="00321A3E"/>
    <w:rsid w:val="00321BF1"/>
    <w:rsid w:val="00323A78"/>
    <w:rsid w:val="00323D90"/>
    <w:rsid w:val="00323F6C"/>
    <w:rsid w:val="00324A04"/>
    <w:rsid w:val="00324C29"/>
    <w:rsid w:val="0032538E"/>
    <w:rsid w:val="0032541B"/>
    <w:rsid w:val="00326467"/>
    <w:rsid w:val="003270C1"/>
    <w:rsid w:val="003270E1"/>
    <w:rsid w:val="00327989"/>
    <w:rsid w:val="0033046A"/>
    <w:rsid w:val="00330FC0"/>
    <w:rsid w:val="00331323"/>
    <w:rsid w:val="0033197F"/>
    <w:rsid w:val="0033199C"/>
    <w:rsid w:val="0033206A"/>
    <w:rsid w:val="00332133"/>
    <w:rsid w:val="00332869"/>
    <w:rsid w:val="00332A8C"/>
    <w:rsid w:val="00332D55"/>
    <w:rsid w:val="00332E97"/>
    <w:rsid w:val="00333E45"/>
    <w:rsid w:val="003345D2"/>
    <w:rsid w:val="00336EA8"/>
    <w:rsid w:val="003373E5"/>
    <w:rsid w:val="00337CC3"/>
    <w:rsid w:val="0034033B"/>
    <w:rsid w:val="00340970"/>
    <w:rsid w:val="00340D2D"/>
    <w:rsid w:val="00341215"/>
    <w:rsid w:val="003413DA"/>
    <w:rsid w:val="00341BEA"/>
    <w:rsid w:val="00341C2C"/>
    <w:rsid w:val="00341C77"/>
    <w:rsid w:val="00342A4E"/>
    <w:rsid w:val="00342D75"/>
    <w:rsid w:val="00342FFC"/>
    <w:rsid w:val="003436CB"/>
    <w:rsid w:val="003438AC"/>
    <w:rsid w:val="0034391F"/>
    <w:rsid w:val="00343BBE"/>
    <w:rsid w:val="00344838"/>
    <w:rsid w:val="00344D05"/>
    <w:rsid w:val="00345084"/>
    <w:rsid w:val="003455E5"/>
    <w:rsid w:val="00345C7A"/>
    <w:rsid w:val="00345EF8"/>
    <w:rsid w:val="003467F6"/>
    <w:rsid w:val="0034681B"/>
    <w:rsid w:val="0034757D"/>
    <w:rsid w:val="00350013"/>
    <w:rsid w:val="003501EA"/>
    <w:rsid w:val="00350258"/>
    <w:rsid w:val="00350D42"/>
    <w:rsid w:val="003515E1"/>
    <w:rsid w:val="00351903"/>
    <w:rsid w:val="00351CCF"/>
    <w:rsid w:val="00351F7D"/>
    <w:rsid w:val="00352949"/>
    <w:rsid w:val="003531FF"/>
    <w:rsid w:val="003535D5"/>
    <w:rsid w:val="003537FD"/>
    <w:rsid w:val="00354657"/>
    <w:rsid w:val="00354728"/>
    <w:rsid w:val="00355137"/>
    <w:rsid w:val="00355A2B"/>
    <w:rsid w:val="00355D3B"/>
    <w:rsid w:val="003560EC"/>
    <w:rsid w:val="003568B7"/>
    <w:rsid w:val="00356FDA"/>
    <w:rsid w:val="00360553"/>
    <w:rsid w:val="00362F23"/>
    <w:rsid w:val="003631DC"/>
    <w:rsid w:val="00363361"/>
    <w:rsid w:val="003633EC"/>
    <w:rsid w:val="003637BC"/>
    <w:rsid w:val="00363854"/>
    <w:rsid w:val="00363F46"/>
    <w:rsid w:val="003641E5"/>
    <w:rsid w:val="00364910"/>
    <w:rsid w:val="00365816"/>
    <w:rsid w:val="00366694"/>
    <w:rsid w:val="00366D05"/>
    <w:rsid w:val="00366EB6"/>
    <w:rsid w:val="00366EDF"/>
    <w:rsid w:val="003672FD"/>
    <w:rsid w:val="0036754F"/>
    <w:rsid w:val="00367B69"/>
    <w:rsid w:val="0037003D"/>
    <w:rsid w:val="003701EC"/>
    <w:rsid w:val="003720CE"/>
    <w:rsid w:val="00372A7B"/>
    <w:rsid w:val="00373061"/>
    <w:rsid w:val="0037307C"/>
    <w:rsid w:val="00373607"/>
    <w:rsid w:val="00373771"/>
    <w:rsid w:val="00373AC3"/>
    <w:rsid w:val="00373CCB"/>
    <w:rsid w:val="00373E04"/>
    <w:rsid w:val="0037477E"/>
    <w:rsid w:val="003752F0"/>
    <w:rsid w:val="003752F8"/>
    <w:rsid w:val="00375395"/>
    <w:rsid w:val="00376778"/>
    <w:rsid w:val="00376EA6"/>
    <w:rsid w:val="003779F2"/>
    <w:rsid w:val="00377CA7"/>
    <w:rsid w:val="00377CB0"/>
    <w:rsid w:val="00377EB2"/>
    <w:rsid w:val="00377FC6"/>
    <w:rsid w:val="003801A0"/>
    <w:rsid w:val="003801E7"/>
    <w:rsid w:val="00380A29"/>
    <w:rsid w:val="003813CE"/>
    <w:rsid w:val="003815A1"/>
    <w:rsid w:val="00381D55"/>
    <w:rsid w:val="00381F12"/>
    <w:rsid w:val="00382B08"/>
    <w:rsid w:val="00382B10"/>
    <w:rsid w:val="00383317"/>
    <w:rsid w:val="003836BC"/>
    <w:rsid w:val="00384029"/>
    <w:rsid w:val="003843CB"/>
    <w:rsid w:val="00384818"/>
    <w:rsid w:val="00384974"/>
    <w:rsid w:val="00384BE5"/>
    <w:rsid w:val="00385B85"/>
    <w:rsid w:val="00385C36"/>
    <w:rsid w:val="00386198"/>
    <w:rsid w:val="00386E7D"/>
    <w:rsid w:val="00387540"/>
    <w:rsid w:val="0038787C"/>
    <w:rsid w:val="00387B10"/>
    <w:rsid w:val="00387B6D"/>
    <w:rsid w:val="003900CB"/>
    <w:rsid w:val="003903D6"/>
    <w:rsid w:val="0039045A"/>
    <w:rsid w:val="00391789"/>
    <w:rsid w:val="003918D7"/>
    <w:rsid w:val="00391AA6"/>
    <w:rsid w:val="00391F6E"/>
    <w:rsid w:val="00392140"/>
    <w:rsid w:val="003926D7"/>
    <w:rsid w:val="00392787"/>
    <w:rsid w:val="00394CDF"/>
    <w:rsid w:val="0039577D"/>
    <w:rsid w:val="003960AB"/>
    <w:rsid w:val="0039614F"/>
    <w:rsid w:val="00397D89"/>
    <w:rsid w:val="003A053B"/>
    <w:rsid w:val="003A155E"/>
    <w:rsid w:val="003A173D"/>
    <w:rsid w:val="003A20C8"/>
    <w:rsid w:val="003A213A"/>
    <w:rsid w:val="003A2484"/>
    <w:rsid w:val="003A2EA7"/>
    <w:rsid w:val="003A3158"/>
    <w:rsid w:val="003A349E"/>
    <w:rsid w:val="003A3541"/>
    <w:rsid w:val="003A3E22"/>
    <w:rsid w:val="003A3EC4"/>
    <w:rsid w:val="003A466F"/>
    <w:rsid w:val="003A478F"/>
    <w:rsid w:val="003A47D2"/>
    <w:rsid w:val="003A481A"/>
    <w:rsid w:val="003A4DC7"/>
    <w:rsid w:val="003A4E17"/>
    <w:rsid w:val="003A5813"/>
    <w:rsid w:val="003A5C14"/>
    <w:rsid w:val="003A5F54"/>
    <w:rsid w:val="003A6139"/>
    <w:rsid w:val="003A6F82"/>
    <w:rsid w:val="003A7E94"/>
    <w:rsid w:val="003B063B"/>
    <w:rsid w:val="003B0851"/>
    <w:rsid w:val="003B21A4"/>
    <w:rsid w:val="003B25C5"/>
    <w:rsid w:val="003B25E7"/>
    <w:rsid w:val="003B2686"/>
    <w:rsid w:val="003B2C3F"/>
    <w:rsid w:val="003B2C46"/>
    <w:rsid w:val="003B3063"/>
    <w:rsid w:val="003B3256"/>
    <w:rsid w:val="003B343E"/>
    <w:rsid w:val="003B37AE"/>
    <w:rsid w:val="003B41A6"/>
    <w:rsid w:val="003B4F0A"/>
    <w:rsid w:val="003B52EA"/>
    <w:rsid w:val="003B53D9"/>
    <w:rsid w:val="003B5519"/>
    <w:rsid w:val="003B5EEC"/>
    <w:rsid w:val="003B630D"/>
    <w:rsid w:val="003B6390"/>
    <w:rsid w:val="003B68F0"/>
    <w:rsid w:val="003B6B79"/>
    <w:rsid w:val="003B70CD"/>
    <w:rsid w:val="003C03F0"/>
    <w:rsid w:val="003C04CE"/>
    <w:rsid w:val="003C1E70"/>
    <w:rsid w:val="003C20B9"/>
    <w:rsid w:val="003C295D"/>
    <w:rsid w:val="003C29BA"/>
    <w:rsid w:val="003C2C0C"/>
    <w:rsid w:val="003C3CD9"/>
    <w:rsid w:val="003C4443"/>
    <w:rsid w:val="003C44E5"/>
    <w:rsid w:val="003C4532"/>
    <w:rsid w:val="003C5829"/>
    <w:rsid w:val="003C595E"/>
    <w:rsid w:val="003C633F"/>
    <w:rsid w:val="003C68DD"/>
    <w:rsid w:val="003C69E6"/>
    <w:rsid w:val="003C6FE1"/>
    <w:rsid w:val="003D0332"/>
    <w:rsid w:val="003D095D"/>
    <w:rsid w:val="003D0D66"/>
    <w:rsid w:val="003D11E8"/>
    <w:rsid w:val="003D15A4"/>
    <w:rsid w:val="003D1A29"/>
    <w:rsid w:val="003D1E4E"/>
    <w:rsid w:val="003D2380"/>
    <w:rsid w:val="003D298B"/>
    <w:rsid w:val="003D3369"/>
    <w:rsid w:val="003D36A2"/>
    <w:rsid w:val="003D3B4B"/>
    <w:rsid w:val="003D3BE3"/>
    <w:rsid w:val="003D4325"/>
    <w:rsid w:val="003D447A"/>
    <w:rsid w:val="003D4B64"/>
    <w:rsid w:val="003D4E67"/>
    <w:rsid w:val="003D52E0"/>
    <w:rsid w:val="003D563B"/>
    <w:rsid w:val="003E00CF"/>
    <w:rsid w:val="003E08EE"/>
    <w:rsid w:val="003E0B5E"/>
    <w:rsid w:val="003E10D9"/>
    <w:rsid w:val="003E1376"/>
    <w:rsid w:val="003E16C6"/>
    <w:rsid w:val="003E1FD9"/>
    <w:rsid w:val="003E2579"/>
    <w:rsid w:val="003E3AA9"/>
    <w:rsid w:val="003E3C3D"/>
    <w:rsid w:val="003E3D3A"/>
    <w:rsid w:val="003E3D94"/>
    <w:rsid w:val="003E4A36"/>
    <w:rsid w:val="003E4D8F"/>
    <w:rsid w:val="003E5062"/>
    <w:rsid w:val="003E5207"/>
    <w:rsid w:val="003E5C90"/>
    <w:rsid w:val="003E5C96"/>
    <w:rsid w:val="003E5FDB"/>
    <w:rsid w:val="003E60F5"/>
    <w:rsid w:val="003E702F"/>
    <w:rsid w:val="003E70EA"/>
    <w:rsid w:val="003E77EE"/>
    <w:rsid w:val="003E7B53"/>
    <w:rsid w:val="003E7D5F"/>
    <w:rsid w:val="003F0425"/>
    <w:rsid w:val="003F0A69"/>
    <w:rsid w:val="003F0F37"/>
    <w:rsid w:val="003F1D5C"/>
    <w:rsid w:val="003F26A2"/>
    <w:rsid w:val="003F298A"/>
    <w:rsid w:val="003F3049"/>
    <w:rsid w:val="003F36E3"/>
    <w:rsid w:val="003F3C66"/>
    <w:rsid w:val="003F3D38"/>
    <w:rsid w:val="003F3E0E"/>
    <w:rsid w:val="003F465C"/>
    <w:rsid w:val="003F59CC"/>
    <w:rsid w:val="003F5A0C"/>
    <w:rsid w:val="003F5E48"/>
    <w:rsid w:val="003F5F66"/>
    <w:rsid w:val="003F6F23"/>
    <w:rsid w:val="003F757F"/>
    <w:rsid w:val="00400A50"/>
    <w:rsid w:val="00401CFA"/>
    <w:rsid w:val="00402795"/>
    <w:rsid w:val="004031C5"/>
    <w:rsid w:val="00404153"/>
    <w:rsid w:val="00405A37"/>
    <w:rsid w:val="00405C57"/>
    <w:rsid w:val="004060EC"/>
    <w:rsid w:val="00406150"/>
    <w:rsid w:val="004069EE"/>
    <w:rsid w:val="00407514"/>
    <w:rsid w:val="0040768B"/>
    <w:rsid w:val="004079BC"/>
    <w:rsid w:val="00412478"/>
    <w:rsid w:val="0041249C"/>
    <w:rsid w:val="004140C1"/>
    <w:rsid w:val="0041546B"/>
    <w:rsid w:val="00415F94"/>
    <w:rsid w:val="00416177"/>
    <w:rsid w:val="00416950"/>
    <w:rsid w:val="00416F84"/>
    <w:rsid w:val="004203D9"/>
    <w:rsid w:val="0042093E"/>
    <w:rsid w:val="0042139D"/>
    <w:rsid w:val="004215E4"/>
    <w:rsid w:val="00421835"/>
    <w:rsid w:val="0042185C"/>
    <w:rsid w:val="004222A1"/>
    <w:rsid w:val="004223C1"/>
    <w:rsid w:val="00423888"/>
    <w:rsid w:val="004238BF"/>
    <w:rsid w:val="00423D53"/>
    <w:rsid w:val="004248A2"/>
    <w:rsid w:val="00424AD4"/>
    <w:rsid w:val="004251DD"/>
    <w:rsid w:val="00425229"/>
    <w:rsid w:val="00425A4F"/>
    <w:rsid w:val="00426925"/>
    <w:rsid w:val="00426996"/>
    <w:rsid w:val="00426A21"/>
    <w:rsid w:val="00427263"/>
    <w:rsid w:val="00430006"/>
    <w:rsid w:val="00430A21"/>
    <w:rsid w:val="00431146"/>
    <w:rsid w:val="004312FE"/>
    <w:rsid w:val="00431B64"/>
    <w:rsid w:val="00432025"/>
    <w:rsid w:val="004325C3"/>
    <w:rsid w:val="00432804"/>
    <w:rsid w:val="00433BB0"/>
    <w:rsid w:val="00433D42"/>
    <w:rsid w:val="00434395"/>
    <w:rsid w:val="00434892"/>
    <w:rsid w:val="00436C23"/>
    <w:rsid w:val="0043743B"/>
    <w:rsid w:val="00437F0E"/>
    <w:rsid w:val="0044102E"/>
    <w:rsid w:val="00442BEF"/>
    <w:rsid w:val="00442F59"/>
    <w:rsid w:val="0044318F"/>
    <w:rsid w:val="004439D7"/>
    <w:rsid w:val="00444DC0"/>
    <w:rsid w:val="00444F9A"/>
    <w:rsid w:val="00446D09"/>
    <w:rsid w:val="00446DA8"/>
    <w:rsid w:val="00447253"/>
    <w:rsid w:val="004475C6"/>
    <w:rsid w:val="00450B81"/>
    <w:rsid w:val="00451E87"/>
    <w:rsid w:val="0045273E"/>
    <w:rsid w:val="004529C5"/>
    <w:rsid w:val="0045330D"/>
    <w:rsid w:val="00453BC9"/>
    <w:rsid w:val="00453C16"/>
    <w:rsid w:val="00453CC5"/>
    <w:rsid w:val="0045453F"/>
    <w:rsid w:val="004557E0"/>
    <w:rsid w:val="004558F1"/>
    <w:rsid w:val="00455C2F"/>
    <w:rsid w:val="00455CBD"/>
    <w:rsid w:val="00455EE0"/>
    <w:rsid w:val="00456055"/>
    <w:rsid w:val="00456087"/>
    <w:rsid w:val="004561C4"/>
    <w:rsid w:val="0045657E"/>
    <w:rsid w:val="004602E0"/>
    <w:rsid w:val="004608F7"/>
    <w:rsid w:val="00462547"/>
    <w:rsid w:val="004637F9"/>
    <w:rsid w:val="00463FC8"/>
    <w:rsid w:val="004643D4"/>
    <w:rsid w:val="00464F38"/>
    <w:rsid w:val="004650C2"/>
    <w:rsid w:val="00465A04"/>
    <w:rsid w:val="00465E92"/>
    <w:rsid w:val="00466B6F"/>
    <w:rsid w:val="00467194"/>
    <w:rsid w:val="0046746C"/>
    <w:rsid w:val="00467A8C"/>
    <w:rsid w:val="00467AD2"/>
    <w:rsid w:val="00467E10"/>
    <w:rsid w:val="004700DF"/>
    <w:rsid w:val="00470720"/>
    <w:rsid w:val="0047091C"/>
    <w:rsid w:val="00470BB1"/>
    <w:rsid w:val="00470F41"/>
    <w:rsid w:val="00470FD9"/>
    <w:rsid w:val="0047171B"/>
    <w:rsid w:val="00471DF7"/>
    <w:rsid w:val="00472142"/>
    <w:rsid w:val="004723AE"/>
    <w:rsid w:val="004727A5"/>
    <w:rsid w:val="00472EA7"/>
    <w:rsid w:val="00473569"/>
    <w:rsid w:val="004743D9"/>
    <w:rsid w:val="00474D21"/>
    <w:rsid w:val="00475593"/>
    <w:rsid w:val="00475B73"/>
    <w:rsid w:val="00475ECE"/>
    <w:rsid w:val="00475F7D"/>
    <w:rsid w:val="004766B8"/>
    <w:rsid w:val="00476AE1"/>
    <w:rsid w:val="00476C4E"/>
    <w:rsid w:val="00477353"/>
    <w:rsid w:val="00477504"/>
    <w:rsid w:val="004778CE"/>
    <w:rsid w:val="00477FB9"/>
    <w:rsid w:val="00481316"/>
    <w:rsid w:val="00481B1B"/>
    <w:rsid w:val="00481BBF"/>
    <w:rsid w:val="004826D7"/>
    <w:rsid w:val="00482A34"/>
    <w:rsid w:val="00482A59"/>
    <w:rsid w:val="004832DB"/>
    <w:rsid w:val="004840A0"/>
    <w:rsid w:val="00484186"/>
    <w:rsid w:val="004842DC"/>
    <w:rsid w:val="00484B1C"/>
    <w:rsid w:val="004855C2"/>
    <w:rsid w:val="0048620E"/>
    <w:rsid w:val="00486578"/>
    <w:rsid w:val="00486AC6"/>
    <w:rsid w:val="00486D52"/>
    <w:rsid w:val="00486F06"/>
    <w:rsid w:val="00486FCA"/>
    <w:rsid w:val="00490243"/>
    <w:rsid w:val="00490619"/>
    <w:rsid w:val="00490842"/>
    <w:rsid w:val="004909C5"/>
    <w:rsid w:val="004914A1"/>
    <w:rsid w:val="00491905"/>
    <w:rsid w:val="00491A94"/>
    <w:rsid w:val="00492C58"/>
    <w:rsid w:val="00492D35"/>
    <w:rsid w:val="00493068"/>
    <w:rsid w:val="0049394B"/>
    <w:rsid w:val="00493981"/>
    <w:rsid w:val="00494155"/>
    <w:rsid w:val="004947EB"/>
    <w:rsid w:val="00494E6D"/>
    <w:rsid w:val="00494EE5"/>
    <w:rsid w:val="0049561D"/>
    <w:rsid w:val="00495754"/>
    <w:rsid w:val="00495AD6"/>
    <w:rsid w:val="00496412"/>
    <w:rsid w:val="00496653"/>
    <w:rsid w:val="00496AA5"/>
    <w:rsid w:val="004971BC"/>
    <w:rsid w:val="00497825"/>
    <w:rsid w:val="004A014B"/>
    <w:rsid w:val="004A0187"/>
    <w:rsid w:val="004A02EA"/>
    <w:rsid w:val="004A101B"/>
    <w:rsid w:val="004A15A9"/>
    <w:rsid w:val="004A182F"/>
    <w:rsid w:val="004A19C5"/>
    <w:rsid w:val="004A1F01"/>
    <w:rsid w:val="004A1F1D"/>
    <w:rsid w:val="004A2350"/>
    <w:rsid w:val="004A24F0"/>
    <w:rsid w:val="004A2584"/>
    <w:rsid w:val="004A29CD"/>
    <w:rsid w:val="004A31B9"/>
    <w:rsid w:val="004A32C0"/>
    <w:rsid w:val="004A35A8"/>
    <w:rsid w:val="004A395E"/>
    <w:rsid w:val="004A449E"/>
    <w:rsid w:val="004A46D6"/>
    <w:rsid w:val="004A4931"/>
    <w:rsid w:val="004A4DA7"/>
    <w:rsid w:val="004A4ED1"/>
    <w:rsid w:val="004A5219"/>
    <w:rsid w:val="004A542C"/>
    <w:rsid w:val="004A5618"/>
    <w:rsid w:val="004A5A3F"/>
    <w:rsid w:val="004A5CBA"/>
    <w:rsid w:val="004A6794"/>
    <w:rsid w:val="004A67E7"/>
    <w:rsid w:val="004A6C8C"/>
    <w:rsid w:val="004A6EE1"/>
    <w:rsid w:val="004A7ADB"/>
    <w:rsid w:val="004B16BC"/>
    <w:rsid w:val="004B1DB4"/>
    <w:rsid w:val="004B329E"/>
    <w:rsid w:val="004B3307"/>
    <w:rsid w:val="004B4067"/>
    <w:rsid w:val="004B4317"/>
    <w:rsid w:val="004B47A8"/>
    <w:rsid w:val="004B4981"/>
    <w:rsid w:val="004B6441"/>
    <w:rsid w:val="004B6465"/>
    <w:rsid w:val="004C11FA"/>
    <w:rsid w:val="004C129E"/>
    <w:rsid w:val="004C355F"/>
    <w:rsid w:val="004C3D54"/>
    <w:rsid w:val="004C4E2C"/>
    <w:rsid w:val="004C5AC4"/>
    <w:rsid w:val="004C5FA7"/>
    <w:rsid w:val="004C5FDD"/>
    <w:rsid w:val="004C6231"/>
    <w:rsid w:val="004C6393"/>
    <w:rsid w:val="004C6A5B"/>
    <w:rsid w:val="004C7486"/>
    <w:rsid w:val="004C74F6"/>
    <w:rsid w:val="004D0135"/>
    <w:rsid w:val="004D111F"/>
    <w:rsid w:val="004D141D"/>
    <w:rsid w:val="004D1BF6"/>
    <w:rsid w:val="004D231E"/>
    <w:rsid w:val="004D24C4"/>
    <w:rsid w:val="004D3037"/>
    <w:rsid w:val="004D31C2"/>
    <w:rsid w:val="004D3D4C"/>
    <w:rsid w:val="004D4CF7"/>
    <w:rsid w:val="004D4D84"/>
    <w:rsid w:val="004D4E2F"/>
    <w:rsid w:val="004D6DD9"/>
    <w:rsid w:val="004D7AA6"/>
    <w:rsid w:val="004D7DC0"/>
    <w:rsid w:val="004E0F09"/>
    <w:rsid w:val="004E1F40"/>
    <w:rsid w:val="004E3901"/>
    <w:rsid w:val="004E45C3"/>
    <w:rsid w:val="004E4767"/>
    <w:rsid w:val="004E4BED"/>
    <w:rsid w:val="004E5ABD"/>
    <w:rsid w:val="004E7855"/>
    <w:rsid w:val="004E7871"/>
    <w:rsid w:val="004E7FBB"/>
    <w:rsid w:val="004F0048"/>
    <w:rsid w:val="004F00C1"/>
    <w:rsid w:val="004F00DC"/>
    <w:rsid w:val="004F02E6"/>
    <w:rsid w:val="004F0538"/>
    <w:rsid w:val="004F0791"/>
    <w:rsid w:val="004F08EF"/>
    <w:rsid w:val="004F0A4D"/>
    <w:rsid w:val="004F0C29"/>
    <w:rsid w:val="004F1481"/>
    <w:rsid w:val="004F237F"/>
    <w:rsid w:val="004F34D0"/>
    <w:rsid w:val="004F43CA"/>
    <w:rsid w:val="004F4C96"/>
    <w:rsid w:val="004F4E28"/>
    <w:rsid w:val="004F4FF9"/>
    <w:rsid w:val="004F5141"/>
    <w:rsid w:val="004F5800"/>
    <w:rsid w:val="004F700C"/>
    <w:rsid w:val="004F741D"/>
    <w:rsid w:val="004F7720"/>
    <w:rsid w:val="004F77F6"/>
    <w:rsid w:val="004F7C0D"/>
    <w:rsid w:val="004F7C7A"/>
    <w:rsid w:val="0050090B"/>
    <w:rsid w:val="00500BEB"/>
    <w:rsid w:val="005016C8"/>
    <w:rsid w:val="00501B39"/>
    <w:rsid w:val="00501B94"/>
    <w:rsid w:val="00502096"/>
    <w:rsid w:val="0050263C"/>
    <w:rsid w:val="00503D49"/>
    <w:rsid w:val="00503FFE"/>
    <w:rsid w:val="00504DDF"/>
    <w:rsid w:val="00504E38"/>
    <w:rsid w:val="00504E4C"/>
    <w:rsid w:val="00505823"/>
    <w:rsid w:val="005059F5"/>
    <w:rsid w:val="00505E4C"/>
    <w:rsid w:val="005062E8"/>
    <w:rsid w:val="00506995"/>
    <w:rsid w:val="00507D01"/>
    <w:rsid w:val="00507EFA"/>
    <w:rsid w:val="00510573"/>
    <w:rsid w:val="005109CE"/>
    <w:rsid w:val="005109EE"/>
    <w:rsid w:val="00510B95"/>
    <w:rsid w:val="005113B1"/>
    <w:rsid w:val="00511884"/>
    <w:rsid w:val="00511ED0"/>
    <w:rsid w:val="005126A0"/>
    <w:rsid w:val="00513502"/>
    <w:rsid w:val="00514651"/>
    <w:rsid w:val="005159AF"/>
    <w:rsid w:val="005160AD"/>
    <w:rsid w:val="00516116"/>
    <w:rsid w:val="00516371"/>
    <w:rsid w:val="005163E3"/>
    <w:rsid w:val="00517665"/>
    <w:rsid w:val="005179F2"/>
    <w:rsid w:val="0052022B"/>
    <w:rsid w:val="0052033D"/>
    <w:rsid w:val="005204AA"/>
    <w:rsid w:val="00520DB2"/>
    <w:rsid w:val="00521A54"/>
    <w:rsid w:val="00521D9C"/>
    <w:rsid w:val="00521E43"/>
    <w:rsid w:val="00522078"/>
    <w:rsid w:val="005227D1"/>
    <w:rsid w:val="00522A48"/>
    <w:rsid w:val="005231CA"/>
    <w:rsid w:val="005232E5"/>
    <w:rsid w:val="00523314"/>
    <w:rsid w:val="005236AC"/>
    <w:rsid w:val="00523FD6"/>
    <w:rsid w:val="00524070"/>
    <w:rsid w:val="005241A6"/>
    <w:rsid w:val="005244A9"/>
    <w:rsid w:val="00524A98"/>
    <w:rsid w:val="00524B6A"/>
    <w:rsid w:val="00524D7F"/>
    <w:rsid w:val="0052511C"/>
    <w:rsid w:val="00525975"/>
    <w:rsid w:val="00525F21"/>
    <w:rsid w:val="0052631F"/>
    <w:rsid w:val="00526546"/>
    <w:rsid w:val="0052671E"/>
    <w:rsid w:val="00526ADE"/>
    <w:rsid w:val="00526D8A"/>
    <w:rsid w:val="005271C0"/>
    <w:rsid w:val="0052751E"/>
    <w:rsid w:val="005279F4"/>
    <w:rsid w:val="00527DDA"/>
    <w:rsid w:val="00530CEC"/>
    <w:rsid w:val="00531577"/>
    <w:rsid w:val="00531803"/>
    <w:rsid w:val="00531AE1"/>
    <w:rsid w:val="00531F48"/>
    <w:rsid w:val="00532B27"/>
    <w:rsid w:val="005332E7"/>
    <w:rsid w:val="00533541"/>
    <w:rsid w:val="00533B44"/>
    <w:rsid w:val="00533C2A"/>
    <w:rsid w:val="005340FF"/>
    <w:rsid w:val="0053420C"/>
    <w:rsid w:val="00534406"/>
    <w:rsid w:val="0053463B"/>
    <w:rsid w:val="00534908"/>
    <w:rsid w:val="0053525F"/>
    <w:rsid w:val="005360B5"/>
    <w:rsid w:val="0053669F"/>
    <w:rsid w:val="00536798"/>
    <w:rsid w:val="005367F8"/>
    <w:rsid w:val="005403BD"/>
    <w:rsid w:val="005405A3"/>
    <w:rsid w:val="00540BD6"/>
    <w:rsid w:val="00541397"/>
    <w:rsid w:val="00541667"/>
    <w:rsid w:val="00541E50"/>
    <w:rsid w:val="005427D0"/>
    <w:rsid w:val="00542BAA"/>
    <w:rsid w:val="0054328F"/>
    <w:rsid w:val="0054355C"/>
    <w:rsid w:val="005435AD"/>
    <w:rsid w:val="00543A18"/>
    <w:rsid w:val="00544288"/>
    <w:rsid w:val="00544CD7"/>
    <w:rsid w:val="00545D56"/>
    <w:rsid w:val="00545E65"/>
    <w:rsid w:val="005476BB"/>
    <w:rsid w:val="00547A9A"/>
    <w:rsid w:val="005502B1"/>
    <w:rsid w:val="0055084F"/>
    <w:rsid w:val="00550B3E"/>
    <w:rsid w:val="00551605"/>
    <w:rsid w:val="00553223"/>
    <w:rsid w:val="005535C2"/>
    <w:rsid w:val="005546EB"/>
    <w:rsid w:val="00554738"/>
    <w:rsid w:val="00554A3E"/>
    <w:rsid w:val="00554E83"/>
    <w:rsid w:val="0055548D"/>
    <w:rsid w:val="0055563F"/>
    <w:rsid w:val="00555F5C"/>
    <w:rsid w:val="00556519"/>
    <w:rsid w:val="0056028F"/>
    <w:rsid w:val="00560ABA"/>
    <w:rsid w:val="00560DD5"/>
    <w:rsid w:val="00561498"/>
    <w:rsid w:val="0056296A"/>
    <w:rsid w:val="00562CF6"/>
    <w:rsid w:val="00562F39"/>
    <w:rsid w:val="00563033"/>
    <w:rsid w:val="00563251"/>
    <w:rsid w:val="0056332E"/>
    <w:rsid w:val="005637FF"/>
    <w:rsid w:val="00563D67"/>
    <w:rsid w:val="00564CE2"/>
    <w:rsid w:val="00565F38"/>
    <w:rsid w:val="0056618E"/>
    <w:rsid w:val="0056653D"/>
    <w:rsid w:val="005669C8"/>
    <w:rsid w:val="00566DA0"/>
    <w:rsid w:val="0056728A"/>
    <w:rsid w:val="00567CCB"/>
    <w:rsid w:val="00567F67"/>
    <w:rsid w:val="00570CC7"/>
    <w:rsid w:val="00570D34"/>
    <w:rsid w:val="005719AC"/>
    <w:rsid w:val="005729D4"/>
    <w:rsid w:val="005730CC"/>
    <w:rsid w:val="0057335E"/>
    <w:rsid w:val="00573A8A"/>
    <w:rsid w:val="005743B3"/>
    <w:rsid w:val="005743EE"/>
    <w:rsid w:val="005746CB"/>
    <w:rsid w:val="005749C1"/>
    <w:rsid w:val="005755E8"/>
    <w:rsid w:val="00575DB2"/>
    <w:rsid w:val="00575DF1"/>
    <w:rsid w:val="0057628C"/>
    <w:rsid w:val="00576846"/>
    <w:rsid w:val="005769E0"/>
    <w:rsid w:val="00576EE4"/>
    <w:rsid w:val="005772F9"/>
    <w:rsid w:val="00577C7E"/>
    <w:rsid w:val="00577D1E"/>
    <w:rsid w:val="005802CE"/>
    <w:rsid w:val="005803C4"/>
    <w:rsid w:val="005804CF"/>
    <w:rsid w:val="00580CB3"/>
    <w:rsid w:val="00581A60"/>
    <w:rsid w:val="0058463E"/>
    <w:rsid w:val="0058492C"/>
    <w:rsid w:val="005859D3"/>
    <w:rsid w:val="00585BA5"/>
    <w:rsid w:val="0058657A"/>
    <w:rsid w:val="00586C92"/>
    <w:rsid w:val="005878FF"/>
    <w:rsid w:val="00591091"/>
    <w:rsid w:val="0059141D"/>
    <w:rsid w:val="005914E2"/>
    <w:rsid w:val="00591EA2"/>
    <w:rsid w:val="005920DE"/>
    <w:rsid w:val="00592889"/>
    <w:rsid w:val="00593579"/>
    <w:rsid w:val="0059453C"/>
    <w:rsid w:val="00594864"/>
    <w:rsid w:val="005948C5"/>
    <w:rsid w:val="00594ACD"/>
    <w:rsid w:val="00594D2C"/>
    <w:rsid w:val="00594F6F"/>
    <w:rsid w:val="00595E50"/>
    <w:rsid w:val="00596087"/>
    <w:rsid w:val="00596620"/>
    <w:rsid w:val="005968D3"/>
    <w:rsid w:val="00596AF2"/>
    <w:rsid w:val="00597162"/>
    <w:rsid w:val="005A0110"/>
    <w:rsid w:val="005A1DD1"/>
    <w:rsid w:val="005A2313"/>
    <w:rsid w:val="005A2461"/>
    <w:rsid w:val="005A3233"/>
    <w:rsid w:val="005A38F5"/>
    <w:rsid w:val="005A3B07"/>
    <w:rsid w:val="005A3E0F"/>
    <w:rsid w:val="005A427A"/>
    <w:rsid w:val="005A4515"/>
    <w:rsid w:val="005A45B0"/>
    <w:rsid w:val="005A4C57"/>
    <w:rsid w:val="005A4C66"/>
    <w:rsid w:val="005A5090"/>
    <w:rsid w:val="005A5521"/>
    <w:rsid w:val="005A58A9"/>
    <w:rsid w:val="005A592C"/>
    <w:rsid w:val="005A5A15"/>
    <w:rsid w:val="005A5EFC"/>
    <w:rsid w:val="005A792C"/>
    <w:rsid w:val="005A7B43"/>
    <w:rsid w:val="005B04A5"/>
    <w:rsid w:val="005B0722"/>
    <w:rsid w:val="005B073E"/>
    <w:rsid w:val="005B129B"/>
    <w:rsid w:val="005B1A3C"/>
    <w:rsid w:val="005B2987"/>
    <w:rsid w:val="005B2A44"/>
    <w:rsid w:val="005B2AAA"/>
    <w:rsid w:val="005B2C04"/>
    <w:rsid w:val="005B30B2"/>
    <w:rsid w:val="005B3373"/>
    <w:rsid w:val="005B4125"/>
    <w:rsid w:val="005B4BCF"/>
    <w:rsid w:val="005B4D66"/>
    <w:rsid w:val="005B565D"/>
    <w:rsid w:val="005B587E"/>
    <w:rsid w:val="005B5A17"/>
    <w:rsid w:val="005B5D7A"/>
    <w:rsid w:val="005B6684"/>
    <w:rsid w:val="005B75F7"/>
    <w:rsid w:val="005B7B6E"/>
    <w:rsid w:val="005B7D26"/>
    <w:rsid w:val="005C07CE"/>
    <w:rsid w:val="005C0E6E"/>
    <w:rsid w:val="005C2E10"/>
    <w:rsid w:val="005C3B42"/>
    <w:rsid w:val="005C3C71"/>
    <w:rsid w:val="005C3F25"/>
    <w:rsid w:val="005C4CEA"/>
    <w:rsid w:val="005C4F38"/>
    <w:rsid w:val="005C54ED"/>
    <w:rsid w:val="005C56B7"/>
    <w:rsid w:val="005C69AB"/>
    <w:rsid w:val="005D03FD"/>
    <w:rsid w:val="005D08F6"/>
    <w:rsid w:val="005D161A"/>
    <w:rsid w:val="005D16A0"/>
    <w:rsid w:val="005D18E2"/>
    <w:rsid w:val="005D1B27"/>
    <w:rsid w:val="005D2F8A"/>
    <w:rsid w:val="005D3006"/>
    <w:rsid w:val="005D3888"/>
    <w:rsid w:val="005D40A0"/>
    <w:rsid w:val="005D4F8E"/>
    <w:rsid w:val="005D4FE2"/>
    <w:rsid w:val="005D5683"/>
    <w:rsid w:val="005D5B20"/>
    <w:rsid w:val="005D6263"/>
    <w:rsid w:val="005D66C2"/>
    <w:rsid w:val="005D66F2"/>
    <w:rsid w:val="005D72B6"/>
    <w:rsid w:val="005D77B9"/>
    <w:rsid w:val="005D781E"/>
    <w:rsid w:val="005D7B65"/>
    <w:rsid w:val="005D7F68"/>
    <w:rsid w:val="005E037A"/>
    <w:rsid w:val="005E0AEB"/>
    <w:rsid w:val="005E0B0B"/>
    <w:rsid w:val="005E16C2"/>
    <w:rsid w:val="005E1768"/>
    <w:rsid w:val="005E18E4"/>
    <w:rsid w:val="005E1925"/>
    <w:rsid w:val="005E1932"/>
    <w:rsid w:val="005E1A49"/>
    <w:rsid w:val="005E1AD9"/>
    <w:rsid w:val="005E1C30"/>
    <w:rsid w:val="005E24B5"/>
    <w:rsid w:val="005E2960"/>
    <w:rsid w:val="005E2AC4"/>
    <w:rsid w:val="005E2F11"/>
    <w:rsid w:val="005E379A"/>
    <w:rsid w:val="005E3F27"/>
    <w:rsid w:val="005E3FD5"/>
    <w:rsid w:val="005E4480"/>
    <w:rsid w:val="005E4F90"/>
    <w:rsid w:val="005E5463"/>
    <w:rsid w:val="005E57FD"/>
    <w:rsid w:val="005E58BE"/>
    <w:rsid w:val="005E5C64"/>
    <w:rsid w:val="005E6105"/>
    <w:rsid w:val="005E633A"/>
    <w:rsid w:val="005E6A72"/>
    <w:rsid w:val="005E71E1"/>
    <w:rsid w:val="005E7B29"/>
    <w:rsid w:val="005F029F"/>
    <w:rsid w:val="005F07CA"/>
    <w:rsid w:val="005F07E5"/>
    <w:rsid w:val="005F0A38"/>
    <w:rsid w:val="005F267D"/>
    <w:rsid w:val="005F2FA5"/>
    <w:rsid w:val="005F386A"/>
    <w:rsid w:val="005F3912"/>
    <w:rsid w:val="005F3A54"/>
    <w:rsid w:val="005F3F46"/>
    <w:rsid w:val="005F4116"/>
    <w:rsid w:val="005F411C"/>
    <w:rsid w:val="005F42EF"/>
    <w:rsid w:val="005F4619"/>
    <w:rsid w:val="005F4BD0"/>
    <w:rsid w:val="005F5747"/>
    <w:rsid w:val="005F5FCA"/>
    <w:rsid w:val="005F6122"/>
    <w:rsid w:val="005F62A0"/>
    <w:rsid w:val="005F647A"/>
    <w:rsid w:val="005F6559"/>
    <w:rsid w:val="005F69CD"/>
    <w:rsid w:val="005F77FF"/>
    <w:rsid w:val="005F7EC0"/>
    <w:rsid w:val="006001B5"/>
    <w:rsid w:val="006005C8"/>
    <w:rsid w:val="00600A45"/>
    <w:rsid w:val="00600CE3"/>
    <w:rsid w:val="00600EFF"/>
    <w:rsid w:val="00600F07"/>
    <w:rsid w:val="00600FB5"/>
    <w:rsid w:val="006011BE"/>
    <w:rsid w:val="006017F1"/>
    <w:rsid w:val="00601900"/>
    <w:rsid w:val="00602011"/>
    <w:rsid w:val="00602077"/>
    <w:rsid w:val="0060209E"/>
    <w:rsid w:val="006020BA"/>
    <w:rsid w:val="006026D2"/>
    <w:rsid w:val="00603197"/>
    <w:rsid w:val="00603AB5"/>
    <w:rsid w:val="006046DB"/>
    <w:rsid w:val="00604798"/>
    <w:rsid w:val="00604DC6"/>
    <w:rsid w:val="00605310"/>
    <w:rsid w:val="006053A1"/>
    <w:rsid w:val="00605C17"/>
    <w:rsid w:val="00605C4B"/>
    <w:rsid w:val="0060630A"/>
    <w:rsid w:val="00607562"/>
    <w:rsid w:val="006100A8"/>
    <w:rsid w:val="006100C6"/>
    <w:rsid w:val="0061136B"/>
    <w:rsid w:val="0061149B"/>
    <w:rsid w:val="00611679"/>
    <w:rsid w:val="00611AD2"/>
    <w:rsid w:val="00612A15"/>
    <w:rsid w:val="00612BF5"/>
    <w:rsid w:val="006137B7"/>
    <w:rsid w:val="00613B54"/>
    <w:rsid w:val="00613E53"/>
    <w:rsid w:val="006148C0"/>
    <w:rsid w:val="00614F9B"/>
    <w:rsid w:val="0061546A"/>
    <w:rsid w:val="00615BED"/>
    <w:rsid w:val="006161D4"/>
    <w:rsid w:val="006161D9"/>
    <w:rsid w:val="00616661"/>
    <w:rsid w:val="006168E0"/>
    <w:rsid w:val="00616E13"/>
    <w:rsid w:val="006170DA"/>
    <w:rsid w:val="0061737E"/>
    <w:rsid w:val="006173C6"/>
    <w:rsid w:val="00617510"/>
    <w:rsid w:val="00617CAF"/>
    <w:rsid w:val="00617E3C"/>
    <w:rsid w:val="00620491"/>
    <w:rsid w:val="006206D7"/>
    <w:rsid w:val="006209F1"/>
    <w:rsid w:val="0062186C"/>
    <w:rsid w:val="00622065"/>
    <w:rsid w:val="0062220C"/>
    <w:rsid w:val="00622C90"/>
    <w:rsid w:val="006239E0"/>
    <w:rsid w:val="00624EB3"/>
    <w:rsid w:val="006254BC"/>
    <w:rsid w:val="006256F3"/>
    <w:rsid w:val="00625F95"/>
    <w:rsid w:val="0062626D"/>
    <w:rsid w:val="00626F5A"/>
    <w:rsid w:val="006276E7"/>
    <w:rsid w:val="0062770A"/>
    <w:rsid w:val="0062777C"/>
    <w:rsid w:val="0062785E"/>
    <w:rsid w:val="006304B4"/>
    <w:rsid w:val="006312CE"/>
    <w:rsid w:val="00631B07"/>
    <w:rsid w:val="00632863"/>
    <w:rsid w:val="00632A80"/>
    <w:rsid w:val="00632B57"/>
    <w:rsid w:val="00633E58"/>
    <w:rsid w:val="00634335"/>
    <w:rsid w:val="00634621"/>
    <w:rsid w:val="0063486E"/>
    <w:rsid w:val="00634DB0"/>
    <w:rsid w:val="00634E14"/>
    <w:rsid w:val="00635D5D"/>
    <w:rsid w:val="00635FA5"/>
    <w:rsid w:val="006360CD"/>
    <w:rsid w:val="00636B1C"/>
    <w:rsid w:val="00636B29"/>
    <w:rsid w:val="00636E64"/>
    <w:rsid w:val="00637503"/>
    <w:rsid w:val="00640018"/>
    <w:rsid w:val="00640310"/>
    <w:rsid w:val="006405C1"/>
    <w:rsid w:val="00640964"/>
    <w:rsid w:val="00641274"/>
    <w:rsid w:val="00641764"/>
    <w:rsid w:val="006419DE"/>
    <w:rsid w:val="00641AD3"/>
    <w:rsid w:val="00641F04"/>
    <w:rsid w:val="006426B9"/>
    <w:rsid w:val="00642EB7"/>
    <w:rsid w:val="00643850"/>
    <w:rsid w:val="006443AD"/>
    <w:rsid w:val="0064476D"/>
    <w:rsid w:val="00645041"/>
    <w:rsid w:val="00645467"/>
    <w:rsid w:val="00645B3D"/>
    <w:rsid w:val="00646957"/>
    <w:rsid w:val="00646A88"/>
    <w:rsid w:val="00646C90"/>
    <w:rsid w:val="006471B3"/>
    <w:rsid w:val="006476A6"/>
    <w:rsid w:val="006478E6"/>
    <w:rsid w:val="0065062F"/>
    <w:rsid w:val="00650BBE"/>
    <w:rsid w:val="00650DED"/>
    <w:rsid w:val="00650EAB"/>
    <w:rsid w:val="006513BD"/>
    <w:rsid w:val="00651855"/>
    <w:rsid w:val="006518E7"/>
    <w:rsid w:val="00651B3F"/>
    <w:rsid w:val="00652006"/>
    <w:rsid w:val="00652DC0"/>
    <w:rsid w:val="00653319"/>
    <w:rsid w:val="00654378"/>
    <w:rsid w:val="006543E9"/>
    <w:rsid w:val="006545B9"/>
    <w:rsid w:val="00654A35"/>
    <w:rsid w:val="00654CBF"/>
    <w:rsid w:val="00654CF3"/>
    <w:rsid w:val="0065598C"/>
    <w:rsid w:val="00656657"/>
    <w:rsid w:val="00656D4D"/>
    <w:rsid w:val="00656FD9"/>
    <w:rsid w:val="00660D5C"/>
    <w:rsid w:val="00661031"/>
    <w:rsid w:val="006615DA"/>
    <w:rsid w:val="00661957"/>
    <w:rsid w:val="00661A14"/>
    <w:rsid w:val="006620F6"/>
    <w:rsid w:val="00662D99"/>
    <w:rsid w:val="00663AFF"/>
    <w:rsid w:val="00663EFF"/>
    <w:rsid w:val="00664CDC"/>
    <w:rsid w:val="00665544"/>
    <w:rsid w:val="00665C78"/>
    <w:rsid w:val="00665FDA"/>
    <w:rsid w:val="00666A64"/>
    <w:rsid w:val="006700EB"/>
    <w:rsid w:val="006708B8"/>
    <w:rsid w:val="00670CBD"/>
    <w:rsid w:val="00670F92"/>
    <w:rsid w:val="00671226"/>
    <w:rsid w:val="006724E8"/>
    <w:rsid w:val="00672EF6"/>
    <w:rsid w:val="0067376F"/>
    <w:rsid w:val="006742FA"/>
    <w:rsid w:val="006745A4"/>
    <w:rsid w:val="00675044"/>
    <w:rsid w:val="00675528"/>
    <w:rsid w:val="00675C6B"/>
    <w:rsid w:val="00675E64"/>
    <w:rsid w:val="00676147"/>
    <w:rsid w:val="00676B4C"/>
    <w:rsid w:val="00677B9B"/>
    <w:rsid w:val="00677F5F"/>
    <w:rsid w:val="006811CA"/>
    <w:rsid w:val="006815B0"/>
    <w:rsid w:val="006818C7"/>
    <w:rsid w:val="00681EEB"/>
    <w:rsid w:val="00681F5C"/>
    <w:rsid w:val="00682132"/>
    <w:rsid w:val="00682569"/>
    <w:rsid w:val="00682C95"/>
    <w:rsid w:val="0068303D"/>
    <w:rsid w:val="00683EA2"/>
    <w:rsid w:val="00684CCA"/>
    <w:rsid w:val="00684FA8"/>
    <w:rsid w:val="0068519D"/>
    <w:rsid w:val="00685E20"/>
    <w:rsid w:val="00686056"/>
    <w:rsid w:val="0068687E"/>
    <w:rsid w:val="00686A1F"/>
    <w:rsid w:val="0069014C"/>
    <w:rsid w:val="006913AE"/>
    <w:rsid w:val="006915FE"/>
    <w:rsid w:val="00692044"/>
    <w:rsid w:val="006921B9"/>
    <w:rsid w:val="006924DB"/>
    <w:rsid w:val="006924F0"/>
    <w:rsid w:val="006929AB"/>
    <w:rsid w:val="00693119"/>
    <w:rsid w:val="0069370A"/>
    <w:rsid w:val="00693DCB"/>
    <w:rsid w:val="00693FD6"/>
    <w:rsid w:val="00694468"/>
    <w:rsid w:val="006948BA"/>
    <w:rsid w:val="00695FE0"/>
    <w:rsid w:val="006976E2"/>
    <w:rsid w:val="0069780C"/>
    <w:rsid w:val="006A0090"/>
    <w:rsid w:val="006A0829"/>
    <w:rsid w:val="006A0C71"/>
    <w:rsid w:val="006A25A5"/>
    <w:rsid w:val="006A25E4"/>
    <w:rsid w:val="006A26BE"/>
    <w:rsid w:val="006A28B2"/>
    <w:rsid w:val="006A31A4"/>
    <w:rsid w:val="006A44B5"/>
    <w:rsid w:val="006A53FF"/>
    <w:rsid w:val="006A5B66"/>
    <w:rsid w:val="006A655B"/>
    <w:rsid w:val="006A6AF9"/>
    <w:rsid w:val="006A7E7D"/>
    <w:rsid w:val="006B0796"/>
    <w:rsid w:val="006B0911"/>
    <w:rsid w:val="006B1CB8"/>
    <w:rsid w:val="006B294A"/>
    <w:rsid w:val="006B2CD8"/>
    <w:rsid w:val="006B36C3"/>
    <w:rsid w:val="006B3D0E"/>
    <w:rsid w:val="006B4756"/>
    <w:rsid w:val="006B47A6"/>
    <w:rsid w:val="006B49F0"/>
    <w:rsid w:val="006B4D34"/>
    <w:rsid w:val="006B5109"/>
    <w:rsid w:val="006B5A62"/>
    <w:rsid w:val="006B5BFE"/>
    <w:rsid w:val="006B692E"/>
    <w:rsid w:val="006B76A2"/>
    <w:rsid w:val="006B77FE"/>
    <w:rsid w:val="006B79A6"/>
    <w:rsid w:val="006B79C5"/>
    <w:rsid w:val="006B7F5E"/>
    <w:rsid w:val="006C06E6"/>
    <w:rsid w:val="006C159B"/>
    <w:rsid w:val="006C187E"/>
    <w:rsid w:val="006C1C22"/>
    <w:rsid w:val="006C1DAB"/>
    <w:rsid w:val="006C1F0A"/>
    <w:rsid w:val="006C344F"/>
    <w:rsid w:val="006C4FFF"/>
    <w:rsid w:val="006C655A"/>
    <w:rsid w:val="006C6BA3"/>
    <w:rsid w:val="006C7764"/>
    <w:rsid w:val="006C7F40"/>
    <w:rsid w:val="006D031C"/>
    <w:rsid w:val="006D0475"/>
    <w:rsid w:val="006D04DB"/>
    <w:rsid w:val="006D0F6D"/>
    <w:rsid w:val="006D0F9F"/>
    <w:rsid w:val="006D118C"/>
    <w:rsid w:val="006D1517"/>
    <w:rsid w:val="006D2634"/>
    <w:rsid w:val="006D3D2D"/>
    <w:rsid w:val="006D4070"/>
    <w:rsid w:val="006D40CD"/>
    <w:rsid w:val="006D52BE"/>
    <w:rsid w:val="006D532F"/>
    <w:rsid w:val="006D57F4"/>
    <w:rsid w:val="006D5D6C"/>
    <w:rsid w:val="006D67B7"/>
    <w:rsid w:val="006D703B"/>
    <w:rsid w:val="006D70C4"/>
    <w:rsid w:val="006E0010"/>
    <w:rsid w:val="006E07AB"/>
    <w:rsid w:val="006E0ED3"/>
    <w:rsid w:val="006E12E7"/>
    <w:rsid w:val="006E1446"/>
    <w:rsid w:val="006E1DB5"/>
    <w:rsid w:val="006E2AF0"/>
    <w:rsid w:val="006E2EC8"/>
    <w:rsid w:val="006E324B"/>
    <w:rsid w:val="006E4E7F"/>
    <w:rsid w:val="006E51BF"/>
    <w:rsid w:val="006E627A"/>
    <w:rsid w:val="006E690F"/>
    <w:rsid w:val="006E6993"/>
    <w:rsid w:val="006E7420"/>
    <w:rsid w:val="006F042C"/>
    <w:rsid w:val="006F0F4F"/>
    <w:rsid w:val="006F198A"/>
    <w:rsid w:val="006F20FE"/>
    <w:rsid w:val="006F2400"/>
    <w:rsid w:val="006F2455"/>
    <w:rsid w:val="006F2503"/>
    <w:rsid w:val="006F3039"/>
    <w:rsid w:val="006F3329"/>
    <w:rsid w:val="006F33FA"/>
    <w:rsid w:val="006F4568"/>
    <w:rsid w:val="006F4C05"/>
    <w:rsid w:val="006F4FCF"/>
    <w:rsid w:val="006F5574"/>
    <w:rsid w:val="006F569C"/>
    <w:rsid w:val="006F5C4B"/>
    <w:rsid w:val="006F5CB3"/>
    <w:rsid w:val="006F5E25"/>
    <w:rsid w:val="006F66FB"/>
    <w:rsid w:val="006F7230"/>
    <w:rsid w:val="006F7427"/>
    <w:rsid w:val="00700247"/>
    <w:rsid w:val="00700518"/>
    <w:rsid w:val="00700827"/>
    <w:rsid w:val="00700843"/>
    <w:rsid w:val="00700DD0"/>
    <w:rsid w:val="00700E7C"/>
    <w:rsid w:val="007013E0"/>
    <w:rsid w:val="00701D76"/>
    <w:rsid w:val="00702160"/>
    <w:rsid w:val="007032F6"/>
    <w:rsid w:val="00703C1E"/>
    <w:rsid w:val="00703DF0"/>
    <w:rsid w:val="00703E6C"/>
    <w:rsid w:val="0070444C"/>
    <w:rsid w:val="0070477B"/>
    <w:rsid w:val="00704D9B"/>
    <w:rsid w:val="00705282"/>
    <w:rsid w:val="007056A5"/>
    <w:rsid w:val="00706D1F"/>
    <w:rsid w:val="00706FC4"/>
    <w:rsid w:val="0070718D"/>
    <w:rsid w:val="00707249"/>
    <w:rsid w:val="007072B0"/>
    <w:rsid w:val="00707552"/>
    <w:rsid w:val="00707F16"/>
    <w:rsid w:val="00711005"/>
    <w:rsid w:val="007118BA"/>
    <w:rsid w:val="00711FD9"/>
    <w:rsid w:val="00712648"/>
    <w:rsid w:val="00712C80"/>
    <w:rsid w:val="00713439"/>
    <w:rsid w:val="00713F89"/>
    <w:rsid w:val="00715B61"/>
    <w:rsid w:val="0071659B"/>
    <w:rsid w:val="00716E86"/>
    <w:rsid w:val="00717040"/>
    <w:rsid w:val="007174B8"/>
    <w:rsid w:val="007177F1"/>
    <w:rsid w:val="007204A3"/>
    <w:rsid w:val="007204B5"/>
    <w:rsid w:val="00721373"/>
    <w:rsid w:val="00721857"/>
    <w:rsid w:val="00721EEF"/>
    <w:rsid w:val="0072283D"/>
    <w:rsid w:val="007230D1"/>
    <w:rsid w:val="00724379"/>
    <w:rsid w:val="00724ADD"/>
    <w:rsid w:val="007256FC"/>
    <w:rsid w:val="00725995"/>
    <w:rsid w:val="0072765C"/>
    <w:rsid w:val="00730444"/>
    <w:rsid w:val="0073083B"/>
    <w:rsid w:val="0073130D"/>
    <w:rsid w:val="007314AC"/>
    <w:rsid w:val="00731691"/>
    <w:rsid w:val="007316B6"/>
    <w:rsid w:val="00731761"/>
    <w:rsid w:val="00731B19"/>
    <w:rsid w:val="00731FB0"/>
    <w:rsid w:val="00732134"/>
    <w:rsid w:val="00732421"/>
    <w:rsid w:val="00732B76"/>
    <w:rsid w:val="00732CFD"/>
    <w:rsid w:val="00734972"/>
    <w:rsid w:val="00734E7B"/>
    <w:rsid w:val="00735846"/>
    <w:rsid w:val="00735893"/>
    <w:rsid w:val="00735B99"/>
    <w:rsid w:val="0073606A"/>
    <w:rsid w:val="00737081"/>
    <w:rsid w:val="00737212"/>
    <w:rsid w:val="00737BC2"/>
    <w:rsid w:val="00737E60"/>
    <w:rsid w:val="00740568"/>
    <w:rsid w:val="00740A58"/>
    <w:rsid w:val="00740EE6"/>
    <w:rsid w:val="00741080"/>
    <w:rsid w:val="0074109E"/>
    <w:rsid w:val="007423FC"/>
    <w:rsid w:val="007430C6"/>
    <w:rsid w:val="0074321C"/>
    <w:rsid w:val="0074369D"/>
    <w:rsid w:val="00743E56"/>
    <w:rsid w:val="00744C68"/>
    <w:rsid w:val="00744FAC"/>
    <w:rsid w:val="007453C6"/>
    <w:rsid w:val="00745A76"/>
    <w:rsid w:val="00745F62"/>
    <w:rsid w:val="00746406"/>
    <w:rsid w:val="00746F3C"/>
    <w:rsid w:val="007470A4"/>
    <w:rsid w:val="0074721C"/>
    <w:rsid w:val="00747519"/>
    <w:rsid w:val="00747757"/>
    <w:rsid w:val="00747DE3"/>
    <w:rsid w:val="0075040A"/>
    <w:rsid w:val="00750A03"/>
    <w:rsid w:val="00751856"/>
    <w:rsid w:val="00751BBB"/>
    <w:rsid w:val="00752257"/>
    <w:rsid w:val="007522E5"/>
    <w:rsid w:val="007526B8"/>
    <w:rsid w:val="007530D1"/>
    <w:rsid w:val="0075327F"/>
    <w:rsid w:val="00753B6A"/>
    <w:rsid w:val="00753F85"/>
    <w:rsid w:val="00754920"/>
    <w:rsid w:val="00754AA4"/>
    <w:rsid w:val="00754C3D"/>
    <w:rsid w:val="00754E35"/>
    <w:rsid w:val="00755343"/>
    <w:rsid w:val="007559D9"/>
    <w:rsid w:val="00755BDE"/>
    <w:rsid w:val="0075630E"/>
    <w:rsid w:val="0075697F"/>
    <w:rsid w:val="00756A7C"/>
    <w:rsid w:val="007574ED"/>
    <w:rsid w:val="00757F0D"/>
    <w:rsid w:val="007604D3"/>
    <w:rsid w:val="00760620"/>
    <w:rsid w:val="0076135A"/>
    <w:rsid w:val="00761817"/>
    <w:rsid w:val="00761E58"/>
    <w:rsid w:val="00762014"/>
    <w:rsid w:val="007631DB"/>
    <w:rsid w:val="0076340F"/>
    <w:rsid w:val="00763474"/>
    <w:rsid w:val="00763A4D"/>
    <w:rsid w:val="0076401C"/>
    <w:rsid w:val="007642A3"/>
    <w:rsid w:val="00764652"/>
    <w:rsid w:val="00764F60"/>
    <w:rsid w:val="00765869"/>
    <w:rsid w:val="00765DAC"/>
    <w:rsid w:val="00766809"/>
    <w:rsid w:val="00766DB0"/>
    <w:rsid w:val="00767303"/>
    <w:rsid w:val="00767CCE"/>
    <w:rsid w:val="00770231"/>
    <w:rsid w:val="00771092"/>
    <w:rsid w:val="00771275"/>
    <w:rsid w:val="0077135A"/>
    <w:rsid w:val="00771AEE"/>
    <w:rsid w:val="007722D9"/>
    <w:rsid w:val="007730F2"/>
    <w:rsid w:val="007733A1"/>
    <w:rsid w:val="0077362A"/>
    <w:rsid w:val="00773755"/>
    <w:rsid w:val="00773D4F"/>
    <w:rsid w:val="0077407A"/>
    <w:rsid w:val="007745F3"/>
    <w:rsid w:val="007757E8"/>
    <w:rsid w:val="0077601F"/>
    <w:rsid w:val="007764B9"/>
    <w:rsid w:val="00776686"/>
    <w:rsid w:val="00777356"/>
    <w:rsid w:val="0077741A"/>
    <w:rsid w:val="007778D4"/>
    <w:rsid w:val="00777BBD"/>
    <w:rsid w:val="00777C57"/>
    <w:rsid w:val="00777FD1"/>
    <w:rsid w:val="00780B38"/>
    <w:rsid w:val="0078151E"/>
    <w:rsid w:val="007823F6"/>
    <w:rsid w:val="0078367B"/>
    <w:rsid w:val="007836BD"/>
    <w:rsid w:val="00784050"/>
    <w:rsid w:val="00784ECA"/>
    <w:rsid w:val="00785191"/>
    <w:rsid w:val="007856E3"/>
    <w:rsid w:val="00785E2F"/>
    <w:rsid w:val="0078698C"/>
    <w:rsid w:val="00786CFF"/>
    <w:rsid w:val="00787C4E"/>
    <w:rsid w:val="00787EE9"/>
    <w:rsid w:val="007900CC"/>
    <w:rsid w:val="00790E09"/>
    <w:rsid w:val="00791350"/>
    <w:rsid w:val="00791B93"/>
    <w:rsid w:val="00792816"/>
    <w:rsid w:val="00792F67"/>
    <w:rsid w:val="007938EF"/>
    <w:rsid w:val="00793B06"/>
    <w:rsid w:val="00793B97"/>
    <w:rsid w:val="00793C96"/>
    <w:rsid w:val="00794846"/>
    <w:rsid w:val="00794B4F"/>
    <w:rsid w:val="00794ECD"/>
    <w:rsid w:val="007951F4"/>
    <w:rsid w:val="00795765"/>
    <w:rsid w:val="00795837"/>
    <w:rsid w:val="00795B3E"/>
    <w:rsid w:val="00795C12"/>
    <w:rsid w:val="00796099"/>
    <w:rsid w:val="00796646"/>
    <w:rsid w:val="007974E7"/>
    <w:rsid w:val="00797EAA"/>
    <w:rsid w:val="00797F4B"/>
    <w:rsid w:val="00797F64"/>
    <w:rsid w:val="007A02D4"/>
    <w:rsid w:val="007A0466"/>
    <w:rsid w:val="007A04DA"/>
    <w:rsid w:val="007A0BCE"/>
    <w:rsid w:val="007A1F2B"/>
    <w:rsid w:val="007A2ED3"/>
    <w:rsid w:val="007A3CAD"/>
    <w:rsid w:val="007A4624"/>
    <w:rsid w:val="007A517D"/>
    <w:rsid w:val="007A5410"/>
    <w:rsid w:val="007A5838"/>
    <w:rsid w:val="007A5BFC"/>
    <w:rsid w:val="007A6346"/>
    <w:rsid w:val="007A6E88"/>
    <w:rsid w:val="007A6F23"/>
    <w:rsid w:val="007A7721"/>
    <w:rsid w:val="007A7B12"/>
    <w:rsid w:val="007A7FAD"/>
    <w:rsid w:val="007B06DA"/>
    <w:rsid w:val="007B098B"/>
    <w:rsid w:val="007B0B0F"/>
    <w:rsid w:val="007B0F59"/>
    <w:rsid w:val="007B0FAD"/>
    <w:rsid w:val="007B10E9"/>
    <w:rsid w:val="007B1423"/>
    <w:rsid w:val="007B1E94"/>
    <w:rsid w:val="007B22CB"/>
    <w:rsid w:val="007B2B68"/>
    <w:rsid w:val="007B534E"/>
    <w:rsid w:val="007B58FA"/>
    <w:rsid w:val="007B642A"/>
    <w:rsid w:val="007B67A4"/>
    <w:rsid w:val="007C0D03"/>
    <w:rsid w:val="007C24C8"/>
    <w:rsid w:val="007C25EB"/>
    <w:rsid w:val="007C3226"/>
    <w:rsid w:val="007C34F0"/>
    <w:rsid w:val="007C3649"/>
    <w:rsid w:val="007C36F4"/>
    <w:rsid w:val="007C3B24"/>
    <w:rsid w:val="007C3E27"/>
    <w:rsid w:val="007C5FFB"/>
    <w:rsid w:val="007C645B"/>
    <w:rsid w:val="007C70B6"/>
    <w:rsid w:val="007C7CD4"/>
    <w:rsid w:val="007D0A7F"/>
    <w:rsid w:val="007D0E0F"/>
    <w:rsid w:val="007D15A6"/>
    <w:rsid w:val="007D17F1"/>
    <w:rsid w:val="007D1AD1"/>
    <w:rsid w:val="007D1B11"/>
    <w:rsid w:val="007D1B1C"/>
    <w:rsid w:val="007D1C55"/>
    <w:rsid w:val="007D1E7B"/>
    <w:rsid w:val="007D248D"/>
    <w:rsid w:val="007D2A4F"/>
    <w:rsid w:val="007D2B98"/>
    <w:rsid w:val="007D33F4"/>
    <w:rsid w:val="007D352B"/>
    <w:rsid w:val="007D3BDE"/>
    <w:rsid w:val="007D3FE2"/>
    <w:rsid w:val="007D440B"/>
    <w:rsid w:val="007D44B2"/>
    <w:rsid w:val="007D48E8"/>
    <w:rsid w:val="007D4E5E"/>
    <w:rsid w:val="007D5301"/>
    <w:rsid w:val="007D59C1"/>
    <w:rsid w:val="007D6D3C"/>
    <w:rsid w:val="007D7AD0"/>
    <w:rsid w:val="007D7BC2"/>
    <w:rsid w:val="007E0007"/>
    <w:rsid w:val="007E0848"/>
    <w:rsid w:val="007E10FB"/>
    <w:rsid w:val="007E1430"/>
    <w:rsid w:val="007E1B34"/>
    <w:rsid w:val="007E20C1"/>
    <w:rsid w:val="007E28A4"/>
    <w:rsid w:val="007E29AD"/>
    <w:rsid w:val="007E29B9"/>
    <w:rsid w:val="007E327F"/>
    <w:rsid w:val="007E3423"/>
    <w:rsid w:val="007E3E97"/>
    <w:rsid w:val="007E51A2"/>
    <w:rsid w:val="007E51B0"/>
    <w:rsid w:val="007E52F8"/>
    <w:rsid w:val="007E5445"/>
    <w:rsid w:val="007E5BDF"/>
    <w:rsid w:val="007E5F78"/>
    <w:rsid w:val="007E71EC"/>
    <w:rsid w:val="007E760C"/>
    <w:rsid w:val="007E7623"/>
    <w:rsid w:val="007E7E5A"/>
    <w:rsid w:val="007F1008"/>
    <w:rsid w:val="007F129E"/>
    <w:rsid w:val="007F1D2F"/>
    <w:rsid w:val="007F2DF8"/>
    <w:rsid w:val="007F2F81"/>
    <w:rsid w:val="007F2FCE"/>
    <w:rsid w:val="007F315F"/>
    <w:rsid w:val="007F3B11"/>
    <w:rsid w:val="007F3C0C"/>
    <w:rsid w:val="007F4132"/>
    <w:rsid w:val="007F4167"/>
    <w:rsid w:val="007F41E6"/>
    <w:rsid w:val="007F4608"/>
    <w:rsid w:val="007F4D1A"/>
    <w:rsid w:val="007F501B"/>
    <w:rsid w:val="007F5873"/>
    <w:rsid w:val="007F5CC8"/>
    <w:rsid w:val="007F5D13"/>
    <w:rsid w:val="007F5DC9"/>
    <w:rsid w:val="007F5F4F"/>
    <w:rsid w:val="007F63DA"/>
    <w:rsid w:val="007F697B"/>
    <w:rsid w:val="007F6C6A"/>
    <w:rsid w:val="007F7414"/>
    <w:rsid w:val="007F7737"/>
    <w:rsid w:val="00800842"/>
    <w:rsid w:val="00800879"/>
    <w:rsid w:val="00800A3E"/>
    <w:rsid w:val="00800ECD"/>
    <w:rsid w:val="0080210A"/>
    <w:rsid w:val="00802583"/>
    <w:rsid w:val="00803F10"/>
    <w:rsid w:val="0080401A"/>
    <w:rsid w:val="008043FA"/>
    <w:rsid w:val="00804483"/>
    <w:rsid w:val="008045A8"/>
    <w:rsid w:val="00805397"/>
    <w:rsid w:val="008056C1"/>
    <w:rsid w:val="00805ED7"/>
    <w:rsid w:val="00806278"/>
    <w:rsid w:val="00806549"/>
    <w:rsid w:val="00806635"/>
    <w:rsid w:val="00806D55"/>
    <w:rsid w:val="00807901"/>
    <w:rsid w:val="00807E0F"/>
    <w:rsid w:val="00810854"/>
    <w:rsid w:val="00811093"/>
    <w:rsid w:val="00811FFD"/>
    <w:rsid w:val="00812DFA"/>
    <w:rsid w:val="008135C7"/>
    <w:rsid w:val="00813A80"/>
    <w:rsid w:val="00813B4C"/>
    <w:rsid w:val="00813E5B"/>
    <w:rsid w:val="00813E89"/>
    <w:rsid w:val="00814DF7"/>
    <w:rsid w:val="008156D2"/>
    <w:rsid w:val="00815C62"/>
    <w:rsid w:val="008161E8"/>
    <w:rsid w:val="00816A54"/>
    <w:rsid w:val="0081718C"/>
    <w:rsid w:val="0081772E"/>
    <w:rsid w:val="00817AFF"/>
    <w:rsid w:val="00817D6A"/>
    <w:rsid w:val="008207A2"/>
    <w:rsid w:val="00821071"/>
    <w:rsid w:val="008220BE"/>
    <w:rsid w:val="00822ACF"/>
    <w:rsid w:val="00823015"/>
    <w:rsid w:val="008251EB"/>
    <w:rsid w:val="00825675"/>
    <w:rsid w:val="00825686"/>
    <w:rsid w:val="00827288"/>
    <w:rsid w:val="00827886"/>
    <w:rsid w:val="0083087C"/>
    <w:rsid w:val="0083108C"/>
    <w:rsid w:val="00831368"/>
    <w:rsid w:val="008316DD"/>
    <w:rsid w:val="00831A4A"/>
    <w:rsid w:val="0083314C"/>
    <w:rsid w:val="00833ADD"/>
    <w:rsid w:val="0083417F"/>
    <w:rsid w:val="00834B2E"/>
    <w:rsid w:val="00834B52"/>
    <w:rsid w:val="008350FF"/>
    <w:rsid w:val="008356A0"/>
    <w:rsid w:val="00836026"/>
    <w:rsid w:val="008376EE"/>
    <w:rsid w:val="0084026D"/>
    <w:rsid w:val="008409F7"/>
    <w:rsid w:val="0084135E"/>
    <w:rsid w:val="008416C0"/>
    <w:rsid w:val="00841D25"/>
    <w:rsid w:val="00842113"/>
    <w:rsid w:val="00842169"/>
    <w:rsid w:val="0084228F"/>
    <w:rsid w:val="00842BEB"/>
    <w:rsid w:val="00842DC8"/>
    <w:rsid w:val="008431EC"/>
    <w:rsid w:val="008433FB"/>
    <w:rsid w:val="008438DB"/>
    <w:rsid w:val="00843A20"/>
    <w:rsid w:val="00843A97"/>
    <w:rsid w:val="00843CB5"/>
    <w:rsid w:val="008449D5"/>
    <w:rsid w:val="00844E08"/>
    <w:rsid w:val="00845A09"/>
    <w:rsid w:val="00845C7F"/>
    <w:rsid w:val="00846150"/>
    <w:rsid w:val="00846756"/>
    <w:rsid w:val="00846C3F"/>
    <w:rsid w:val="0084761B"/>
    <w:rsid w:val="00847868"/>
    <w:rsid w:val="00847E22"/>
    <w:rsid w:val="0085083F"/>
    <w:rsid w:val="008513E3"/>
    <w:rsid w:val="00851B3B"/>
    <w:rsid w:val="008523BA"/>
    <w:rsid w:val="00852CDF"/>
    <w:rsid w:val="00853DCC"/>
    <w:rsid w:val="00853FD1"/>
    <w:rsid w:val="00854EC3"/>
    <w:rsid w:val="0085533B"/>
    <w:rsid w:val="00856EB3"/>
    <w:rsid w:val="0085719C"/>
    <w:rsid w:val="00857C4A"/>
    <w:rsid w:val="00857D46"/>
    <w:rsid w:val="008607C1"/>
    <w:rsid w:val="00860BFC"/>
    <w:rsid w:val="008615D3"/>
    <w:rsid w:val="00861CEE"/>
    <w:rsid w:val="00861F4C"/>
    <w:rsid w:val="00862023"/>
    <w:rsid w:val="00862F71"/>
    <w:rsid w:val="0086371A"/>
    <w:rsid w:val="00863F09"/>
    <w:rsid w:val="00864512"/>
    <w:rsid w:val="00864605"/>
    <w:rsid w:val="00864C8B"/>
    <w:rsid w:val="008657BF"/>
    <w:rsid w:val="008658EE"/>
    <w:rsid w:val="008664F3"/>
    <w:rsid w:val="00866643"/>
    <w:rsid w:val="00866A17"/>
    <w:rsid w:val="00866C6B"/>
    <w:rsid w:val="0086722E"/>
    <w:rsid w:val="0086733B"/>
    <w:rsid w:val="00867D92"/>
    <w:rsid w:val="008710E4"/>
    <w:rsid w:val="00871252"/>
    <w:rsid w:val="008712FB"/>
    <w:rsid w:val="00871F42"/>
    <w:rsid w:val="00872707"/>
    <w:rsid w:val="0087270F"/>
    <w:rsid w:val="008739E2"/>
    <w:rsid w:val="00874433"/>
    <w:rsid w:val="008749BF"/>
    <w:rsid w:val="00875807"/>
    <w:rsid w:val="00875D51"/>
    <w:rsid w:val="00876A47"/>
    <w:rsid w:val="00876E2D"/>
    <w:rsid w:val="008771C6"/>
    <w:rsid w:val="008802A5"/>
    <w:rsid w:val="00880767"/>
    <w:rsid w:val="00880D0E"/>
    <w:rsid w:val="0088175F"/>
    <w:rsid w:val="00881A91"/>
    <w:rsid w:val="00881B76"/>
    <w:rsid w:val="0088257B"/>
    <w:rsid w:val="008828E6"/>
    <w:rsid w:val="00882BE2"/>
    <w:rsid w:val="00882F39"/>
    <w:rsid w:val="00883369"/>
    <w:rsid w:val="008846AB"/>
    <w:rsid w:val="0088484B"/>
    <w:rsid w:val="00884B5E"/>
    <w:rsid w:val="00884F30"/>
    <w:rsid w:val="00885774"/>
    <w:rsid w:val="00885FD6"/>
    <w:rsid w:val="00886758"/>
    <w:rsid w:val="0088675B"/>
    <w:rsid w:val="00886D1C"/>
    <w:rsid w:val="00887555"/>
    <w:rsid w:val="00887CF1"/>
    <w:rsid w:val="00887F0B"/>
    <w:rsid w:val="00890487"/>
    <w:rsid w:val="00890759"/>
    <w:rsid w:val="0089129F"/>
    <w:rsid w:val="0089251B"/>
    <w:rsid w:val="00892563"/>
    <w:rsid w:val="00892D24"/>
    <w:rsid w:val="00893411"/>
    <w:rsid w:val="0089344C"/>
    <w:rsid w:val="0089377F"/>
    <w:rsid w:val="0089468A"/>
    <w:rsid w:val="008948B7"/>
    <w:rsid w:val="00895743"/>
    <w:rsid w:val="00896197"/>
    <w:rsid w:val="008963A2"/>
    <w:rsid w:val="0089753C"/>
    <w:rsid w:val="008A01BC"/>
    <w:rsid w:val="008A08E7"/>
    <w:rsid w:val="008A0A8D"/>
    <w:rsid w:val="008A12BF"/>
    <w:rsid w:val="008A1FF9"/>
    <w:rsid w:val="008A2154"/>
    <w:rsid w:val="008A2AE1"/>
    <w:rsid w:val="008A2CFF"/>
    <w:rsid w:val="008A2F28"/>
    <w:rsid w:val="008A34FA"/>
    <w:rsid w:val="008A3B50"/>
    <w:rsid w:val="008A43FF"/>
    <w:rsid w:val="008A4AE7"/>
    <w:rsid w:val="008A5D58"/>
    <w:rsid w:val="008A5E26"/>
    <w:rsid w:val="008A7038"/>
    <w:rsid w:val="008A7733"/>
    <w:rsid w:val="008A7921"/>
    <w:rsid w:val="008A79F2"/>
    <w:rsid w:val="008A7F5C"/>
    <w:rsid w:val="008B0CAB"/>
    <w:rsid w:val="008B16BE"/>
    <w:rsid w:val="008B1EBF"/>
    <w:rsid w:val="008B2FD6"/>
    <w:rsid w:val="008B3244"/>
    <w:rsid w:val="008B3EDA"/>
    <w:rsid w:val="008B41FF"/>
    <w:rsid w:val="008B42E0"/>
    <w:rsid w:val="008B4493"/>
    <w:rsid w:val="008B45F0"/>
    <w:rsid w:val="008B4E55"/>
    <w:rsid w:val="008B57B7"/>
    <w:rsid w:val="008B5B85"/>
    <w:rsid w:val="008B65B5"/>
    <w:rsid w:val="008B6A33"/>
    <w:rsid w:val="008B7974"/>
    <w:rsid w:val="008B7E69"/>
    <w:rsid w:val="008B7F82"/>
    <w:rsid w:val="008C00F6"/>
    <w:rsid w:val="008C0744"/>
    <w:rsid w:val="008C0D90"/>
    <w:rsid w:val="008C0EE8"/>
    <w:rsid w:val="008C122E"/>
    <w:rsid w:val="008C1BE9"/>
    <w:rsid w:val="008C252F"/>
    <w:rsid w:val="008C25C9"/>
    <w:rsid w:val="008C2FFB"/>
    <w:rsid w:val="008C3060"/>
    <w:rsid w:val="008C381F"/>
    <w:rsid w:val="008C39BA"/>
    <w:rsid w:val="008C3BE3"/>
    <w:rsid w:val="008C4142"/>
    <w:rsid w:val="008C4AA9"/>
    <w:rsid w:val="008C4C96"/>
    <w:rsid w:val="008C5888"/>
    <w:rsid w:val="008C67CB"/>
    <w:rsid w:val="008C6BA5"/>
    <w:rsid w:val="008C70DF"/>
    <w:rsid w:val="008C77C8"/>
    <w:rsid w:val="008C7C00"/>
    <w:rsid w:val="008D005B"/>
    <w:rsid w:val="008D010B"/>
    <w:rsid w:val="008D2223"/>
    <w:rsid w:val="008D28E5"/>
    <w:rsid w:val="008D2E67"/>
    <w:rsid w:val="008D3B34"/>
    <w:rsid w:val="008D41FE"/>
    <w:rsid w:val="008D43EE"/>
    <w:rsid w:val="008D45DE"/>
    <w:rsid w:val="008D546D"/>
    <w:rsid w:val="008D5785"/>
    <w:rsid w:val="008D5E3B"/>
    <w:rsid w:val="008D637F"/>
    <w:rsid w:val="008D6464"/>
    <w:rsid w:val="008D6501"/>
    <w:rsid w:val="008D6626"/>
    <w:rsid w:val="008D70D1"/>
    <w:rsid w:val="008E154B"/>
    <w:rsid w:val="008E1AD5"/>
    <w:rsid w:val="008E20A4"/>
    <w:rsid w:val="008E26D4"/>
    <w:rsid w:val="008E2897"/>
    <w:rsid w:val="008E289A"/>
    <w:rsid w:val="008E3554"/>
    <w:rsid w:val="008E5391"/>
    <w:rsid w:val="008E5751"/>
    <w:rsid w:val="008E696A"/>
    <w:rsid w:val="008E71BA"/>
    <w:rsid w:val="008E73B0"/>
    <w:rsid w:val="008E7561"/>
    <w:rsid w:val="008E7775"/>
    <w:rsid w:val="008E77CF"/>
    <w:rsid w:val="008E7812"/>
    <w:rsid w:val="008E7920"/>
    <w:rsid w:val="008F027C"/>
    <w:rsid w:val="008F0357"/>
    <w:rsid w:val="008F05F3"/>
    <w:rsid w:val="008F07F9"/>
    <w:rsid w:val="008F0E24"/>
    <w:rsid w:val="008F15AD"/>
    <w:rsid w:val="008F1F1B"/>
    <w:rsid w:val="008F2C8F"/>
    <w:rsid w:val="008F2EF4"/>
    <w:rsid w:val="008F3136"/>
    <w:rsid w:val="008F44D5"/>
    <w:rsid w:val="008F4AFB"/>
    <w:rsid w:val="008F4F5F"/>
    <w:rsid w:val="008F4F77"/>
    <w:rsid w:val="008F60C6"/>
    <w:rsid w:val="008F6480"/>
    <w:rsid w:val="008F6825"/>
    <w:rsid w:val="008F68E9"/>
    <w:rsid w:val="008F7A0B"/>
    <w:rsid w:val="008F7B07"/>
    <w:rsid w:val="008F7BAA"/>
    <w:rsid w:val="008F7D80"/>
    <w:rsid w:val="00900604"/>
    <w:rsid w:val="00900A25"/>
    <w:rsid w:val="00900B88"/>
    <w:rsid w:val="00901596"/>
    <w:rsid w:val="009022E1"/>
    <w:rsid w:val="00902600"/>
    <w:rsid w:val="0090260E"/>
    <w:rsid w:val="00903142"/>
    <w:rsid w:val="009038A6"/>
    <w:rsid w:val="00903E19"/>
    <w:rsid w:val="00903EFC"/>
    <w:rsid w:val="00904307"/>
    <w:rsid w:val="0090512D"/>
    <w:rsid w:val="00905308"/>
    <w:rsid w:val="00905AEA"/>
    <w:rsid w:val="00905DAE"/>
    <w:rsid w:val="00905EDE"/>
    <w:rsid w:val="009063A0"/>
    <w:rsid w:val="00906431"/>
    <w:rsid w:val="0090712D"/>
    <w:rsid w:val="00907542"/>
    <w:rsid w:val="00907C7D"/>
    <w:rsid w:val="00911B6E"/>
    <w:rsid w:val="00911DB7"/>
    <w:rsid w:val="0091263B"/>
    <w:rsid w:val="00912835"/>
    <w:rsid w:val="0091395E"/>
    <w:rsid w:val="00913C9E"/>
    <w:rsid w:val="00913D77"/>
    <w:rsid w:val="009144FA"/>
    <w:rsid w:val="009147C1"/>
    <w:rsid w:val="00915BC4"/>
    <w:rsid w:val="00915DFF"/>
    <w:rsid w:val="009161F0"/>
    <w:rsid w:val="00916224"/>
    <w:rsid w:val="009163E2"/>
    <w:rsid w:val="00916B7E"/>
    <w:rsid w:val="00916C77"/>
    <w:rsid w:val="009170B6"/>
    <w:rsid w:val="00917464"/>
    <w:rsid w:val="00917EF2"/>
    <w:rsid w:val="0092007E"/>
    <w:rsid w:val="009201DA"/>
    <w:rsid w:val="009203F4"/>
    <w:rsid w:val="009206E5"/>
    <w:rsid w:val="00921062"/>
    <w:rsid w:val="00921362"/>
    <w:rsid w:val="00921FA0"/>
    <w:rsid w:val="009223D6"/>
    <w:rsid w:val="00922DE1"/>
    <w:rsid w:val="00922F5D"/>
    <w:rsid w:val="00923096"/>
    <w:rsid w:val="00923136"/>
    <w:rsid w:val="00923874"/>
    <w:rsid w:val="00923EA8"/>
    <w:rsid w:val="00924411"/>
    <w:rsid w:val="009248AC"/>
    <w:rsid w:val="009260F0"/>
    <w:rsid w:val="00926375"/>
    <w:rsid w:val="00926627"/>
    <w:rsid w:val="00926735"/>
    <w:rsid w:val="00926CB4"/>
    <w:rsid w:val="00927599"/>
    <w:rsid w:val="009276F8"/>
    <w:rsid w:val="00927777"/>
    <w:rsid w:val="0093017A"/>
    <w:rsid w:val="0093163B"/>
    <w:rsid w:val="0093281E"/>
    <w:rsid w:val="00932A6E"/>
    <w:rsid w:val="00933834"/>
    <w:rsid w:val="00933AF4"/>
    <w:rsid w:val="00934147"/>
    <w:rsid w:val="009345BD"/>
    <w:rsid w:val="00934EDD"/>
    <w:rsid w:val="00935DFC"/>
    <w:rsid w:val="00936D99"/>
    <w:rsid w:val="009370F8"/>
    <w:rsid w:val="009373C7"/>
    <w:rsid w:val="00937F32"/>
    <w:rsid w:val="009408F5"/>
    <w:rsid w:val="00941246"/>
    <w:rsid w:val="00941C3B"/>
    <w:rsid w:val="00942006"/>
    <w:rsid w:val="00942233"/>
    <w:rsid w:val="0094271D"/>
    <w:rsid w:val="00943002"/>
    <w:rsid w:val="009431D1"/>
    <w:rsid w:val="00943CDD"/>
    <w:rsid w:val="00943DF2"/>
    <w:rsid w:val="00943E1B"/>
    <w:rsid w:val="00943E26"/>
    <w:rsid w:val="009446A3"/>
    <w:rsid w:val="00944ED8"/>
    <w:rsid w:val="009450E3"/>
    <w:rsid w:val="00945886"/>
    <w:rsid w:val="00945C11"/>
    <w:rsid w:val="00945DC3"/>
    <w:rsid w:val="0094630F"/>
    <w:rsid w:val="00946E87"/>
    <w:rsid w:val="00946F35"/>
    <w:rsid w:val="0094720C"/>
    <w:rsid w:val="009479CF"/>
    <w:rsid w:val="009504C8"/>
    <w:rsid w:val="0095063D"/>
    <w:rsid w:val="0095064F"/>
    <w:rsid w:val="0095068F"/>
    <w:rsid w:val="0095093C"/>
    <w:rsid w:val="009511CD"/>
    <w:rsid w:val="0095170D"/>
    <w:rsid w:val="00951983"/>
    <w:rsid w:val="00951E07"/>
    <w:rsid w:val="00952747"/>
    <w:rsid w:val="00952CF5"/>
    <w:rsid w:val="00952E76"/>
    <w:rsid w:val="009534BE"/>
    <w:rsid w:val="00953BEF"/>
    <w:rsid w:val="00954EE7"/>
    <w:rsid w:val="00955934"/>
    <w:rsid w:val="00956179"/>
    <w:rsid w:val="009569BF"/>
    <w:rsid w:val="00956A95"/>
    <w:rsid w:val="00956F76"/>
    <w:rsid w:val="00960442"/>
    <w:rsid w:val="00960ADA"/>
    <w:rsid w:val="00960FB9"/>
    <w:rsid w:val="009614D4"/>
    <w:rsid w:val="0096162B"/>
    <w:rsid w:val="00961829"/>
    <w:rsid w:val="00961E1B"/>
    <w:rsid w:val="0096301E"/>
    <w:rsid w:val="00963455"/>
    <w:rsid w:val="00963757"/>
    <w:rsid w:val="00963E67"/>
    <w:rsid w:val="00963F1B"/>
    <w:rsid w:val="00964291"/>
    <w:rsid w:val="009645C6"/>
    <w:rsid w:val="0096580C"/>
    <w:rsid w:val="00965C57"/>
    <w:rsid w:val="00965C71"/>
    <w:rsid w:val="00966BEC"/>
    <w:rsid w:val="0096724F"/>
    <w:rsid w:val="0096771C"/>
    <w:rsid w:val="00967A21"/>
    <w:rsid w:val="00967A7A"/>
    <w:rsid w:val="00970324"/>
    <w:rsid w:val="00970B54"/>
    <w:rsid w:val="009710E9"/>
    <w:rsid w:val="00971EF6"/>
    <w:rsid w:val="0097270A"/>
    <w:rsid w:val="009729D6"/>
    <w:rsid w:val="00973DB8"/>
    <w:rsid w:val="00973E5D"/>
    <w:rsid w:val="009740BD"/>
    <w:rsid w:val="00974D91"/>
    <w:rsid w:val="00974FED"/>
    <w:rsid w:val="009756D0"/>
    <w:rsid w:val="00975AA9"/>
    <w:rsid w:val="00975EB8"/>
    <w:rsid w:val="00976255"/>
    <w:rsid w:val="00976DBF"/>
    <w:rsid w:val="0097767C"/>
    <w:rsid w:val="00980034"/>
    <w:rsid w:val="009800F4"/>
    <w:rsid w:val="00980159"/>
    <w:rsid w:val="0098055E"/>
    <w:rsid w:val="009805B9"/>
    <w:rsid w:val="00980D4A"/>
    <w:rsid w:val="009812B6"/>
    <w:rsid w:val="009814A8"/>
    <w:rsid w:val="00982960"/>
    <w:rsid w:val="00983791"/>
    <w:rsid w:val="00984A0F"/>
    <w:rsid w:val="00984AC5"/>
    <w:rsid w:val="009853A8"/>
    <w:rsid w:val="0098541F"/>
    <w:rsid w:val="00985ADF"/>
    <w:rsid w:val="00986015"/>
    <w:rsid w:val="00986018"/>
    <w:rsid w:val="0098637D"/>
    <w:rsid w:val="00986626"/>
    <w:rsid w:val="00986C3B"/>
    <w:rsid w:val="00987442"/>
    <w:rsid w:val="009874D9"/>
    <w:rsid w:val="0098750C"/>
    <w:rsid w:val="009876FB"/>
    <w:rsid w:val="00987B22"/>
    <w:rsid w:val="009901AB"/>
    <w:rsid w:val="00990B9E"/>
    <w:rsid w:val="00990CE2"/>
    <w:rsid w:val="00991974"/>
    <w:rsid w:val="00991A20"/>
    <w:rsid w:val="00991F72"/>
    <w:rsid w:val="00992118"/>
    <w:rsid w:val="00992462"/>
    <w:rsid w:val="00993744"/>
    <w:rsid w:val="009937C3"/>
    <w:rsid w:val="00993820"/>
    <w:rsid w:val="009946F4"/>
    <w:rsid w:val="009949DC"/>
    <w:rsid w:val="00994D75"/>
    <w:rsid w:val="00995A77"/>
    <w:rsid w:val="00995F18"/>
    <w:rsid w:val="009963E9"/>
    <w:rsid w:val="009969AB"/>
    <w:rsid w:val="00997CD2"/>
    <w:rsid w:val="00997D07"/>
    <w:rsid w:val="009A268F"/>
    <w:rsid w:val="009A2A6D"/>
    <w:rsid w:val="009A3185"/>
    <w:rsid w:val="009A32F7"/>
    <w:rsid w:val="009A337A"/>
    <w:rsid w:val="009A33C5"/>
    <w:rsid w:val="009A45D9"/>
    <w:rsid w:val="009A468D"/>
    <w:rsid w:val="009A4A3F"/>
    <w:rsid w:val="009A4E63"/>
    <w:rsid w:val="009A55AA"/>
    <w:rsid w:val="009A61B8"/>
    <w:rsid w:val="009A61DB"/>
    <w:rsid w:val="009A6575"/>
    <w:rsid w:val="009A6B04"/>
    <w:rsid w:val="009A6F77"/>
    <w:rsid w:val="009A76D8"/>
    <w:rsid w:val="009B039D"/>
    <w:rsid w:val="009B0565"/>
    <w:rsid w:val="009B07CC"/>
    <w:rsid w:val="009B08E5"/>
    <w:rsid w:val="009B093E"/>
    <w:rsid w:val="009B0D63"/>
    <w:rsid w:val="009B10F3"/>
    <w:rsid w:val="009B128A"/>
    <w:rsid w:val="009B27FF"/>
    <w:rsid w:val="009B2BAA"/>
    <w:rsid w:val="009B2E67"/>
    <w:rsid w:val="009B329B"/>
    <w:rsid w:val="009B38FF"/>
    <w:rsid w:val="009B3A9A"/>
    <w:rsid w:val="009B4440"/>
    <w:rsid w:val="009B455D"/>
    <w:rsid w:val="009B475D"/>
    <w:rsid w:val="009B4810"/>
    <w:rsid w:val="009B4F99"/>
    <w:rsid w:val="009B5046"/>
    <w:rsid w:val="009B520F"/>
    <w:rsid w:val="009B5302"/>
    <w:rsid w:val="009B56F1"/>
    <w:rsid w:val="009B56F7"/>
    <w:rsid w:val="009B599C"/>
    <w:rsid w:val="009B6A44"/>
    <w:rsid w:val="009B7088"/>
    <w:rsid w:val="009B7914"/>
    <w:rsid w:val="009B7BC9"/>
    <w:rsid w:val="009B7DEB"/>
    <w:rsid w:val="009C0324"/>
    <w:rsid w:val="009C12C5"/>
    <w:rsid w:val="009C13FA"/>
    <w:rsid w:val="009C1BEB"/>
    <w:rsid w:val="009C2322"/>
    <w:rsid w:val="009C2A66"/>
    <w:rsid w:val="009C4F0C"/>
    <w:rsid w:val="009C52FE"/>
    <w:rsid w:val="009C53C6"/>
    <w:rsid w:val="009C5814"/>
    <w:rsid w:val="009C5CDC"/>
    <w:rsid w:val="009C66AE"/>
    <w:rsid w:val="009C67A1"/>
    <w:rsid w:val="009C7295"/>
    <w:rsid w:val="009C78DE"/>
    <w:rsid w:val="009C7EAD"/>
    <w:rsid w:val="009D058D"/>
    <w:rsid w:val="009D0649"/>
    <w:rsid w:val="009D08F3"/>
    <w:rsid w:val="009D0B25"/>
    <w:rsid w:val="009D0DDE"/>
    <w:rsid w:val="009D1DC7"/>
    <w:rsid w:val="009D2000"/>
    <w:rsid w:val="009D2003"/>
    <w:rsid w:val="009D21D8"/>
    <w:rsid w:val="009D2EB6"/>
    <w:rsid w:val="009D3BC0"/>
    <w:rsid w:val="009D4C4E"/>
    <w:rsid w:val="009D5A20"/>
    <w:rsid w:val="009D5DD8"/>
    <w:rsid w:val="009D5F3B"/>
    <w:rsid w:val="009D62C9"/>
    <w:rsid w:val="009D68AB"/>
    <w:rsid w:val="009D6E5C"/>
    <w:rsid w:val="009D716E"/>
    <w:rsid w:val="009E0131"/>
    <w:rsid w:val="009E0440"/>
    <w:rsid w:val="009E0619"/>
    <w:rsid w:val="009E0F48"/>
    <w:rsid w:val="009E14A3"/>
    <w:rsid w:val="009E1711"/>
    <w:rsid w:val="009E1CA6"/>
    <w:rsid w:val="009E2559"/>
    <w:rsid w:val="009E25FE"/>
    <w:rsid w:val="009E2627"/>
    <w:rsid w:val="009E2827"/>
    <w:rsid w:val="009E406D"/>
    <w:rsid w:val="009E4691"/>
    <w:rsid w:val="009E608F"/>
    <w:rsid w:val="009E6257"/>
    <w:rsid w:val="009E7955"/>
    <w:rsid w:val="009F149F"/>
    <w:rsid w:val="009F19E9"/>
    <w:rsid w:val="009F1A1E"/>
    <w:rsid w:val="009F21B7"/>
    <w:rsid w:val="009F2388"/>
    <w:rsid w:val="009F2C42"/>
    <w:rsid w:val="009F2CDA"/>
    <w:rsid w:val="009F2E82"/>
    <w:rsid w:val="009F32B3"/>
    <w:rsid w:val="009F378F"/>
    <w:rsid w:val="009F3922"/>
    <w:rsid w:val="009F4888"/>
    <w:rsid w:val="009F4B81"/>
    <w:rsid w:val="009F4B88"/>
    <w:rsid w:val="009F63FA"/>
    <w:rsid w:val="009F644C"/>
    <w:rsid w:val="009F6C23"/>
    <w:rsid w:val="009F74C4"/>
    <w:rsid w:val="009F7AC4"/>
    <w:rsid w:val="00A00441"/>
    <w:rsid w:val="00A00A93"/>
    <w:rsid w:val="00A010BA"/>
    <w:rsid w:val="00A01137"/>
    <w:rsid w:val="00A013BA"/>
    <w:rsid w:val="00A01665"/>
    <w:rsid w:val="00A01F98"/>
    <w:rsid w:val="00A024F3"/>
    <w:rsid w:val="00A025C9"/>
    <w:rsid w:val="00A025DB"/>
    <w:rsid w:val="00A02C10"/>
    <w:rsid w:val="00A02F13"/>
    <w:rsid w:val="00A03260"/>
    <w:rsid w:val="00A0378E"/>
    <w:rsid w:val="00A037D7"/>
    <w:rsid w:val="00A03947"/>
    <w:rsid w:val="00A03A9A"/>
    <w:rsid w:val="00A03C80"/>
    <w:rsid w:val="00A0443A"/>
    <w:rsid w:val="00A0481A"/>
    <w:rsid w:val="00A04964"/>
    <w:rsid w:val="00A0519D"/>
    <w:rsid w:val="00A05464"/>
    <w:rsid w:val="00A0572A"/>
    <w:rsid w:val="00A05B3C"/>
    <w:rsid w:val="00A05BD4"/>
    <w:rsid w:val="00A06677"/>
    <w:rsid w:val="00A06784"/>
    <w:rsid w:val="00A06F7E"/>
    <w:rsid w:val="00A07663"/>
    <w:rsid w:val="00A07ECE"/>
    <w:rsid w:val="00A107EB"/>
    <w:rsid w:val="00A10DA6"/>
    <w:rsid w:val="00A10DE6"/>
    <w:rsid w:val="00A11029"/>
    <w:rsid w:val="00A11A47"/>
    <w:rsid w:val="00A12320"/>
    <w:rsid w:val="00A1397F"/>
    <w:rsid w:val="00A14474"/>
    <w:rsid w:val="00A14A6A"/>
    <w:rsid w:val="00A14FEC"/>
    <w:rsid w:val="00A17296"/>
    <w:rsid w:val="00A17950"/>
    <w:rsid w:val="00A203FC"/>
    <w:rsid w:val="00A20A42"/>
    <w:rsid w:val="00A213F3"/>
    <w:rsid w:val="00A22E1D"/>
    <w:rsid w:val="00A22E74"/>
    <w:rsid w:val="00A24205"/>
    <w:rsid w:val="00A2461B"/>
    <w:rsid w:val="00A24BD6"/>
    <w:rsid w:val="00A24FF1"/>
    <w:rsid w:val="00A25363"/>
    <w:rsid w:val="00A25BD7"/>
    <w:rsid w:val="00A2715D"/>
    <w:rsid w:val="00A312C0"/>
    <w:rsid w:val="00A31802"/>
    <w:rsid w:val="00A31F00"/>
    <w:rsid w:val="00A32151"/>
    <w:rsid w:val="00A32956"/>
    <w:rsid w:val="00A32FA9"/>
    <w:rsid w:val="00A33077"/>
    <w:rsid w:val="00A33084"/>
    <w:rsid w:val="00A33182"/>
    <w:rsid w:val="00A3334E"/>
    <w:rsid w:val="00A3380E"/>
    <w:rsid w:val="00A338AA"/>
    <w:rsid w:val="00A340B4"/>
    <w:rsid w:val="00A35FED"/>
    <w:rsid w:val="00A360F9"/>
    <w:rsid w:val="00A36744"/>
    <w:rsid w:val="00A3747F"/>
    <w:rsid w:val="00A37572"/>
    <w:rsid w:val="00A3768E"/>
    <w:rsid w:val="00A379DF"/>
    <w:rsid w:val="00A4070D"/>
    <w:rsid w:val="00A40D99"/>
    <w:rsid w:val="00A40F3F"/>
    <w:rsid w:val="00A40FAA"/>
    <w:rsid w:val="00A4161C"/>
    <w:rsid w:val="00A421F0"/>
    <w:rsid w:val="00A4229C"/>
    <w:rsid w:val="00A42F1C"/>
    <w:rsid w:val="00A4395E"/>
    <w:rsid w:val="00A43DA4"/>
    <w:rsid w:val="00A44C88"/>
    <w:rsid w:val="00A45499"/>
    <w:rsid w:val="00A457F5"/>
    <w:rsid w:val="00A45801"/>
    <w:rsid w:val="00A45A38"/>
    <w:rsid w:val="00A45D3B"/>
    <w:rsid w:val="00A46099"/>
    <w:rsid w:val="00A4642A"/>
    <w:rsid w:val="00A46546"/>
    <w:rsid w:val="00A465AE"/>
    <w:rsid w:val="00A46771"/>
    <w:rsid w:val="00A478B1"/>
    <w:rsid w:val="00A47BCE"/>
    <w:rsid w:val="00A47DE4"/>
    <w:rsid w:val="00A50684"/>
    <w:rsid w:val="00A50EF4"/>
    <w:rsid w:val="00A50F96"/>
    <w:rsid w:val="00A51201"/>
    <w:rsid w:val="00A51ABB"/>
    <w:rsid w:val="00A5293F"/>
    <w:rsid w:val="00A52C88"/>
    <w:rsid w:val="00A52E04"/>
    <w:rsid w:val="00A52EAE"/>
    <w:rsid w:val="00A53585"/>
    <w:rsid w:val="00A537A8"/>
    <w:rsid w:val="00A546CD"/>
    <w:rsid w:val="00A54F19"/>
    <w:rsid w:val="00A55158"/>
    <w:rsid w:val="00A55A5B"/>
    <w:rsid w:val="00A56534"/>
    <w:rsid w:val="00A57419"/>
    <w:rsid w:val="00A5754B"/>
    <w:rsid w:val="00A57E3A"/>
    <w:rsid w:val="00A60853"/>
    <w:rsid w:val="00A6191A"/>
    <w:rsid w:val="00A62256"/>
    <w:rsid w:val="00A63416"/>
    <w:rsid w:val="00A63417"/>
    <w:rsid w:val="00A63707"/>
    <w:rsid w:val="00A637C2"/>
    <w:rsid w:val="00A6449E"/>
    <w:rsid w:val="00A645C6"/>
    <w:rsid w:val="00A646CB"/>
    <w:rsid w:val="00A64BD3"/>
    <w:rsid w:val="00A64DE4"/>
    <w:rsid w:val="00A64E65"/>
    <w:rsid w:val="00A65133"/>
    <w:rsid w:val="00A654C1"/>
    <w:rsid w:val="00A656AF"/>
    <w:rsid w:val="00A65AC9"/>
    <w:rsid w:val="00A6628B"/>
    <w:rsid w:val="00A665D0"/>
    <w:rsid w:val="00A66855"/>
    <w:rsid w:val="00A66AD3"/>
    <w:rsid w:val="00A67014"/>
    <w:rsid w:val="00A671A4"/>
    <w:rsid w:val="00A6732C"/>
    <w:rsid w:val="00A67629"/>
    <w:rsid w:val="00A67A38"/>
    <w:rsid w:val="00A67B35"/>
    <w:rsid w:val="00A67DDD"/>
    <w:rsid w:val="00A704A5"/>
    <w:rsid w:val="00A71127"/>
    <w:rsid w:val="00A728C4"/>
    <w:rsid w:val="00A731B7"/>
    <w:rsid w:val="00A73AF9"/>
    <w:rsid w:val="00A745AC"/>
    <w:rsid w:val="00A74ACF"/>
    <w:rsid w:val="00A74ED2"/>
    <w:rsid w:val="00A75AF2"/>
    <w:rsid w:val="00A75B21"/>
    <w:rsid w:val="00A75D2A"/>
    <w:rsid w:val="00A75EEE"/>
    <w:rsid w:val="00A75EF6"/>
    <w:rsid w:val="00A7677C"/>
    <w:rsid w:val="00A76A12"/>
    <w:rsid w:val="00A77B2B"/>
    <w:rsid w:val="00A77FF5"/>
    <w:rsid w:val="00A802AC"/>
    <w:rsid w:val="00A804D4"/>
    <w:rsid w:val="00A80A2E"/>
    <w:rsid w:val="00A80B13"/>
    <w:rsid w:val="00A81BC2"/>
    <w:rsid w:val="00A82452"/>
    <w:rsid w:val="00A82540"/>
    <w:rsid w:val="00A82A38"/>
    <w:rsid w:val="00A83353"/>
    <w:rsid w:val="00A83411"/>
    <w:rsid w:val="00A838F9"/>
    <w:rsid w:val="00A83A1F"/>
    <w:rsid w:val="00A84D61"/>
    <w:rsid w:val="00A864BF"/>
    <w:rsid w:val="00A86A8A"/>
    <w:rsid w:val="00A9055D"/>
    <w:rsid w:val="00A907FF"/>
    <w:rsid w:val="00A911CB"/>
    <w:rsid w:val="00A91D41"/>
    <w:rsid w:val="00A91EED"/>
    <w:rsid w:val="00A92D12"/>
    <w:rsid w:val="00A934ED"/>
    <w:rsid w:val="00A95658"/>
    <w:rsid w:val="00A95A3A"/>
    <w:rsid w:val="00A95ACF"/>
    <w:rsid w:val="00A95B3C"/>
    <w:rsid w:val="00A95FA2"/>
    <w:rsid w:val="00A963CD"/>
    <w:rsid w:val="00A96896"/>
    <w:rsid w:val="00A970AE"/>
    <w:rsid w:val="00A97308"/>
    <w:rsid w:val="00AA0430"/>
    <w:rsid w:val="00AA15AE"/>
    <w:rsid w:val="00AA1658"/>
    <w:rsid w:val="00AA16B0"/>
    <w:rsid w:val="00AA1815"/>
    <w:rsid w:val="00AA281C"/>
    <w:rsid w:val="00AA2B3D"/>
    <w:rsid w:val="00AA3281"/>
    <w:rsid w:val="00AA3C2B"/>
    <w:rsid w:val="00AA4E96"/>
    <w:rsid w:val="00AA6336"/>
    <w:rsid w:val="00AA644C"/>
    <w:rsid w:val="00AA6A4C"/>
    <w:rsid w:val="00AA7EE9"/>
    <w:rsid w:val="00AB0075"/>
    <w:rsid w:val="00AB0F9E"/>
    <w:rsid w:val="00AB1301"/>
    <w:rsid w:val="00AB1858"/>
    <w:rsid w:val="00AB186A"/>
    <w:rsid w:val="00AB19E4"/>
    <w:rsid w:val="00AB2267"/>
    <w:rsid w:val="00AB30DA"/>
    <w:rsid w:val="00AB30E0"/>
    <w:rsid w:val="00AB317D"/>
    <w:rsid w:val="00AB31DF"/>
    <w:rsid w:val="00AB3EBD"/>
    <w:rsid w:val="00AB41DA"/>
    <w:rsid w:val="00AB4C26"/>
    <w:rsid w:val="00AB539A"/>
    <w:rsid w:val="00AB53EC"/>
    <w:rsid w:val="00AB575A"/>
    <w:rsid w:val="00AB68D8"/>
    <w:rsid w:val="00AB7342"/>
    <w:rsid w:val="00AB7E28"/>
    <w:rsid w:val="00AC004A"/>
    <w:rsid w:val="00AC03B1"/>
    <w:rsid w:val="00AC0F82"/>
    <w:rsid w:val="00AC198F"/>
    <w:rsid w:val="00AC1B2D"/>
    <w:rsid w:val="00AC246B"/>
    <w:rsid w:val="00AC31E6"/>
    <w:rsid w:val="00AC4D17"/>
    <w:rsid w:val="00AC51D5"/>
    <w:rsid w:val="00AC535E"/>
    <w:rsid w:val="00AC5E40"/>
    <w:rsid w:val="00AC6054"/>
    <w:rsid w:val="00AC6B02"/>
    <w:rsid w:val="00AC736D"/>
    <w:rsid w:val="00AC7D97"/>
    <w:rsid w:val="00AD0F94"/>
    <w:rsid w:val="00AD13D9"/>
    <w:rsid w:val="00AD194F"/>
    <w:rsid w:val="00AD1990"/>
    <w:rsid w:val="00AD2081"/>
    <w:rsid w:val="00AD2183"/>
    <w:rsid w:val="00AD2F99"/>
    <w:rsid w:val="00AD3CB8"/>
    <w:rsid w:val="00AD3F8E"/>
    <w:rsid w:val="00AD43A4"/>
    <w:rsid w:val="00AD4E2D"/>
    <w:rsid w:val="00AD5E0E"/>
    <w:rsid w:val="00AD6635"/>
    <w:rsid w:val="00AD6E29"/>
    <w:rsid w:val="00AD6F5B"/>
    <w:rsid w:val="00AD71D4"/>
    <w:rsid w:val="00AD739D"/>
    <w:rsid w:val="00AD799D"/>
    <w:rsid w:val="00AE0C36"/>
    <w:rsid w:val="00AE10B8"/>
    <w:rsid w:val="00AE134B"/>
    <w:rsid w:val="00AE1518"/>
    <w:rsid w:val="00AE17B4"/>
    <w:rsid w:val="00AE36E1"/>
    <w:rsid w:val="00AE3C79"/>
    <w:rsid w:val="00AE5D52"/>
    <w:rsid w:val="00AE63EF"/>
    <w:rsid w:val="00AE69D5"/>
    <w:rsid w:val="00AE7006"/>
    <w:rsid w:val="00AE7717"/>
    <w:rsid w:val="00AE79C9"/>
    <w:rsid w:val="00AE79E4"/>
    <w:rsid w:val="00AE7E5B"/>
    <w:rsid w:val="00AE7EC1"/>
    <w:rsid w:val="00AF0F98"/>
    <w:rsid w:val="00AF127C"/>
    <w:rsid w:val="00AF1452"/>
    <w:rsid w:val="00AF1964"/>
    <w:rsid w:val="00AF1E5C"/>
    <w:rsid w:val="00AF1F6C"/>
    <w:rsid w:val="00AF200D"/>
    <w:rsid w:val="00AF23BC"/>
    <w:rsid w:val="00AF248C"/>
    <w:rsid w:val="00AF2DF7"/>
    <w:rsid w:val="00AF3566"/>
    <w:rsid w:val="00AF4154"/>
    <w:rsid w:val="00AF45D3"/>
    <w:rsid w:val="00AF462B"/>
    <w:rsid w:val="00AF5CA5"/>
    <w:rsid w:val="00AF6250"/>
    <w:rsid w:val="00AF646D"/>
    <w:rsid w:val="00AF7ED0"/>
    <w:rsid w:val="00B00048"/>
    <w:rsid w:val="00B00B92"/>
    <w:rsid w:val="00B010CE"/>
    <w:rsid w:val="00B01239"/>
    <w:rsid w:val="00B013B8"/>
    <w:rsid w:val="00B0173D"/>
    <w:rsid w:val="00B022C7"/>
    <w:rsid w:val="00B0266E"/>
    <w:rsid w:val="00B02B96"/>
    <w:rsid w:val="00B04BBB"/>
    <w:rsid w:val="00B05349"/>
    <w:rsid w:val="00B05473"/>
    <w:rsid w:val="00B0568C"/>
    <w:rsid w:val="00B05973"/>
    <w:rsid w:val="00B05C0D"/>
    <w:rsid w:val="00B06016"/>
    <w:rsid w:val="00B06159"/>
    <w:rsid w:val="00B06321"/>
    <w:rsid w:val="00B06FC8"/>
    <w:rsid w:val="00B075BE"/>
    <w:rsid w:val="00B07DF1"/>
    <w:rsid w:val="00B10B94"/>
    <w:rsid w:val="00B10C2E"/>
    <w:rsid w:val="00B11235"/>
    <w:rsid w:val="00B1249E"/>
    <w:rsid w:val="00B12ABF"/>
    <w:rsid w:val="00B1342C"/>
    <w:rsid w:val="00B13C91"/>
    <w:rsid w:val="00B13ECF"/>
    <w:rsid w:val="00B143B0"/>
    <w:rsid w:val="00B162C6"/>
    <w:rsid w:val="00B168C3"/>
    <w:rsid w:val="00B16BB4"/>
    <w:rsid w:val="00B176B9"/>
    <w:rsid w:val="00B17A03"/>
    <w:rsid w:val="00B17B92"/>
    <w:rsid w:val="00B17BDC"/>
    <w:rsid w:val="00B20843"/>
    <w:rsid w:val="00B20EE2"/>
    <w:rsid w:val="00B22997"/>
    <w:rsid w:val="00B237DC"/>
    <w:rsid w:val="00B23C65"/>
    <w:rsid w:val="00B23CA1"/>
    <w:rsid w:val="00B25BD0"/>
    <w:rsid w:val="00B26852"/>
    <w:rsid w:val="00B272C2"/>
    <w:rsid w:val="00B30685"/>
    <w:rsid w:val="00B31340"/>
    <w:rsid w:val="00B31CCF"/>
    <w:rsid w:val="00B3226B"/>
    <w:rsid w:val="00B323BD"/>
    <w:rsid w:val="00B33619"/>
    <w:rsid w:val="00B3369B"/>
    <w:rsid w:val="00B34650"/>
    <w:rsid w:val="00B34CF7"/>
    <w:rsid w:val="00B356D0"/>
    <w:rsid w:val="00B367C8"/>
    <w:rsid w:val="00B36CEA"/>
    <w:rsid w:val="00B36D3A"/>
    <w:rsid w:val="00B370BB"/>
    <w:rsid w:val="00B4041D"/>
    <w:rsid w:val="00B40F29"/>
    <w:rsid w:val="00B410F6"/>
    <w:rsid w:val="00B41A52"/>
    <w:rsid w:val="00B42202"/>
    <w:rsid w:val="00B425C9"/>
    <w:rsid w:val="00B42640"/>
    <w:rsid w:val="00B42696"/>
    <w:rsid w:val="00B42A23"/>
    <w:rsid w:val="00B42D2B"/>
    <w:rsid w:val="00B43570"/>
    <w:rsid w:val="00B4389B"/>
    <w:rsid w:val="00B438D5"/>
    <w:rsid w:val="00B43E50"/>
    <w:rsid w:val="00B43F8D"/>
    <w:rsid w:val="00B4416A"/>
    <w:rsid w:val="00B4427B"/>
    <w:rsid w:val="00B44322"/>
    <w:rsid w:val="00B4443D"/>
    <w:rsid w:val="00B44D36"/>
    <w:rsid w:val="00B45C49"/>
    <w:rsid w:val="00B46271"/>
    <w:rsid w:val="00B464A0"/>
    <w:rsid w:val="00B46610"/>
    <w:rsid w:val="00B4679E"/>
    <w:rsid w:val="00B46D22"/>
    <w:rsid w:val="00B47E21"/>
    <w:rsid w:val="00B50DD6"/>
    <w:rsid w:val="00B510FD"/>
    <w:rsid w:val="00B51B9D"/>
    <w:rsid w:val="00B527DA"/>
    <w:rsid w:val="00B527F0"/>
    <w:rsid w:val="00B52CF3"/>
    <w:rsid w:val="00B5370C"/>
    <w:rsid w:val="00B5371D"/>
    <w:rsid w:val="00B53763"/>
    <w:rsid w:val="00B549E2"/>
    <w:rsid w:val="00B5550F"/>
    <w:rsid w:val="00B5666F"/>
    <w:rsid w:val="00B56832"/>
    <w:rsid w:val="00B5684C"/>
    <w:rsid w:val="00B56BBF"/>
    <w:rsid w:val="00B57323"/>
    <w:rsid w:val="00B575BA"/>
    <w:rsid w:val="00B60C78"/>
    <w:rsid w:val="00B60FB9"/>
    <w:rsid w:val="00B61DDB"/>
    <w:rsid w:val="00B624E8"/>
    <w:rsid w:val="00B62526"/>
    <w:rsid w:val="00B629E0"/>
    <w:rsid w:val="00B62B5C"/>
    <w:rsid w:val="00B62BCD"/>
    <w:rsid w:val="00B62C8A"/>
    <w:rsid w:val="00B633CB"/>
    <w:rsid w:val="00B63A17"/>
    <w:rsid w:val="00B63BDE"/>
    <w:rsid w:val="00B63F12"/>
    <w:rsid w:val="00B64081"/>
    <w:rsid w:val="00B64461"/>
    <w:rsid w:val="00B64EE6"/>
    <w:rsid w:val="00B64F59"/>
    <w:rsid w:val="00B65534"/>
    <w:rsid w:val="00B65AAC"/>
    <w:rsid w:val="00B65C08"/>
    <w:rsid w:val="00B6611C"/>
    <w:rsid w:val="00B67732"/>
    <w:rsid w:val="00B67D97"/>
    <w:rsid w:val="00B7058F"/>
    <w:rsid w:val="00B70970"/>
    <w:rsid w:val="00B71800"/>
    <w:rsid w:val="00B71A11"/>
    <w:rsid w:val="00B721E7"/>
    <w:rsid w:val="00B722AF"/>
    <w:rsid w:val="00B72A5F"/>
    <w:rsid w:val="00B72EE9"/>
    <w:rsid w:val="00B73CA6"/>
    <w:rsid w:val="00B751F6"/>
    <w:rsid w:val="00B75727"/>
    <w:rsid w:val="00B76032"/>
    <w:rsid w:val="00B76C8A"/>
    <w:rsid w:val="00B76D5F"/>
    <w:rsid w:val="00B7709C"/>
    <w:rsid w:val="00B7739E"/>
    <w:rsid w:val="00B77AA7"/>
    <w:rsid w:val="00B80048"/>
    <w:rsid w:val="00B802E6"/>
    <w:rsid w:val="00B8049A"/>
    <w:rsid w:val="00B80A64"/>
    <w:rsid w:val="00B81248"/>
    <w:rsid w:val="00B8144B"/>
    <w:rsid w:val="00B82EAE"/>
    <w:rsid w:val="00B83166"/>
    <w:rsid w:val="00B83462"/>
    <w:rsid w:val="00B83F84"/>
    <w:rsid w:val="00B847D7"/>
    <w:rsid w:val="00B84C4F"/>
    <w:rsid w:val="00B84E8A"/>
    <w:rsid w:val="00B84FBC"/>
    <w:rsid w:val="00B85405"/>
    <w:rsid w:val="00B85582"/>
    <w:rsid w:val="00B855A8"/>
    <w:rsid w:val="00B85873"/>
    <w:rsid w:val="00B86441"/>
    <w:rsid w:val="00B86802"/>
    <w:rsid w:val="00B86B07"/>
    <w:rsid w:val="00B872D1"/>
    <w:rsid w:val="00B87463"/>
    <w:rsid w:val="00B876CB"/>
    <w:rsid w:val="00B87BF1"/>
    <w:rsid w:val="00B9022C"/>
    <w:rsid w:val="00B90252"/>
    <w:rsid w:val="00B9032F"/>
    <w:rsid w:val="00B9067F"/>
    <w:rsid w:val="00B90CA7"/>
    <w:rsid w:val="00B914A6"/>
    <w:rsid w:val="00B91DBC"/>
    <w:rsid w:val="00B91E8F"/>
    <w:rsid w:val="00B92133"/>
    <w:rsid w:val="00B928D3"/>
    <w:rsid w:val="00B92A12"/>
    <w:rsid w:val="00B93690"/>
    <w:rsid w:val="00B93F7A"/>
    <w:rsid w:val="00B94262"/>
    <w:rsid w:val="00B947AE"/>
    <w:rsid w:val="00B95906"/>
    <w:rsid w:val="00B963BB"/>
    <w:rsid w:val="00B96866"/>
    <w:rsid w:val="00B96C97"/>
    <w:rsid w:val="00B96F23"/>
    <w:rsid w:val="00B96FF4"/>
    <w:rsid w:val="00B97BD9"/>
    <w:rsid w:val="00B97C75"/>
    <w:rsid w:val="00B97D28"/>
    <w:rsid w:val="00BA1097"/>
    <w:rsid w:val="00BA1142"/>
    <w:rsid w:val="00BA1440"/>
    <w:rsid w:val="00BA203A"/>
    <w:rsid w:val="00BA22D7"/>
    <w:rsid w:val="00BA2BC0"/>
    <w:rsid w:val="00BA32D0"/>
    <w:rsid w:val="00BA36C3"/>
    <w:rsid w:val="00BA3D03"/>
    <w:rsid w:val="00BA3E58"/>
    <w:rsid w:val="00BA43AD"/>
    <w:rsid w:val="00BA47E4"/>
    <w:rsid w:val="00BA48C7"/>
    <w:rsid w:val="00BA4CE2"/>
    <w:rsid w:val="00BA4D0B"/>
    <w:rsid w:val="00BA528F"/>
    <w:rsid w:val="00BA5876"/>
    <w:rsid w:val="00BA59A7"/>
    <w:rsid w:val="00BA5B42"/>
    <w:rsid w:val="00BA5C09"/>
    <w:rsid w:val="00BA5C79"/>
    <w:rsid w:val="00BA5C84"/>
    <w:rsid w:val="00BA5D80"/>
    <w:rsid w:val="00BA5EA3"/>
    <w:rsid w:val="00BA61AC"/>
    <w:rsid w:val="00BA7160"/>
    <w:rsid w:val="00BA7C85"/>
    <w:rsid w:val="00BB1D75"/>
    <w:rsid w:val="00BB356C"/>
    <w:rsid w:val="00BB356D"/>
    <w:rsid w:val="00BB3BF1"/>
    <w:rsid w:val="00BB4EF9"/>
    <w:rsid w:val="00BB5112"/>
    <w:rsid w:val="00BB54F6"/>
    <w:rsid w:val="00BB5A01"/>
    <w:rsid w:val="00BB64E8"/>
    <w:rsid w:val="00BB656A"/>
    <w:rsid w:val="00BB7A3C"/>
    <w:rsid w:val="00BB7FE7"/>
    <w:rsid w:val="00BC0138"/>
    <w:rsid w:val="00BC1ECC"/>
    <w:rsid w:val="00BC200F"/>
    <w:rsid w:val="00BC230F"/>
    <w:rsid w:val="00BC28FB"/>
    <w:rsid w:val="00BC2A16"/>
    <w:rsid w:val="00BC4890"/>
    <w:rsid w:val="00BC4E80"/>
    <w:rsid w:val="00BC557D"/>
    <w:rsid w:val="00BC5927"/>
    <w:rsid w:val="00BC5950"/>
    <w:rsid w:val="00BC642F"/>
    <w:rsid w:val="00BC6ABA"/>
    <w:rsid w:val="00BC71BA"/>
    <w:rsid w:val="00BD0763"/>
    <w:rsid w:val="00BD09B7"/>
    <w:rsid w:val="00BD0D5F"/>
    <w:rsid w:val="00BD123E"/>
    <w:rsid w:val="00BD1B1E"/>
    <w:rsid w:val="00BD1CDA"/>
    <w:rsid w:val="00BD1D31"/>
    <w:rsid w:val="00BD1E6A"/>
    <w:rsid w:val="00BD2063"/>
    <w:rsid w:val="00BD20EF"/>
    <w:rsid w:val="00BD229B"/>
    <w:rsid w:val="00BD2EEA"/>
    <w:rsid w:val="00BD333D"/>
    <w:rsid w:val="00BD3462"/>
    <w:rsid w:val="00BD395E"/>
    <w:rsid w:val="00BD4C1F"/>
    <w:rsid w:val="00BD4F34"/>
    <w:rsid w:val="00BD50B9"/>
    <w:rsid w:val="00BD54CE"/>
    <w:rsid w:val="00BD5969"/>
    <w:rsid w:val="00BD5E49"/>
    <w:rsid w:val="00BD6622"/>
    <w:rsid w:val="00BD6EC3"/>
    <w:rsid w:val="00BD6F26"/>
    <w:rsid w:val="00BD78A2"/>
    <w:rsid w:val="00BE057F"/>
    <w:rsid w:val="00BE06B1"/>
    <w:rsid w:val="00BE0DC4"/>
    <w:rsid w:val="00BE110C"/>
    <w:rsid w:val="00BE1637"/>
    <w:rsid w:val="00BE1E5C"/>
    <w:rsid w:val="00BE20DF"/>
    <w:rsid w:val="00BE33BF"/>
    <w:rsid w:val="00BE3AFB"/>
    <w:rsid w:val="00BE4720"/>
    <w:rsid w:val="00BE4E8E"/>
    <w:rsid w:val="00BE524B"/>
    <w:rsid w:val="00BE59E9"/>
    <w:rsid w:val="00BE5D3F"/>
    <w:rsid w:val="00BE63A3"/>
    <w:rsid w:val="00BE65C7"/>
    <w:rsid w:val="00BE6852"/>
    <w:rsid w:val="00BE6A30"/>
    <w:rsid w:val="00BE6BFC"/>
    <w:rsid w:val="00BE6CCB"/>
    <w:rsid w:val="00BE73A4"/>
    <w:rsid w:val="00BE73BF"/>
    <w:rsid w:val="00BE7405"/>
    <w:rsid w:val="00BE785C"/>
    <w:rsid w:val="00BE7956"/>
    <w:rsid w:val="00BF1355"/>
    <w:rsid w:val="00BF21B2"/>
    <w:rsid w:val="00BF2266"/>
    <w:rsid w:val="00BF27B1"/>
    <w:rsid w:val="00BF2B72"/>
    <w:rsid w:val="00BF2C24"/>
    <w:rsid w:val="00BF3109"/>
    <w:rsid w:val="00BF320E"/>
    <w:rsid w:val="00BF33AD"/>
    <w:rsid w:val="00BF41A5"/>
    <w:rsid w:val="00BF5551"/>
    <w:rsid w:val="00BF61FA"/>
    <w:rsid w:val="00BF66CC"/>
    <w:rsid w:val="00BF6848"/>
    <w:rsid w:val="00BF6BB4"/>
    <w:rsid w:val="00C006AA"/>
    <w:rsid w:val="00C008FF"/>
    <w:rsid w:val="00C00957"/>
    <w:rsid w:val="00C01087"/>
    <w:rsid w:val="00C011D1"/>
    <w:rsid w:val="00C011F4"/>
    <w:rsid w:val="00C02310"/>
    <w:rsid w:val="00C02476"/>
    <w:rsid w:val="00C02842"/>
    <w:rsid w:val="00C02B70"/>
    <w:rsid w:val="00C0371B"/>
    <w:rsid w:val="00C039E3"/>
    <w:rsid w:val="00C04127"/>
    <w:rsid w:val="00C054B5"/>
    <w:rsid w:val="00C05E3D"/>
    <w:rsid w:val="00C06216"/>
    <w:rsid w:val="00C063CA"/>
    <w:rsid w:val="00C067B1"/>
    <w:rsid w:val="00C07A7E"/>
    <w:rsid w:val="00C07D37"/>
    <w:rsid w:val="00C10079"/>
    <w:rsid w:val="00C1041D"/>
    <w:rsid w:val="00C10691"/>
    <w:rsid w:val="00C121B7"/>
    <w:rsid w:val="00C129C6"/>
    <w:rsid w:val="00C12CB3"/>
    <w:rsid w:val="00C145EB"/>
    <w:rsid w:val="00C14622"/>
    <w:rsid w:val="00C146C1"/>
    <w:rsid w:val="00C148BB"/>
    <w:rsid w:val="00C14953"/>
    <w:rsid w:val="00C15437"/>
    <w:rsid w:val="00C15614"/>
    <w:rsid w:val="00C15E1C"/>
    <w:rsid w:val="00C16D89"/>
    <w:rsid w:val="00C171C7"/>
    <w:rsid w:val="00C174D1"/>
    <w:rsid w:val="00C17683"/>
    <w:rsid w:val="00C17F9A"/>
    <w:rsid w:val="00C20107"/>
    <w:rsid w:val="00C20245"/>
    <w:rsid w:val="00C208AC"/>
    <w:rsid w:val="00C2113B"/>
    <w:rsid w:val="00C214C5"/>
    <w:rsid w:val="00C21EA5"/>
    <w:rsid w:val="00C2283B"/>
    <w:rsid w:val="00C22CAF"/>
    <w:rsid w:val="00C22CC9"/>
    <w:rsid w:val="00C2394F"/>
    <w:rsid w:val="00C23C52"/>
    <w:rsid w:val="00C247C3"/>
    <w:rsid w:val="00C25FD4"/>
    <w:rsid w:val="00C26789"/>
    <w:rsid w:val="00C300E5"/>
    <w:rsid w:val="00C30245"/>
    <w:rsid w:val="00C302BB"/>
    <w:rsid w:val="00C30933"/>
    <w:rsid w:val="00C309F1"/>
    <w:rsid w:val="00C30C91"/>
    <w:rsid w:val="00C30CC8"/>
    <w:rsid w:val="00C31B44"/>
    <w:rsid w:val="00C31C01"/>
    <w:rsid w:val="00C31D64"/>
    <w:rsid w:val="00C33478"/>
    <w:rsid w:val="00C33CA8"/>
    <w:rsid w:val="00C33CDB"/>
    <w:rsid w:val="00C345AC"/>
    <w:rsid w:val="00C3484B"/>
    <w:rsid w:val="00C348E5"/>
    <w:rsid w:val="00C353AB"/>
    <w:rsid w:val="00C36008"/>
    <w:rsid w:val="00C36A9E"/>
    <w:rsid w:val="00C36E0B"/>
    <w:rsid w:val="00C37116"/>
    <w:rsid w:val="00C371F7"/>
    <w:rsid w:val="00C37908"/>
    <w:rsid w:val="00C4040C"/>
    <w:rsid w:val="00C404DC"/>
    <w:rsid w:val="00C4061D"/>
    <w:rsid w:val="00C406C7"/>
    <w:rsid w:val="00C414F5"/>
    <w:rsid w:val="00C4207E"/>
    <w:rsid w:val="00C42F2E"/>
    <w:rsid w:val="00C4363D"/>
    <w:rsid w:val="00C43A18"/>
    <w:rsid w:val="00C43CB2"/>
    <w:rsid w:val="00C4450F"/>
    <w:rsid w:val="00C4454D"/>
    <w:rsid w:val="00C455FB"/>
    <w:rsid w:val="00C4562A"/>
    <w:rsid w:val="00C45D1C"/>
    <w:rsid w:val="00C46742"/>
    <w:rsid w:val="00C4734B"/>
    <w:rsid w:val="00C50D82"/>
    <w:rsid w:val="00C5209D"/>
    <w:rsid w:val="00C5216B"/>
    <w:rsid w:val="00C523B5"/>
    <w:rsid w:val="00C5261E"/>
    <w:rsid w:val="00C52D52"/>
    <w:rsid w:val="00C53412"/>
    <w:rsid w:val="00C53683"/>
    <w:rsid w:val="00C54271"/>
    <w:rsid w:val="00C54367"/>
    <w:rsid w:val="00C5475C"/>
    <w:rsid w:val="00C54AF3"/>
    <w:rsid w:val="00C54EF1"/>
    <w:rsid w:val="00C55969"/>
    <w:rsid w:val="00C55F7C"/>
    <w:rsid w:val="00C56350"/>
    <w:rsid w:val="00C5638C"/>
    <w:rsid w:val="00C57027"/>
    <w:rsid w:val="00C57225"/>
    <w:rsid w:val="00C57B46"/>
    <w:rsid w:val="00C57CCD"/>
    <w:rsid w:val="00C57FB2"/>
    <w:rsid w:val="00C60551"/>
    <w:rsid w:val="00C6107C"/>
    <w:rsid w:val="00C611CF"/>
    <w:rsid w:val="00C61C9E"/>
    <w:rsid w:val="00C61E22"/>
    <w:rsid w:val="00C6338A"/>
    <w:rsid w:val="00C63A7B"/>
    <w:rsid w:val="00C63B69"/>
    <w:rsid w:val="00C668E3"/>
    <w:rsid w:val="00C67D14"/>
    <w:rsid w:val="00C67E31"/>
    <w:rsid w:val="00C67E35"/>
    <w:rsid w:val="00C67FE3"/>
    <w:rsid w:val="00C70A41"/>
    <w:rsid w:val="00C7212B"/>
    <w:rsid w:val="00C7253C"/>
    <w:rsid w:val="00C72EF9"/>
    <w:rsid w:val="00C73F00"/>
    <w:rsid w:val="00C74020"/>
    <w:rsid w:val="00C7437A"/>
    <w:rsid w:val="00C75999"/>
    <w:rsid w:val="00C76704"/>
    <w:rsid w:val="00C76AAB"/>
    <w:rsid w:val="00C77ACC"/>
    <w:rsid w:val="00C77E16"/>
    <w:rsid w:val="00C8051A"/>
    <w:rsid w:val="00C8066C"/>
    <w:rsid w:val="00C82391"/>
    <w:rsid w:val="00C82605"/>
    <w:rsid w:val="00C82A78"/>
    <w:rsid w:val="00C82F2F"/>
    <w:rsid w:val="00C83124"/>
    <w:rsid w:val="00C83792"/>
    <w:rsid w:val="00C8429A"/>
    <w:rsid w:val="00C84F54"/>
    <w:rsid w:val="00C8555F"/>
    <w:rsid w:val="00C85D6C"/>
    <w:rsid w:val="00C8733D"/>
    <w:rsid w:val="00C87368"/>
    <w:rsid w:val="00C87700"/>
    <w:rsid w:val="00C87AB0"/>
    <w:rsid w:val="00C87D78"/>
    <w:rsid w:val="00C87F11"/>
    <w:rsid w:val="00C900E7"/>
    <w:rsid w:val="00C902ED"/>
    <w:rsid w:val="00C90882"/>
    <w:rsid w:val="00C909D8"/>
    <w:rsid w:val="00C90CF5"/>
    <w:rsid w:val="00C90E39"/>
    <w:rsid w:val="00C90F5F"/>
    <w:rsid w:val="00C91C41"/>
    <w:rsid w:val="00C91FA2"/>
    <w:rsid w:val="00C926F6"/>
    <w:rsid w:val="00C926FB"/>
    <w:rsid w:val="00C9297C"/>
    <w:rsid w:val="00C93718"/>
    <w:rsid w:val="00C93EA7"/>
    <w:rsid w:val="00C93ED5"/>
    <w:rsid w:val="00C945B8"/>
    <w:rsid w:val="00C94926"/>
    <w:rsid w:val="00C94BD3"/>
    <w:rsid w:val="00C94D31"/>
    <w:rsid w:val="00C94D67"/>
    <w:rsid w:val="00C96798"/>
    <w:rsid w:val="00C9692A"/>
    <w:rsid w:val="00C9696E"/>
    <w:rsid w:val="00C9758C"/>
    <w:rsid w:val="00CA0138"/>
    <w:rsid w:val="00CA0556"/>
    <w:rsid w:val="00CA07C9"/>
    <w:rsid w:val="00CA0CD6"/>
    <w:rsid w:val="00CA1055"/>
    <w:rsid w:val="00CA1488"/>
    <w:rsid w:val="00CA1B3B"/>
    <w:rsid w:val="00CA1DAA"/>
    <w:rsid w:val="00CA28FD"/>
    <w:rsid w:val="00CA2C3E"/>
    <w:rsid w:val="00CA2F00"/>
    <w:rsid w:val="00CA3E3F"/>
    <w:rsid w:val="00CA4470"/>
    <w:rsid w:val="00CA46BD"/>
    <w:rsid w:val="00CA4989"/>
    <w:rsid w:val="00CA5D70"/>
    <w:rsid w:val="00CA602E"/>
    <w:rsid w:val="00CA6709"/>
    <w:rsid w:val="00CA67DF"/>
    <w:rsid w:val="00CA70EC"/>
    <w:rsid w:val="00CA72DB"/>
    <w:rsid w:val="00CA77A8"/>
    <w:rsid w:val="00CB0150"/>
    <w:rsid w:val="00CB0CE6"/>
    <w:rsid w:val="00CB10CA"/>
    <w:rsid w:val="00CB1BB2"/>
    <w:rsid w:val="00CB23B0"/>
    <w:rsid w:val="00CB243F"/>
    <w:rsid w:val="00CB26A9"/>
    <w:rsid w:val="00CB293D"/>
    <w:rsid w:val="00CB3A8C"/>
    <w:rsid w:val="00CB4377"/>
    <w:rsid w:val="00CB44CD"/>
    <w:rsid w:val="00CB5461"/>
    <w:rsid w:val="00CB5618"/>
    <w:rsid w:val="00CB64C2"/>
    <w:rsid w:val="00CB6C66"/>
    <w:rsid w:val="00CB6DCC"/>
    <w:rsid w:val="00CB6F12"/>
    <w:rsid w:val="00CB738A"/>
    <w:rsid w:val="00CB76B0"/>
    <w:rsid w:val="00CB79C7"/>
    <w:rsid w:val="00CC02EA"/>
    <w:rsid w:val="00CC0306"/>
    <w:rsid w:val="00CC0A92"/>
    <w:rsid w:val="00CC0FE6"/>
    <w:rsid w:val="00CC214A"/>
    <w:rsid w:val="00CC21B6"/>
    <w:rsid w:val="00CC2A91"/>
    <w:rsid w:val="00CC2AC7"/>
    <w:rsid w:val="00CC2B3B"/>
    <w:rsid w:val="00CC3B6C"/>
    <w:rsid w:val="00CC43CC"/>
    <w:rsid w:val="00CC478A"/>
    <w:rsid w:val="00CC4A29"/>
    <w:rsid w:val="00CC4BE1"/>
    <w:rsid w:val="00CC4F76"/>
    <w:rsid w:val="00CC538B"/>
    <w:rsid w:val="00CC5A8C"/>
    <w:rsid w:val="00CC63CA"/>
    <w:rsid w:val="00CC7286"/>
    <w:rsid w:val="00CC7540"/>
    <w:rsid w:val="00CD0252"/>
    <w:rsid w:val="00CD036B"/>
    <w:rsid w:val="00CD0AFE"/>
    <w:rsid w:val="00CD0E3A"/>
    <w:rsid w:val="00CD0E86"/>
    <w:rsid w:val="00CD1082"/>
    <w:rsid w:val="00CD1167"/>
    <w:rsid w:val="00CD13B4"/>
    <w:rsid w:val="00CD1D2F"/>
    <w:rsid w:val="00CD3149"/>
    <w:rsid w:val="00CD3470"/>
    <w:rsid w:val="00CD3604"/>
    <w:rsid w:val="00CD411E"/>
    <w:rsid w:val="00CD455D"/>
    <w:rsid w:val="00CD5059"/>
    <w:rsid w:val="00CD5433"/>
    <w:rsid w:val="00CD570A"/>
    <w:rsid w:val="00CD5A2E"/>
    <w:rsid w:val="00CD61B4"/>
    <w:rsid w:val="00CD71E3"/>
    <w:rsid w:val="00CD7419"/>
    <w:rsid w:val="00CD7733"/>
    <w:rsid w:val="00CD7A90"/>
    <w:rsid w:val="00CD7DEF"/>
    <w:rsid w:val="00CE005A"/>
    <w:rsid w:val="00CE03E6"/>
    <w:rsid w:val="00CE0520"/>
    <w:rsid w:val="00CE0837"/>
    <w:rsid w:val="00CE08EA"/>
    <w:rsid w:val="00CE1197"/>
    <w:rsid w:val="00CE11EC"/>
    <w:rsid w:val="00CE1201"/>
    <w:rsid w:val="00CE1DA6"/>
    <w:rsid w:val="00CE4228"/>
    <w:rsid w:val="00CE4B9D"/>
    <w:rsid w:val="00CE4D5E"/>
    <w:rsid w:val="00CE51BD"/>
    <w:rsid w:val="00CE5638"/>
    <w:rsid w:val="00CE5917"/>
    <w:rsid w:val="00CE5A40"/>
    <w:rsid w:val="00CE6212"/>
    <w:rsid w:val="00CE6ED9"/>
    <w:rsid w:val="00CE715F"/>
    <w:rsid w:val="00CE7B10"/>
    <w:rsid w:val="00CE7E3E"/>
    <w:rsid w:val="00CF04C2"/>
    <w:rsid w:val="00CF1A35"/>
    <w:rsid w:val="00CF23FD"/>
    <w:rsid w:val="00CF245B"/>
    <w:rsid w:val="00CF2A42"/>
    <w:rsid w:val="00CF32EB"/>
    <w:rsid w:val="00CF3447"/>
    <w:rsid w:val="00CF3456"/>
    <w:rsid w:val="00CF4520"/>
    <w:rsid w:val="00CF4581"/>
    <w:rsid w:val="00CF491A"/>
    <w:rsid w:val="00CF4B84"/>
    <w:rsid w:val="00CF5343"/>
    <w:rsid w:val="00CF5511"/>
    <w:rsid w:val="00CF580A"/>
    <w:rsid w:val="00CF757F"/>
    <w:rsid w:val="00CF7E4F"/>
    <w:rsid w:val="00D00DC5"/>
    <w:rsid w:val="00D014BE"/>
    <w:rsid w:val="00D0158A"/>
    <w:rsid w:val="00D0168C"/>
    <w:rsid w:val="00D03193"/>
    <w:rsid w:val="00D03A6C"/>
    <w:rsid w:val="00D03CA7"/>
    <w:rsid w:val="00D03E4B"/>
    <w:rsid w:val="00D040B0"/>
    <w:rsid w:val="00D045EF"/>
    <w:rsid w:val="00D0489E"/>
    <w:rsid w:val="00D05661"/>
    <w:rsid w:val="00D05DAB"/>
    <w:rsid w:val="00D05E2B"/>
    <w:rsid w:val="00D06277"/>
    <w:rsid w:val="00D06633"/>
    <w:rsid w:val="00D06ABF"/>
    <w:rsid w:val="00D0750D"/>
    <w:rsid w:val="00D078AA"/>
    <w:rsid w:val="00D10000"/>
    <w:rsid w:val="00D103A2"/>
    <w:rsid w:val="00D105FA"/>
    <w:rsid w:val="00D10638"/>
    <w:rsid w:val="00D113F7"/>
    <w:rsid w:val="00D11EC3"/>
    <w:rsid w:val="00D1208E"/>
    <w:rsid w:val="00D124E1"/>
    <w:rsid w:val="00D12ECA"/>
    <w:rsid w:val="00D13478"/>
    <w:rsid w:val="00D1385B"/>
    <w:rsid w:val="00D13878"/>
    <w:rsid w:val="00D1422F"/>
    <w:rsid w:val="00D14251"/>
    <w:rsid w:val="00D146DE"/>
    <w:rsid w:val="00D148F9"/>
    <w:rsid w:val="00D14A3E"/>
    <w:rsid w:val="00D15C53"/>
    <w:rsid w:val="00D15E41"/>
    <w:rsid w:val="00D16053"/>
    <w:rsid w:val="00D160D3"/>
    <w:rsid w:val="00D16B97"/>
    <w:rsid w:val="00D16E49"/>
    <w:rsid w:val="00D17DED"/>
    <w:rsid w:val="00D20303"/>
    <w:rsid w:val="00D21766"/>
    <w:rsid w:val="00D22276"/>
    <w:rsid w:val="00D228E5"/>
    <w:rsid w:val="00D22DE6"/>
    <w:rsid w:val="00D22E4E"/>
    <w:rsid w:val="00D2304D"/>
    <w:rsid w:val="00D23A0C"/>
    <w:rsid w:val="00D2432A"/>
    <w:rsid w:val="00D24EAF"/>
    <w:rsid w:val="00D250DA"/>
    <w:rsid w:val="00D259E5"/>
    <w:rsid w:val="00D2650D"/>
    <w:rsid w:val="00D26BBC"/>
    <w:rsid w:val="00D273AF"/>
    <w:rsid w:val="00D2750F"/>
    <w:rsid w:val="00D27A7D"/>
    <w:rsid w:val="00D30A55"/>
    <w:rsid w:val="00D30DD0"/>
    <w:rsid w:val="00D313C4"/>
    <w:rsid w:val="00D318FE"/>
    <w:rsid w:val="00D32705"/>
    <w:rsid w:val="00D32E14"/>
    <w:rsid w:val="00D332E3"/>
    <w:rsid w:val="00D33996"/>
    <w:rsid w:val="00D345EF"/>
    <w:rsid w:val="00D354E1"/>
    <w:rsid w:val="00D36367"/>
    <w:rsid w:val="00D36377"/>
    <w:rsid w:val="00D36505"/>
    <w:rsid w:val="00D40278"/>
    <w:rsid w:val="00D41451"/>
    <w:rsid w:val="00D4146B"/>
    <w:rsid w:val="00D416AE"/>
    <w:rsid w:val="00D42216"/>
    <w:rsid w:val="00D42B7F"/>
    <w:rsid w:val="00D4307B"/>
    <w:rsid w:val="00D4309C"/>
    <w:rsid w:val="00D430F1"/>
    <w:rsid w:val="00D43186"/>
    <w:rsid w:val="00D43195"/>
    <w:rsid w:val="00D43386"/>
    <w:rsid w:val="00D443DB"/>
    <w:rsid w:val="00D4455F"/>
    <w:rsid w:val="00D44E08"/>
    <w:rsid w:val="00D44E58"/>
    <w:rsid w:val="00D4510D"/>
    <w:rsid w:val="00D45B2F"/>
    <w:rsid w:val="00D45E8F"/>
    <w:rsid w:val="00D46012"/>
    <w:rsid w:val="00D46E0A"/>
    <w:rsid w:val="00D47081"/>
    <w:rsid w:val="00D4728C"/>
    <w:rsid w:val="00D477A5"/>
    <w:rsid w:val="00D51337"/>
    <w:rsid w:val="00D516F3"/>
    <w:rsid w:val="00D51A9A"/>
    <w:rsid w:val="00D52578"/>
    <w:rsid w:val="00D52A27"/>
    <w:rsid w:val="00D5333A"/>
    <w:rsid w:val="00D5412A"/>
    <w:rsid w:val="00D55B9B"/>
    <w:rsid w:val="00D55E63"/>
    <w:rsid w:val="00D56B9C"/>
    <w:rsid w:val="00D571A1"/>
    <w:rsid w:val="00D57E2E"/>
    <w:rsid w:val="00D57F79"/>
    <w:rsid w:val="00D605B8"/>
    <w:rsid w:val="00D605B9"/>
    <w:rsid w:val="00D606F1"/>
    <w:rsid w:val="00D60A18"/>
    <w:rsid w:val="00D614A9"/>
    <w:rsid w:val="00D61576"/>
    <w:rsid w:val="00D61969"/>
    <w:rsid w:val="00D62408"/>
    <w:rsid w:val="00D62902"/>
    <w:rsid w:val="00D62A78"/>
    <w:rsid w:val="00D64D79"/>
    <w:rsid w:val="00D651A5"/>
    <w:rsid w:val="00D6527A"/>
    <w:rsid w:val="00D65BD9"/>
    <w:rsid w:val="00D6646A"/>
    <w:rsid w:val="00D664A8"/>
    <w:rsid w:val="00D66767"/>
    <w:rsid w:val="00D66D77"/>
    <w:rsid w:val="00D67DF3"/>
    <w:rsid w:val="00D70972"/>
    <w:rsid w:val="00D70D7C"/>
    <w:rsid w:val="00D71952"/>
    <w:rsid w:val="00D72062"/>
    <w:rsid w:val="00D723D1"/>
    <w:rsid w:val="00D72602"/>
    <w:rsid w:val="00D72EED"/>
    <w:rsid w:val="00D7305C"/>
    <w:rsid w:val="00D73200"/>
    <w:rsid w:val="00D73273"/>
    <w:rsid w:val="00D73341"/>
    <w:rsid w:val="00D7409D"/>
    <w:rsid w:val="00D74302"/>
    <w:rsid w:val="00D75454"/>
    <w:rsid w:val="00D756BA"/>
    <w:rsid w:val="00D76311"/>
    <w:rsid w:val="00D7647C"/>
    <w:rsid w:val="00D776E1"/>
    <w:rsid w:val="00D81502"/>
    <w:rsid w:val="00D81C96"/>
    <w:rsid w:val="00D8200D"/>
    <w:rsid w:val="00D829BB"/>
    <w:rsid w:val="00D82FE4"/>
    <w:rsid w:val="00D83B3D"/>
    <w:rsid w:val="00D85236"/>
    <w:rsid w:val="00D85C91"/>
    <w:rsid w:val="00D863EB"/>
    <w:rsid w:val="00D86649"/>
    <w:rsid w:val="00D8674A"/>
    <w:rsid w:val="00D87371"/>
    <w:rsid w:val="00D87B6D"/>
    <w:rsid w:val="00D87EFE"/>
    <w:rsid w:val="00D920C5"/>
    <w:rsid w:val="00D92B4E"/>
    <w:rsid w:val="00D93FAE"/>
    <w:rsid w:val="00D9420E"/>
    <w:rsid w:val="00D94531"/>
    <w:rsid w:val="00D94913"/>
    <w:rsid w:val="00D94DE1"/>
    <w:rsid w:val="00D957D2"/>
    <w:rsid w:val="00D95BF7"/>
    <w:rsid w:val="00D9662E"/>
    <w:rsid w:val="00D96BE5"/>
    <w:rsid w:val="00D96E24"/>
    <w:rsid w:val="00D96F5D"/>
    <w:rsid w:val="00D97A31"/>
    <w:rsid w:val="00D97E46"/>
    <w:rsid w:val="00DA05D8"/>
    <w:rsid w:val="00DA107C"/>
    <w:rsid w:val="00DA274B"/>
    <w:rsid w:val="00DA2809"/>
    <w:rsid w:val="00DA2A78"/>
    <w:rsid w:val="00DA3D41"/>
    <w:rsid w:val="00DA3D48"/>
    <w:rsid w:val="00DA4D5F"/>
    <w:rsid w:val="00DA509F"/>
    <w:rsid w:val="00DA578C"/>
    <w:rsid w:val="00DA5AFB"/>
    <w:rsid w:val="00DA5FFA"/>
    <w:rsid w:val="00DA6163"/>
    <w:rsid w:val="00DA632D"/>
    <w:rsid w:val="00DA64E2"/>
    <w:rsid w:val="00DA6C72"/>
    <w:rsid w:val="00DA6E61"/>
    <w:rsid w:val="00DB0159"/>
    <w:rsid w:val="00DB04CA"/>
    <w:rsid w:val="00DB16E2"/>
    <w:rsid w:val="00DB185F"/>
    <w:rsid w:val="00DB1AE2"/>
    <w:rsid w:val="00DB1D23"/>
    <w:rsid w:val="00DB241E"/>
    <w:rsid w:val="00DB373C"/>
    <w:rsid w:val="00DB38F7"/>
    <w:rsid w:val="00DB4381"/>
    <w:rsid w:val="00DB4655"/>
    <w:rsid w:val="00DB4842"/>
    <w:rsid w:val="00DB4843"/>
    <w:rsid w:val="00DB4975"/>
    <w:rsid w:val="00DB4B7C"/>
    <w:rsid w:val="00DB4BDF"/>
    <w:rsid w:val="00DB5113"/>
    <w:rsid w:val="00DB5393"/>
    <w:rsid w:val="00DB57A5"/>
    <w:rsid w:val="00DB5F90"/>
    <w:rsid w:val="00DB6E0E"/>
    <w:rsid w:val="00DB6EC7"/>
    <w:rsid w:val="00DB7110"/>
    <w:rsid w:val="00DB72DF"/>
    <w:rsid w:val="00DB76F4"/>
    <w:rsid w:val="00DB7750"/>
    <w:rsid w:val="00DB7938"/>
    <w:rsid w:val="00DC096C"/>
    <w:rsid w:val="00DC0D5E"/>
    <w:rsid w:val="00DC0FB7"/>
    <w:rsid w:val="00DC10DB"/>
    <w:rsid w:val="00DC12C6"/>
    <w:rsid w:val="00DC163D"/>
    <w:rsid w:val="00DC1897"/>
    <w:rsid w:val="00DC1E81"/>
    <w:rsid w:val="00DC1F4A"/>
    <w:rsid w:val="00DC2528"/>
    <w:rsid w:val="00DC34D1"/>
    <w:rsid w:val="00DC3632"/>
    <w:rsid w:val="00DC3D51"/>
    <w:rsid w:val="00DC4BEE"/>
    <w:rsid w:val="00DC4F83"/>
    <w:rsid w:val="00DC52B1"/>
    <w:rsid w:val="00DC5307"/>
    <w:rsid w:val="00DC54FE"/>
    <w:rsid w:val="00DC5FA5"/>
    <w:rsid w:val="00DC614D"/>
    <w:rsid w:val="00DC6BE5"/>
    <w:rsid w:val="00DC705B"/>
    <w:rsid w:val="00DC7833"/>
    <w:rsid w:val="00DC79A6"/>
    <w:rsid w:val="00DD05FF"/>
    <w:rsid w:val="00DD0A5E"/>
    <w:rsid w:val="00DD0E3F"/>
    <w:rsid w:val="00DD119B"/>
    <w:rsid w:val="00DD11AF"/>
    <w:rsid w:val="00DD2061"/>
    <w:rsid w:val="00DD2A39"/>
    <w:rsid w:val="00DD33CE"/>
    <w:rsid w:val="00DD3CD8"/>
    <w:rsid w:val="00DD3DA2"/>
    <w:rsid w:val="00DD40BC"/>
    <w:rsid w:val="00DD5268"/>
    <w:rsid w:val="00DD5B24"/>
    <w:rsid w:val="00DD6070"/>
    <w:rsid w:val="00DD6D5D"/>
    <w:rsid w:val="00DD6E31"/>
    <w:rsid w:val="00DD7908"/>
    <w:rsid w:val="00DE0212"/>
    <w:rsid w:val="00DE14EE"/>
    <w:rsid w:val="00DE1EDF"/>
    <w:rsid w:val="00DE2320"/>
    <w:rsid w:val="00DE31E5"/>
    <w:rsid w:val="00DE36D5"/>
    <w:rsid w:val="00DE3ACD"/>
    <w:rsid w:val="00DE3DC4"/>
    <w:rsid w:val="00DE48CA"/>
    <w:rsid w:val="00DE49E6"/>
    <w:rsid w:val="00DE4EAC"/>
    <w:rsid w:val="00DE53E9"/>
    <w:rsid w:val="00DE5643"/>
    <w:rsid w:val="00DE5A39"/>
    <w:rsid w:val="00DE5A9C"/>
    <w:rsid w:val="00DE5BF6"/>
    <w:rsid w:val="00DE5D7E"/>
    <w:rsid w:val="00DE62E6"/>
    <w:rsid w:val="00DE6492"/>
    <w:rsid w:val="00DE680F"/>
    <w:rsid w:val="00DF046E"/>
    <w:rsid w:val="00DF0474"/>
    <w:rsid w:val="00DF0D0A"/>
    <w:rsid w:val="00DF132A"/>
    <w:rsid w:val="00DF1B31"/>
    <w:rsid w:val="00DF25C8"/>
    <w:rsid w:val="00DF280C"/>
    <w:rsid w:val="00DF2855"/>
    <w:rsid w:val="00DF2911"/>
    <w:rsid w:val="00DF36DE"/>
    <w:rsid w:val="00DF3AEA"/>
    <w:rsid w:val="00DF3F24"/>
    <w:rsid w:val="00DF4395"/>
    <w:rsid w:val="00DF491E"/>
    <w:rsid w:val="00DF4940"/>
    <w:rsid w:val="00DF5CBF"/>
    <w:rsid w:val="00DF6B03"/>
    <w:rsid w:val="00DF6CC8"/>
    <w:rsid w:val="00DF7F29"/>
    <w:rsid w:val="00E0009C"/>
    <w:rsid w:val="00E00295"/>
    <w:rsid w:val="00E0091C"/>
    <w:rsid w:val="00E00BDD"/>
    <w:rsid w:val="00E01703"/>
    <w:rsid w:val="00E01B7A"/>
    <w:rsid w:val="00E01FD4"/>
    <w:rsid w:val="00E02329"/>
    <w:rsid w:val="00E0251B"/>
    <w:rsid w:val="00E02FF4"/>
    <w:rsid w:val="00E03132"/>
    <w:rsid w:val="00E03315"/>
    <w:rsid w:val="00E03EB5"/>
    <w:rsid w:val="00E041AB"/>
    <w:rsid w:val="00E04D1D"/>
    <w:rsid w:val="00E05833"/>
    <w:rsid w:val="00E059E9"/>
    <w:rsid w:val="00E06070"/>
    <w:rsid w:val="00E06377"/>
    <w:rsid w:val="00E0680E"/>
    <w:rsid w:val="00E06B57"/>
    <w:rsid w:val="00E06E4E"/>
    <w:rsid w:val="00E071E1"/>
    <w:rsid w:val="00E10125"/>
    <w:rsid w:val="00E101AF"/>
    <w:rsid w:val="00E10485"/>
    <w:rsid w:val="00E10521"/>
    <w:rsid w:val="00E10555"/>
    <w:rsid w:val="00E10EDC"/>
    <w:rsid w:val="00E116DD"/>
    <w:rsid w:val="00E11F39"/>
    <w:rsid w:val="00E1224F"/>
    <w:rsid w:val="00E122FB"/>
    <w:rsid w:val="00E123A7"/>
    <w:rsid w:val="00E123AF"/>
    <w:rsid w:val="00E13042"/>
    <w:rsid w:val="00E131FE"/>
    <w:rsid w:val="00E13857"/>
    <w:rsid w:val="00E138F5"/>
    <w:rsid w:val="00E13B0B"/>
    <w:rsid w:val="00E13C41"/>
    <w:rsid w:val="00E13D7D"/>
    <w:rsid w:val="00E142E5"/>
    <w:rsid w:val="00E14AE1"/>
    <w:rsid w:val="00E1526A"/>
    <w:rsid w:val="00E15860"/>
    <w:rsid w:val="00E15AB8"/>
    <w:rsid w:val="00E15E47"/>
    <w:rsid w:val="00E16384"/>
    <w:rsid w:val="00E16A8B"/>
    <w:rsid w:val="00E16AA6"/>
    <w:rsid w:val="00E171BB"/>
    <w:rsid w:val="00E2014E"/>
    <w:rsid w:val="00E20C60"/>
    <w:rsid w:val="00E21086"/>
    <w:rsid w:val="00E2126F"/>
    <w:rsid w:val="00E217FA"/>
    <w:rsid w:val="00E21F8C"/>
    <w:rsid w:val="00E223C2"/>
    <w:rsid w:val="00E2264F"/>
    <w:rsid w:val="00E22C35"/>
    <w:rsid w:val="00E22F60"/>
    <w:rsid w:val="00E22F75"/>
    <w:rsid w:val="00E2352C"/>
    <w:rsid w:val="00E236B8"/>
    <w:rsid w:val="00E23B78"/>
    <w:rsid w:val="00E24B06"/>
    <w:rsid w:val="00E254B6"/>
    <w:rsid w:val="00E2577B"/>
    <w:rsid w:val="00E2604D"/>
    <w:rsid w:val="00E2645B"/>
    <w:rsid w:val="00E2650A"/>
    <w:rsid w:val="00E26C0E"/>
    <w:rsid w:val="00E26F06"/>
    <w:rsid w:val="00E275B8"/>
    <w:rsid w:val="00E275DD"/>
    <w:rsid w:val="00E27649"/>
    <w:rsid w:val="00E27B09"/>
    <w:rsid w:val="00E27B4C"/>
    <w:rsid w:val="00E27E2A"/>
    <w:rsid w:val="00E27E6F"/>
    <w:rsid w:val="00E3017A"/>
    <w:rsid w:val="00E30496"/>
    <w:rsid w:val="00E30A56"/>
    <w:rsid w:val="00E31013"/>
    <w:rsid w:val="00E310BC"/>
    <w:rsid w:val="00E312C4"/>
    <w:rsid w:val="00E314FC"/>
    <w:rsid w:val="00E32311"/>
    <w:rsid w:val="00E33023"/>
    <w:rsid w:val="00E333C2"/>
    <w:rsid w:val="00E352B4"/>
    <w:rsid w:val="00E36141"/>
    <w:rsid w:val="00E364C5"/>
    <w:rsid w:val="00E37381"/>
    <w:rsid w:val="00E412C5"/>
    <w:rsid w:val="00E42145"/>
    <w:rsid w:val="00E42167"/>
    <w:rsid w:val="00E42301"/>
    <w:rsid w:val="00E42415"/>
    <w:rsid w:val="00E42A21"/>
    <w:rsid w:val="00E42D97"/>
    <w:rsid w:val="00E42FCB"/>
    <w:rsid w:val="00E433CB"/>
    <w:rsid w:val="00E43607"/>
    <w:rsid w:val="00E43E3D"/>
    <w:rsid w:val="00E4407B"/>
    <w:rsid w:val="00E44865"/>
    <w:rsid w:val="00E44AC7"/>
    <w:rsid w:val="00E44C2E"/>
    <w:rsid w:val="00E45119"/>
    <w:rsid w:val="00E45BD5"/>
    <w:rsid w:val="00E45E2E"/>
    <w:rsid w:val="00E468E3"/>
    <w:rsid w:val="00E46AB9"/>
    <w:rsid w:val="00E46E49"/>
    <w:rsid w:val="00E471F8"/>
    <w:rsid w:val="00E4723D"/>
    <w:rsid w:val="00E503AC"/>
    <w:rsid w:val="00E5103A"/>
    <w:rsid w:val="00E5260D"/>
    <w:rsid w:val="00E53222"/>
    <w:rsid w:val="00E546A9"/>
    <w:rsid w:val="00E54FA3"/>
    <w:rsid w:val="00E558DA"/>
    <w:rsid w:val="00E55B10"/>
    <w:rsid w:val="00E56294"/>
    <w:rsid w:val="00E563A0"/>
    <w:rsid w:val="00E567D1"/>
    <w:rsid w:val="00E56C26"/>
    <w:rsid w:val="00E5715B"/>
    <w:rsid w:val="00E57E7A"/>
    <w:rsid w:val="00E60484"/>
    <w:rsid w:val="00E60499"/>
    <w:rsid w:val="00E618CA"/>
    <w:rsid w:val="00E64050"/>
    <w:rsid w:val="00E64153"/>
    <w:rsid w:val="00E648DA"/>
    <w:rsid w:val="00E6601F"/>
    <w:rsid w:val="00E66968"/>
    <w:rsid w:val="00E66C2B"/>
    <w:rsid w:val="00E66DE6"/>
    <w:rsid w:val="00E677A6"/>
    <w:rsid w:val="00E67BC7"/>
    <w:rsid w:val="00E67D75"/>
    <w:rsid w:val="00E71740"/>
    <w:rsid w:val="00E726D2"/>
    <w:rsid w:val="00E72A09"/>
    <w:rsid w:val="00E736AC"/>
    <w:rsid w:val="00E73EC0"/>
    <w:rsid w:val="00E7409D"/>
    <w:rsid w:val="00E7440B"/>
    <w:rsid w:val="00E745D1"/>
    <w:rsid w:val="00E74FB3"/>
    <w:rsid w:val="00E75172"/>
    <w:rsid w:val="00E752A6"/>
    <w:rsid w:val="00E7536E"/>
    <w:rsid w:val="00E760ED"/>
    <w:rsid w:val="00E7635A"/>
    <w:rsid w:val="00E765D0"/>
    <w:rsid w:val="00E765ED"/>
    <w:rsid w:val="00E766FC"/>
    <w:rsid w:val="00E7735B"/>
    <w:rsid w:val="00E77B13"/>
    <w:rsid w:val="00E80E3E"/>
    <w:rsid w:val="00E81337"/>
    <w:rsid w:val="00E813C9"/>
    <w:rsid w:val="00E81C4B"/>
    <w:rsid w:val="00E820A1"/>
    <w:rsid w:val="00E8347D"/>
    <w:rsid w:val="00E836C8"/>
    <w:rsid w:val="00E8375F"/>
    <w:rsid w:val="00E83B6A"/>
    <w:rsid w:val="00E8445D"/>
    <w:rsid w:val="00E84574"/>
    <w:rsid w:val="00E84A03"/>
    <w:rsid w:val="00E853CB"/>
    <w:rsid w:val="00E85477"/>
    <w:rsid w:val="00E85944"/>
    <w:rsid w:val="00E9053C"/>
    <w:rsid w:val="00E909B7"/>
    <w:rsid w:val="00E90A41"/>
    <w:rsid w:val="00E9185D"/>
    <w:rsid w:val="00E93060"/>
    <w:rsid w:val="00E93FD0"/>
    <w:rsid w:val="00E9585F"/>
    <w:rsid w:val="00E959E8"/>
    <w:rsid w:val="00E95ABF"/>
    <w:rsid w:val="00E95E20"/>
    <w:rsid w:val="00E960BC"/>
    <w:rsid w:val="00E96996"/>
    <w:rsid w:val="00E97009"/>
    <w:rsid w:val="00E97480"/>
    <w:rsid w:val="00E977B7"/>
    <w:rsid w:val="00EA0D4D"/>
    <w:rsid w:val="00EA0EAD"/>
    <w:rsid w:val="00EA1407"/>
    <w:rsid w:val="00EA151D"/>
    <w:rsid w:val="00EA2055"/>
    <w:rsid w:val="00EA20EF"/>
    <w:rsid w:val="00EA3B62"/>
    <w:rsid w:val="00EA4186"/>
    <w:rsid w:val="00EA4BB1"/>
    <w:rsid w:val="00EA6ACD"/>
    <w:rsid w:val="00EA6DA8"/>
    <w:rsid w:val="00EB039B"/>
    <w:rsid w:val="00EB0774"/>
    <w:rsid w:val="00EB0ABB"/>
    <w:rsid w:val="00EB1327"/>
    <w:rsid w:val="00EB170F"/>
    <w:rsid w:val="00EB1EB8"/>
    <w:rsid w:val="00EB2B11"/>
    <w:rsid w:val="00EB440A"/>
    <w:rsid w:val="00EB47B3"/>
    <w:rsid w:val="00EB4A19"/>
    <w:rsid w:val="00EB4A8B"/>
    <w:rsid w:val="00EB52B6"/>
    <w:rsid w:val="00EB5500"/>
    <w:rsid w:val="00EB5705"/>
    <w:rsid w:val="00EB58DA"/>
    <w:rsid w:val="00EB5BC8"/>
    <w:rsid w:val="00EB5D84"/>
    <w:rsid w:val="00EB667D"/>
    <w:rsid w:val="00EB686C"/>
    <w:rsid w:val="00EB7057"/>
    <w:rsid w:val="00EB71FF"/>
    <w:rsid w:val="00EB75D6"/>
    <w:rsid w:val="00EB7F77"/>
    <w:rsid w:val="00EC034E"/>
    <w:rsid w:val="00EC077B"/>
    <w:rsid w:val="00EC0CB8"/>
    <w:rsid w:val="00EC0D45"/>
    <w:rsid w:val="00EC1341"/>
    <w:rsid w:val="00EC14B4"/>
    <w:rsid w:val="00EC15CA"/>
    <w:rsid w:val="00EC1797"/>
    <w:rsid w:val="00EC201E"/>
    <w:rsid w:val="00EC2379"/>
    <w:rsid w:val="00EC23A8"/>
    <w:rsid w:val="00EC2A02"/>
    <w:rsid w:val="00EC2D1F"/>
    <w:rsid w:val="00EC3493"/>
    <w:rsid w:val="00EC37B0"/>
    <w:rsid w:val="00EC390F"/>
    <w:rsid w:val="00EC3EDB"/>
    <w:rsid w:val="00EC4225"/>
    <w:rsid w:val="00EC4273"/>
    <w:rsid w:val="00EC4829"/>
    <w:rsid w:val="00EC60E8"/>
    <w:rsid w:val="00EC6117"/>
    <w:rsid w:val="00EC67BB"/>
    <w:rsid w:val="00EC685A"/>
    <w:rsid w:val="00ED125D"/>
    <w:rsid w:val="00ED1AD6"/>
    <w:rsid w:val="00ED24FE"/>
    <w:rsid w:val="00ED3366"/>
    <w:rsid w:val="00ED3A30"/>
    <w:rsid w:val="00ED3F4F"/>
    <w:rsid w:val="00ED4420"/>
    <w:rsid w:val="00ED4B75"/>
    <w:rsid w:val="00ED4D53"/>
    <w:rsid w:val="00ED4DD1"/>
    <w:rsid w:val="00ED4EA9"/>
    <w:rsid w:val="00ED4FFC"/>
    <w:rsid w:val="00ED5AF1"/>
    <w:rsid w:val="00ED60AF"/>
    <w:rsid w:val="00ED6F8E"/>
    <w:rsid w:val="00ED7016"/>
    <w:rsid w:val="00ED76C3"/>
    <w:rsid w:val="00ED7A21"/>
    <w:rsid w:val="00ED7D5A"/>
    <w:rsid w:val="00EE04B8"/>
    <w:rsid w:val="00EE0664"/>
    <w:rsid w:val="00EE0EDE"/>
    <w:rsid w:val="00EE1A4C"/>
    <w:rsid w:val="00EE1B74"/>
    <w:rsid w:val="00EE29DE"/>
    <w:rsid w:val="00EE2D12"/>
    <w:rsid w:val="00EE2F06"/>
    <w:rsid w:val="00EE4118"/>
    <w:rsid w:val="00EE4522"/>
    <w:rsid w:val="00EE51B6"/>
    <w:rsid w:val="00EE6027"/>
    <w:rsid w:val="00EE6CBA"/>
    <w:rsid w:val="00EE7266"/>
    <w:rsid w:val="00EE746F"/>
    <w:rsid w:val="00EE7991"/>
    <w:rsid w:val="00EF0111"/>
    <w:rsid w:val="00EF1F88"/>
    <w:rsid w:val="00EF231A"/>
    <w:rsid w:val="00EF24BA"/>
    <w:rsid w:val="00EF308A"/>
    <w:rsid w:val="00EF35E0"/>
    <w:rsid w:val="00EF4081"/>
    <w:rsid w:val="00EF467A"/>
    <w:rsid w:val="00EF4ACE"/>
    <w:rsid w:val="00EF5393"/>
    <w:rsid w:val="00EF577B"/>
    <w:rsid w:val="00EF5B17"/>
    <w:rsid w:val="00EF5C45"/>
    <w:rsid w:val="00EF5E6A"/>
    <w:rsid w:val="00EF7FF7"/>
    <w:rsid w:val="00F00097"/>
    <w:rsid w:val="00F00472"/>
    <w:rsid w:val="00F0086D"/>
    <w:rsid w:val="00F009CD"/>
    <w:rsid w:val="00F00B06"/>
    <w:rsid w:val="00F01073"/>
    <w:rsid w:val="00F0159F"/>
    <w:rsid w:val="00F01B7F"/>
    <w:rsid w:val="00F020A9"/>
    <w:rsid w:val="00F02C16"/>
    <w:rsid w:val="00F02DAE"/>
    <w:rsid w:val="00F033E1"/>
    <w:rsid w:val="00F059CA"/>
    <w:rsid w:val="00F05A1D"/>
    <w:rsid w:val="00F05BA4"/>
    <w:rsid w:val="00F05E21"/>
    <w:rsid w:val="00F05EB0"/>
    <w:rsid w:val="00F060E9"/>
    <w:rsid w:val="00F061E5"/>
    <w:rsid w:val="00F06A28"/>
    <w:rsid w:val="00F0718E"/>
    <w:rsid w:val="00F073CB"/>
    <w:rsid w:val="00F07746"/>
    <w:rsid w:val="00F07DA8"/>
    <w:rsid w:val="00F113B0"/>
    <w:rsid w:val="00F11559"/>
    <w:rsid w:val="00F11A7F"/>
    <w:rsid w:val="00F12301"/>
    <w:rsid w:val="00F12D70"/>
    <w:rsid w:val="00F130E6"/>
    <w:rsid w:val="00F13368"/>
    <w:rsid w:val="00F14D73"/>
    <w:rsid w:val="00F1583C"/>
    <w:rsid w:val="00F15AE2"/>
    <w:rsid w:val="00F15CA6"/>
    <w:rsid w:val="00F16218"/>
    <w:rsid w:val="00F168FA"/>
    <w:rsid w:val="00F16978"/>
    <w:rsid w:val="00F16AA3"/>
    <w:rsid w:val="00F16DBA"/>
    <w:rsid w:val="00F175AD"/>
    <w:rsid w:val="00F2376B"/>
    <w:rsid w:val="00F2386A"/>
    <w:rsid w:val="00F23AFC"/>
    <w:rsid w:val="00F24F0F"/>
    <w:rsid w:val="00F2564E"/>
    <w:rsid w:val="00F25826"/>
    <w:rsid w:val="00F25B62"/>
    <w:rsid w:val="00F25B6E"/>
    <w:rsid w:val="00F25D14"/>
    <w:rsid w:val="00F261A8"/>
    <w:rsid w:val="00F277D6"/>
    <w:rsid w:val="00F279BC"/>
    <w:rsid w:val="00F27CC3"/>
    <w:rsid w:val="00F27D24"/>
    <w:rsid w:val="00F27DA2"/>
    <w:rsid w:val="00F27FCF"/>
    <w:rsid w:val="00F306E8"/>
    <w:rsid w:val="00F30A2B"/>
    <w:rsid w:val="00F30EF4"/>
    <w:rsid w:val="00F310B7"/>
    <w:rsid w:val="00F315A4"/>
    <w:rsid w:val="00F31BA3"/>
    <w:rsid w:val="00F31C11"/>
    <w:rsid w:val="00F322BB"/>
    <w:rsid w:val="00F32876"/>
    <w:rsid w:val="00F3309E"/>
    <w:rsid w:val="00F335AB"/>
    <w:rsid w:val="00F33C87"/>
    <w:rsid w:val="00F3431B"/>
    <w:rsid w:val="00F343AE"/>
    <w:rsid w:val="00F34404"/>
    <w:rsid w:val="00F3441A"/>
    <w:rsid w:val="00F355D6"/>
    <w:rsid w:val="00F35C94"/>
    <w:rsid w:val="00F378A4"/>
    <w:rsid w:val="00F37C42"/>
    <w:rsid w:val="00F400DB"/>
    <w:rsid w:val="00F4054D"/>
    <w:rsid w:val="00F41070"/>
    <w:rsid w:val="00F41617"/>
    <w:rsid w:val="00F42165"/>
    <w:rsid w:val="00F42BA1"/>
    <w:rsid w:val="00F42C0A"/>
    <w:rsid w:val="00F434EF"/>
    <w:rsid w:val="00F4372D"/>
    <w:rsid w:val="00F43D20"/>
    <w:rsid w:val="00F440FD"/>
    <w:rsid w:val="00F45076"/>
    <w:rsid w:val="00F450B1"/>
    <w:rsid w:val="00F45380"/>
    <w:rsid w:val="00F454CB"/>
    <w:rsid w:val="00F4566D"/>
    <w:rsid w:val="00F45D43"/>
    <w:rsid w:val="00F45F9F"/>
    <w:rsid w:val="00F46095"/>
    <w:rsid w:val="00F46688"/>
    <w:rsid w:val="00F469D0"/>
    <w:rsid w:val="00F469D9"/>
    <w:rsid w:val="00F470B7"/>
    <w:rsid w:val="00F476E3"/>
    <w:rsid w:val="00F47A89"/>
    <w:rsid w:val="00F47BA2"/>
    <w:rsid w:val="00F50A05"/>
    <w:rsid w:val="00F517B3"/>
    <w:rsid w:val="00F52229"/>
    <w:rsid w:val="00F52780"/>
    <w:rsid w:val="00F53200"/>
    <w:rsid w:val="00F54D3B"/>
    <w:rsid w:val="00F54E58"/>
    <w:rsid w:val="00F569B3"/>
    <w:rsid w:val="00F56D4C"/>
    <w:rsid w:val="00F571F2"/>
    <w:rsid w:val="00F574F9"/>
    <w:rsid w:val="00F578C2"/>
    <w:rsid w:val="00F609B9"/>
    <w:rsid w:val="00F60E78"/>
    <w:rsid w:val="00F60EDE"/>
    <w:rsid w:val="00F62179"/>
    <w:rsid w:val="00F62A2F"/>
    <w:rsid w:val="00F62C1C"/>
    <w:rsid w:val="00F63357"/>
    <w:rsid w:val="00F635AA"/>
    <w:rsid w:val="00F6414F"/>
    <w:rsid w:val="00F65DE6"/>
    <w:rsid w:val="00F660BC"/>
    <w:rsid w:val="00F67693"/>
    <w:rsid w:val="00F70670"/>
    <w:rsid w:val="00F70841"/>
    <w:rsid w:val="00F70C9C"/>
    <w:rsid w:val="00F70F34"/>
    <w:rsid w:val="00F711B3"/>
    <w:rsid w:val="00F71843"/>
    <w:rsid w:val="00F72FA6"/>
    <w:rsid w:val="00F7308F"/>
    <w:rsid w:val="00F73B9F"/>
    <w:rsid w:val="00F73D2F"/>
    <w:rsid w:val="00F73DFC"/>
    <w:rsid w:val="00F74291"/>
    <w:rsid w:val="00F74603"/>
    <w:rsid w:val="00F753CD"/>
    <w:rsid w:val="00F7619A"/>
    <w:rsid w:val="00F76801"/>
    <w:rsid w:val="00F76BD2"/>
    <w:rsid w:val="00F76CE6"/>
    <w:rsid w:val="00F76DC8"/>
    <w:rsid w:val="00F80095"/>
    <w:rsid w:val="00F80469"/>
    <w:rsid w:val="00F80535"/>
    <w:rsid w:val="00F80A06"/>
    <w:rsid w:val="00F815E1"/>
    <w:rsid w:val="00F81CEF"/>
    <w:rsid w:val="00F826B9"/>
    <w:rsid w:val="00F83D56"/>
    <w:rsid w:val="00F83F4D"/>
    <w:rsid w:val="00F8444D"/>
    <w:rsid w:val="00F847D1"/>
    <w:rsid w:val="00F85447"/>
    <w:rsid w:val="00F858FE"/>
    <w:rsid w:val="00F8596A"/>
    <w:rsid w:val="00F85D8B"/>
    <w:rsid w:val="00F86211"/>
    <w:rsid w:val="00F86702"/>
    <w:rsid w:val="00F86717"/>
    <w:rsid w:val="00F86C3A"/>
    <w:rsid w:val="00F8732C"/>
    <w:rsid w:val="00F87909"/>
    <w:rsid w:val="00F87C77"/>
    <w:rsid w:val="00F9034F"/>
    <w:rsid w:val="00F90429"/>
    <w:rsid w:val="00F92BBC"/>
    <w:rsid w:val="00F92EFD"/>
    <w:rsid w:val="00F9366A"/>
    <w:rsid w:val="00F93CFF"/>
    <w:rsid w:val="00F9423D"/>
    <w:rsid w:val="00F94295"/>
    <w:rsid w:val="00F94452"/>
    <w:rsid w:val="00F94835"/>
    <w:rsid w:val="00F94BD3"/>
    <w:rsid w:val="00F94FC4"/>
    <w:rsid w:val="00F95965"/>
    <w:rsid w:val="00F968E5"/>
    <w:rsid w:val="00F969B6"/>
    <w:rsid w:val="00F96C47"/>
    <w:rsid w:val="00F96D8B"/>
    <w:rsid w:val="00F973B1"/>
    <w:rsid w:val="00F9793D"/>
    <w:rsid w:val="00F97D3B"/>
    <w:rsid w:val="00F97FBA"/>
    <w:rsid w:val="00FA06E5"/>
    <w:rsid w:val="00FA10A4"/>
    <w:rsid w:val="00FA1F97"/>
    <w:rsid w:val="00FA282B"/>
    <w:rsid w:val="00FA2DAD"/>
    <w:rsid w:val="00FA34A7"/>
    <w:rsid w:val="00FA4518"/>
    <w:rsid w:val="00FA4AFC"/>
    <w:rsid w:val="00FA50B9"/>
    <w:rsid w:val="00FA57FA"/>
    <w:rsid w:val="00FA5837"/>
    <w:rsid w:val="00FA647E"/>
    <w:rsid w:val="00FA65D4"/>
    <w:rsid w:val="00FA6C6B"/>
    <w:rsid w:val="00FA783B"/>
    <w:rsid w:val="00FB01A2"/>
    <w:rsid w:val="00FB0C64"/>
    <w:rsid w:val="00FB1503"/>
    <w:rsid w:val="00FB217E"/>
    <w:rsid w:val="00FB3C99"/>
    <w:rsid w:val="00FB53E7"/>
    <w:rsid w:val="00FB5692"/>
    <w:rsid w:val="00FB5DC5"/>
    <w:rsid w:val="00FB6312"/>
    <w:rsid w:val="00FB6D55"/>
    <w:rsid w:val="00FB7494"/>
    <w:rsid w:val="00FB791F"/>
    <w:rsid w:val="00FB7ABA"/>
    <w:rsid w:val="00FC065A"/>
    <w:rsid w:val="00FC137F"/>
    <w:rsid w:val="00FC1994"/>
    <w:rsid w:val="00FC199D"/>
    <w:rsid w:val="00FC2E09"/>
    <w:rsid w:val="00FC39F8"/>
    <w:rsid w:val="00FC42E8"/>
    <w:rsid w:val="00FC48AC"/>
    <w:rsid w:val="00FC51AF"/>
    <w:rsid w:val="00FC51D7"/>
    <w:rsid w:val="00FC557A"/>
    <w:rsid w:val="00FC5602"/>
    <w:rsid w:val="00FC5870"/>
    <w:rsid w:val="00FC610C"/>
    <w:rsid w:val="00FC6694"/>
    <w:rsid w:val="00FC6A09"/>
    <w:rsid w:val="00FD00F0"/>
    <w:rsid w:val="00FD0550"/>
    <w:rsid w:val="00FD085B"/>
    <w:rsid w:val="00FD0EAF"/>
    <w:rsid w:val="00FD11B5"/>
    <w:rsid w:val="00FD2464"/>
    <w:rsid w:val="00FD24BC"/>
    <w:rsid w:val="00FD45F8"/>
    <w:rsid w:val="00FD4662"/>
    <w:rsid w:val="00FD4E68"/>
    <w:rsid w:val="00FD54A0"/>
    <w:rsid w:val="00FD5942"/>
    <w:rsid w:val="00FD5DBD"/>
    <w:rsid w:val="00FD6A57"/>
    <w:rsid w:val="00FD6A8E"/>
    <w:rsid w:val="00FD6C5D"/>
    <w:rsid w:val="00FD76B7"/>
    <w:rsid w:val="00FD7C83"/>
    <w:rsid w:val="00FE08AB"/>
    <w:rsid w:val="00FE1456"/>
    <w:rsid w:val="00FE157B"/>
    <w:rsid w:val="00FE1841"/>
    <w:rsid w:val="00FE1ABB"/>
    <w:rsid w:val="00FE1B7D"/>
    <w:rsid w:val="00FE1EAD"/>
    <w:rsid w:val="00FE2032"/>
    <w:rsid w:val="00FE28FC"/>
    <w:rsid w:val="00FE2CB1"/>
    <w:rsid w:val="00FE3865"/>
    <w:rsid w:val="00FE3F25"/>
    <w:rsid w:val="00FE45F4"/>
    <w:rsid w:val="00FE4673"/>
    <w:rsid w:val="00FE4FB3"/>
    <w:rsid w:val="00FE5BD5"/>
    <w:rsid w:val="00FE687E"/>
    <w:rsid w:val="00FE68A3"/>
    <w:rsid w:val="00FE7594"/>
    <w:rsid w:val="00FE7859"/>
    <w:rsid w:val="00FE7D6C"/>
    <w:rsid w:val="00FF00C4"/>
    <w:rsid w:val="00FF0B6D"/>
    <w:rsid w:val="00FF0F39"/>
    <w:rsid w:val="00FF15C0"/>
    <w:rsid w:val="00FF1A3C"/>
    <w:rsid w:val="00FF1DA0"/>
    <w:rsid w:val="00FF2A5E"/>
    <w:rsid w:val="00FF3562"/>
    <w:rsid w:val="00FF40A2"/>
    <w:rsid w:val="00FF4970"/>
    <w:rsid w:val="00FF56B1"/>
    <w:rsid w:val="00FF59DE"/>
    <w:rsid w:val="00FF5B23"/>
    <w:rsid w:val="00FF667F"/>
    <w:rsid w:val="00FF7C59"/>
    <w:rsid w:val="01F43B35"/>
    <w:rsid w:val="08F04525"/>
    <w:rsid w:val="0BF76C97"/>
    <w:rsid w:val="28F40436"/>
    <w:rsid w:val="2ED05A75"/>
    <w:rsid w:val="471955DA"/>
    <w:rsid w:val="52FA546E"/>
    <w:rsid w:val="5B85182D"/>
    <w:rsid w:val="5FA30ABC"/>
    <w:rsid w:val="647E161A"/>
    <w:rsid w:val="67D75FB5"/>
    <w:rsid w:val="6907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35"/>
    <w:qFormat/>
    <w:uiPriority w:val="9"/>
    <w:pPr>
      <w:keepNext/>
      <w:keepLines/>
      <w:outlineLvl w:val="0"/>
    </w:pPr>
    <w:rPr>
      <w:rFonts w:eastAsia="黑体"/>
      <w:bCs/>
      <w:kern w:val="44"/>
      <w:szCs w:val="44"/>
    </w:rPr>
  </w:style>
  <w:style w:type="paragraph" w:styleId="3">
    <w:name w:val="heading 2"/>
    <w:basedOn w:val="1"/>
    <w:next w:val="1"/>
    <w:link w:val="36"/>
    <w:unhideWhenUsed/>
    <w:qFormat/>
    <w:uiPriority w:val="9"/>
    <w:pPr>
      <w:keepNext/>
      <w:keepLines/>
      <w:outlineLvl w:val="1"/>
    </w:pPr>
    <w:rPr>
      <w:rFonts w:eastAsia="楷体_GB2312"/>
      <w:bCs/>
      <w:szCs w:val="30"/>
    </w:rPr>
  </w:style>
  <w:style w:type="paragraph" w:styleId="4">
    <w:name w:val="heading 3"/>
    <w:basedOn w:val="1"/>
    <w:next w:val="1"/>
    <w:link w:val="37"/>
    <w:unhideWhenUsed/>
    <w:qFormat/>
    <w:uiPriority w:val="9"/>
    <w:pPr>
      <w:keepNext/>
      <w:keepLines/>
      <w:outlineLvl w:val="2"/>
    </w:pPr>
    <w:rPr>
      <w:b/>
      <w:bCs/>
      <w:szCs w:val="32"/>
    </w:rPr>
  </w:style>
  <w:style w:type="paragraph" w:styleId="5">
    <w:name w:val="heading 4"/>
    <w:basedOn w:val="1"/>
    <w:next w:val="1"/>
    <w:link w:val="38"/>
    <w:unhideWhenUsed/>
    <w:qFormat/>
    <w:uiPriority w:val="9"/>
    <w:pPr>
      <w:keepNext/>
      <w:keepLines/>
      <w:outlineLvl w:val="3"/>
    </w:pPr>
    <w:rPr>
      <w:rFonts w:cstheme="majorBidi"/>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rPr>
      <w:rFonts w:asciiTheme="minorHAnsi" w:hAnsiTheme="minorHAnsi" w:eastAsiaTheme="minorEastAsia" w:cstheme="minorBidi"/>
      <w:sz w:val="21"/>
    </w:rPr>
  </w:style>
  <w:style w:type="paragraph" w:styleId="7">
    <w:name w:val="caption"/>
    <w:basedOn w:val="1"/>
    <w:next w:val="1"/>
    <w:unhideWhenUsed/>
    <w:qFormat/>
    <w:uiPriority w:val="35"/>
    <w:pPr>
      <w:spacing w:line="240" w:lineRule="auto"/>
      <w:jc w:val="center"/>
    </w:pPr>
    <w:rPr>
      <w:rFonts w:cstheme="minorBidi"/>
      <w:b/>
    </w:rPr>
  </w:style>
  <w:style w:type="paragraph" w:styleId="8">
    <w:name w:val="annotation text"/>
    <w:basedOn w:val="1"/>
    <w:link w:val="65"/>
    <w:semiHidden/>
    <w:unhideWhenUsed/>
    <w:qFormat/>
    <w:uiPriority w:val="99"/>
    <w:pPr>
      <w:jc w:val="left"/>
    </w:pPr>
  </w:style>
  <w:style w:type="paragraph" w:styleId="9">
    <w:name w:val="Body Text"/>
    <w:basedOn w:val="1"/>
    <w:link w:val="53"/>
    <w:semiHidden/>
    <w:unhideWhenUsed/>
    <w:qFormat/>
    <w:uiPriority w:val="99"/>
    <w:pPr>
      <w:spacing w:after="120"/>
    </w:pPr>
    <w:rPr>
      <w:rFonts w:eastAsia="宋体"/>
      <w:kern w:val="0"/>
      <w:sz w:val="20"/>
      <w:szCs w:val="20"/>
    </w:rPr>
  </w:style>
  <w:style w:type="paragraph" w:styleId="10">
    <w:name w:val="Body Text Indent"/>
    <w:basedOn w:val="1"/>
    <w:next w:val="11"/>
    <w:link w:val="55"/>
    <w:qFormat/>
    <w:uiPriority w:val="0"/>
    <w:rPr>
      <w:kern w:val="0"/>
      <w:szCs w:val="24"/>
    </w:rPr>
  </w:style>
  <w:style w:type="paragraph" w:styleId="11">
    <w:name w:val="Body Text First Indent"/>
    <w:basedOn w:val="9"/>
    <w:link w:val="54"/>
    <w:unhideWhenUsed/>
    <w:qFormat/>
    <w:uiPriority w:val="99"/>
    <w:pPr>
      <w:ind w:firstLine="420" w:firstLineChars="100"/>
    </w:pPr>
    <w:rPr>
      <w:rFonts w:eastAsia="仿宋"/>
      <w:kern w:val="2"/>
      <w:sz w:val="28"/>
      <w:szCs w:val="22"/>
    </w:rPr>
  </w:style>
  <w:style w:type="paragraph" w:styleId="12">
    <w:name w:val="toc 5"/>
    <w:basedOn w:val="1"/>
    <w:next w:val="1"/>
    <w:unhideWhenUsed/>
    <w:qFormat/>
    <w:uiPriority w:val="39"/>
    <w:pPr>
      <w:spacing w:line="240" w:lineRule="auto"/>
      <w:ind w:left="1680" w:leftChars="800"/>
    </w:pPr>
    <w:rPr>
      <w:rFonts w:asciiTheme="minorHAnsi" w:hAnsiTheme="minorHAnsi" w:eastAsiaTheme="minorEastAsia" w:cstheme="minorBidi"/>
      <w:sz w:val="21"/>
    </w:rPr>
  </w:style>
  <w:style w:type="paragraph" w:styleId="13">
    <w:name w:val="toc 3"/>
    <w:basedOn w:val="1"/>
    <w:next w:val="1"/>
    <w:unhideWhenUsed/>
    <w:qFormat/>
    <w:uiPriority w:val="39"/>
    <w:pPr>
      <w:widowControl/>
      <w:spacing w:line="276" w:lineRule="auto"/>
      <w:ind w:firstLine="400" w:firstLineChars="400"/>
    </w:pPr>
    <w:rPr>
      <w:rFonts w:eastAsia="楷体"/>
      <w:kern w:val="0"/>
    </w:rPr>
  </w:style>
  <w:style w:type="paragraph" w:styleId="14">
    <w:name w:val="toc 8"/>
    <w:basedOn w:val="1"/>
    <w:next w:val="1"/>
    <w:unhideWhenUsed/>
    <w:qFormat/>
    <w:uiPriority w:val="39"/>
    <w:pPr>
      <w:spacing w:line="240" w:lineRule="auto"/>
      <w:ind w:left="2940" w:leftChars="1400"/>
    </w:pPr>
    <w:rPr>
      <w:rFonts w:asciiTheme="minorHAnsi" w:hAnsiTheme="minorHAnsi" w:eastAsiaTheme="minorEastAsia" w:cstheme="minorBidi"/>
      <w:sz w:val="21"/>
    </w:rPr>
  </w:style>
  <w:style w:type="paragraph" w:styleId="15">
    <w:name w:val="Date"/>
    <w:basedOn w:val="1"/>
    <w:next w:val="1"/>
    <w:link w:val="56"/>
    <w:semiHidden/>
    <w:unhideWhenUsed/>
    <w:qFormat/>
    <w:uiPriority w:val="99"/>
    <w:pPr>
      <w:ind w:left="100" w:leftChars="2500"/>
    </w:pPr>
    <w:rPr>
      <w:rFonts w:eastAsia="宋体"/>
      <w:kern w:val="0"/>
      <w:sz w:val="20"/>
      <w:szCs w:val="20"/>
    </w:rPr>
  </w:style>
  <w:style w:type="paragraph" w:styleId="16">
    <w:name w:val="Balloon Text"/>
    <w:basedOn w:val="1"/>
    <w:link w:val="57"/>
    <w:semiHidden/>
    <w:unhideWhenUsed/>
    <w:qFormat/>
    <w:uiPriority w:val="99"/>
    <w:pPr>
      <w:spacing w:line="240" w:lineRule="auto"/>
    </w:pPr>
    <w:rPr>
      <w:rFonts w:eastAsia="宋体"/>
      <w:kern w:val="0"/>
      <w:sz w:val="18"/>
      <w:szCs w:val="18"/>
    </w:rPr>
  </w:style>
  <w:style w:type="paragraph" w:styleId="17">
    <w:name w:val="footer"/>
    <w:basedOn w:val="1"/>
    <w:link w:val="60"/>
    <w:unhideWhenUsed/>
    <w:qFormat/>
    <w:uiPriority w:val="99"/>
    <w:pPr>
      <w:tabs>
        <w:tab w:val="center" w:pos="4153"/>
        <w:tab w:val="right" w:pos="8306"/>
      </w:tabs>
      <w:spacing w:line="240" w:lineRule="auto"/>
    </w:pPr>
    <w:rPr>
      <w:sz w:val="18"/>
      <w:szCs w:val="18"/>
    </w:rPr>
  </w:style>
  <w:style w:type="paragraph" w:styleId="18">
    <w:name w:val="header"/>
    <w:basedOn w:val="1"/>
    <w:link w:val="52"/>
    <w:unhideWhenUsed/>
    <w:qFormat/>
    <w:uiPriority w:val="99"/>
    <w:pPr>
      <w:pBdr>
        <w:bottom w:val="single" w:color="auto" w:sz="6" w:space="1"/>
      </w:pBdr>
      <w:tabs>
        <w:tab w:val="center" w:pos="4153"/>
        <w:tab w:val="right" w:pos="8306"/>
      </w:tabs>
      <w:spacing w:line="240" w:lineRule="auto"/>
      <w:jc w:val="center"/>
    </w:pPr>
    <w:rPr>
      <w:rFonts w:eastAsia="宋体"/>
      <w:kern w:val="0"/>
      <w:sz w:val="18"/>
      <w:szCs w:val="18"/>
    </w:rPr>
  </w:style>
  <w:style w:type="paragraph" w:styleId="19">
    <w:name w:val="toc 1"/>
    <w:basedOn w:val="1"/>
    <w:next w:val="1"/>
    <w:unhideWhenUsed/>
    <w:qFormat/>
    <w:uiPriority w:val="39"/>
    <w:pPr>
      <w:widowControl/>
      <w:spacing w:line="276" w:lineRule="auto"/>
      <w:ind w:firstLine="0" w:firstLineChars="0"/>
    </w:pPr>
    <w:rPr>
      <w:rFonts w:eastAsia="黑体"/>
      <w:kern w:val="0"/>
    </w:rPr>
  </w:style>
  <w:style w:type="paragraph" w:styleId="20">
    <w:name w:val="toc 4"/>
    <w:basedOn w:val="1"/>
    <w:next w:val="1"/>
    <w:unhideWhenUsed/>
    <w:qFormat/>
    <w:uiPriority w:val="39"/>
    <w:pPr>
      <w:spacing w:line="240" w:lineRule="auto"/>
      <w:ind w:left="1260" w:leftChars="600"/>
    </w:pPr>
    <w:rPr>
      <w:rFonts w:asciiTheme="minorHAnsi" w:hAnsiTheme="minorHAnsi" w:eastAsiaTheme="minorEastAsia" w:cstheme="minorBidi"/>
      <w:sz w:val="21"/>
    </w:rPr>
  </w:style>
  <w:style w:type="paragraph" w:styleId="21">
    <w:name w:val="footnote text"/>
    <w:basedOn w:val="1"/>
    <w:link w:val="63"/>
    <w:semiHidden/>
    <w:unhideWhenUsed/>
    <w:qFormat/>
    <w:uiPriority w:val="99"/>
    <w:pPr>
      <w:jc w:val="left"/>
    </w:pPr>
    <w:rPr>
      <w:rFonts w:ascii="Calibri" w:hAnsi="Calibri" w:eastAsia="宋体"/>
      <w:sz w:val="18"/>
      <w:szCs w:val="18"/>
    </w:rPr>
  </w:style>
  <w:style w:type="paragraph" w:styleId="22">
    <w:name w:val="toc 6"/>
    <w:basedOn w:val="1"/>
    <w:next w:val="1"/>
    <w:unhideWhenUsed/>
    <w:qFormat/>
    <w:uiPriority w:val="39"/>
    <w:pPr>
      <w:spacing w:line="240" w:lineRule="auto"/>
      <w:ind w:left="2100" w:leftChars="1000"/>
    </w:pPr>
    <w:rPr>
      <w:rFonts w:asciiTheme="minorHAnsi" w:hAnsiTheme="minorHAnsi" w:eastAsiaTheme="minorEastAsia" w:cstheme="minorBidi"/>
      <w:sz w:val="21"/>
    </w:rPr>
  </w:style>
  <w:style w:type="paragraph" w:styleId="23">
    <w:name w:val="Body Text Indent 3"/>
    <w:basedOn w:val="1"/>
    <w:link w:val="160"/>
    <w:semiHidden/>
    <w:unhideWhenUsed/>
    <w:qFormat/>
    <w:uiPriority w:val="99"/>
    <w:pPr>
      <w:spacing w:after="120"/>
      <w:ind w:left="420" w:leftChars="200"/>
    </w:pPr>
    <w:rPr>
      <w:sz w:val="16"/>
      <w:szCs w:val="16"/>
    </w:rPr>
  </w:style>
  <w:style w:type="paragraph" w:styleId="24">
    <w:name w:val="toc 2"/>
    <w:basedOn w:val="1"/>
    <w:next w:val="1"/>
    <w:unhideWhenUsed/>
    <w:qFormat/>
    <w:uiPriority w:val="39"/>
    <w:pPr>
      <w:widowControl/>
      <w:spacing w:line="276" w:lineRule="auto"/>
    </w:pPr>
    <w:rPr>
      <w:kern w:val="0"/>
    </w:rPr>
  </w:style>
  <w:style w:type="paragraph" w:styleId="25">
    <w:name w:val="toc 9"/>
    <w:basedOn w:val="1"/>
    <w:next w:val="1"/>
    <w:unhideWhenUsed/>
    <w:qFormat/>
    <w:uiPriority w:val="39"/>
    <w:pPr>
      <w:spacing w:line="240" w:lineRule="auto"/>
      <w:ind w:left="3360" w:leftChars="1600"/>
    </w:pPr>
    <w:rPr>
      <w:rFonts w:asciiTheme="minorHAnsi" w:hAnsiTheme="minorHAnsi" w:eastAsiaTheme="minorEastAsia" w:cstheme="minorBidi"/>
      <w:sz w:val="21"/>
    </w:rPr>
  </w:style>
  <w:style w:type="paragraph" w:styleId="26">
    <w:name w:val="Normal (Web)"/>
    <w:basedOn w:val="1"/>
    <w:unhideWhenUsed/>
    <w:qFormat/>
    <w:uiPriority w:val="99"/>
    <w:pPr>
      <w:widowControl/>
      <w:spacing w:before="100" w:beforeAutospacing="1" w:after="100" w:afterAutospacing="1" w:line="240" w:lineRule="auto"/>
    </w:pPr>
    <w:rPr>
      <w:rFonts w:ascii="宋体" w:hAnsi="宋体" w:eastAsia="宋体" w:cs="宋体"/>
      <w:kern w:val="0"/>
      <w:szCs w:val="24"/>
    </w:rPr>
  </w:style>
  <w:style w:type="paragraph" w:styleId="27">
    <w:name w:val="annotation subject"/>
    <w:basedOn w:val="8"/>
    <w:next w:val="8"/>
    <w:link w:val="6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semiHidden/>
    <w:unhideWhenUsed/>
    <w:qFormat/>
    <w:uiPriority w:val="99"/>
    <w:rPr>
      <w:color w:val="954F72"/>
      <w:u w:val="single"/>
    </w:rPr>
  </w:style>
  <w:style w:type="character" w:styleId="33">
    <w:name w:val="Hyperlink"/>
    <w:unhideWhenUsed/>
    <w:qFormat/>
    <w:uiPriority w:val="99"/>
    <w:rPr>
      <w:color w:val="0000FF"/>
      <w:u w:val="single"/>
    </w:rPr>
  </w:style>
  <w:style w:type="character" w:styleId="34">
    <w:name w:val="annotation reference"/>
    <w:basedOn w:val="30"/>
    <w:semiHidden/>
    <w:unhideWhenUsed/>
    <w:qFormat/>
    <w:uiPriority w:val="99"/>
    <w:rPr>
      <w:sz w:val="21"/>
      <w:szCs w:val="21"/>
    </w:rPr>
  </w:style>
  <w:style w:type="character" w:customStyle="1" w:styleId="35">
    <w:name w:val="标题 1 Char"/>
    <w:link w:val="2"/>
    <w:qFormat/>
    <w:uiPriority w:val="9"/>
    <w:rPr>
      <w:rFonts w:eastAsia="黑体"/>
      <w:bCs/>
      <w:kern w:val="44"/>
      <w:sz w:val="32"/>
      <w:szCs w:val="44"/>
    </w:rPr>
  </w:style>
  <w:style w:type="character" w:customStyle="1" w:styleId="36">
    <w:name w:val="标题 2 Char"/>
    <w:link w:val="3"/>
    <w:qFormat/>
    <w:uiPriority w:val="9"/>
    <w:rPr>
      <w:rFonts w:eastAsia="楷体_GB2312"/>
      <w:bCs/>
      <w:kern w:val="2"/>
      <w:sz w:val="32"/>
      <w:szCs w:val="30"/>
    </w:rPr>
  </w:style>
  <w:style w:type="character" w:customStyle="1" w:styleId="37">
    <w:name w:val="标题 3 Char"/>
    <w:link w:val="4"/>
    <w:qFormat/>
    <w:uiPriority w:val="9"/>
    <w:rPr>
      <w:rFonts w:eastAsia="仿宋_GB2312"/>
      <w:b/>
      <w:bCs/>
      <w:kern w:val="2"/>
      <w:sz w:val="32"/>
      <w:szCs w:val="32"/>
    </w:rPr>
  </w:style>
  <w:style w:type="character" w:customStyle="1" w:styleId="38">
    <w:name w:val="标题 4 Char"/>
    <w:basedOn w:val="30"/>
    <w:link w:val="5"/>
    <w:qFormat/>
    <w:uiPriority w:val="9"/>
    <w:rPr>
      <w:rFonts w:eastAsia="仿宋_GB2312" w:cstheme="majorBidi"/>
      <w:bCs/>
      <w:kern w:val="2"/>
      <w:sz w:val="28"/>
      <w:szCs w:val="28"/>
    </w:rPr>
  </w:style>
  <w:style w:type="paragraph" w:customStyle="1" w:styleId="39">
    <w:name w:val="TOC 标题1"/>
    <w:basedOn w:val="2"/>
    <w:next w:val="1"/>
    <w:semiHidden/>
    <w:unhideWhenUsed/>
    <w:qFormat/>
    <w:uiPriority w:val="39"/>
    <w:pPr>
      <w:widowControl/>
      <w:spacing w:before="480" w:line="276" w:lineRule="auto"/>
      <w:outlineLvl w:val="9"/>
    </w:pPr>
    <w:rPr>
      <w:rFonts w:ascii="Cambria" w:hAnsi="Cambria" w:eastAsia="宋体"/>
      <w:color w:val="365F91"/>
      <w:kern w:val="0"/>
      <w:sz w:val="28"/>
      <w:szCs w:val="28"/>
    </w:rPr>
  </w:style>
  <w:style w:type="paragraph" w:customStyle="1" w:styleId="40">
    <w:name w:val="样式 样式 Times New Roman 行距: 1.5 倍行距1 + 首行缩进:  2 字符"/>
    <w:basedOn w:val="1"/>
    <w:link w:val="41"/>
    <w:qFormat/>
    <w:uiPriority w:val="0"/>
    <w:pPr>
      <w:widowControl/>
    </w:pPr>
    <w:rPr>
      <w:rFonts w:cs="宋体"/>
      <w:kern w:val="0"/>
      <w:szCs w:val="20"/>
    </w:rPr>
  </w:style>
  <w:style w:type="character" w:customStyle="1" w:styleId="41">
    <w:name w:val="样式 样式 Times New Roman 行距: 1.5 倍行距1 + 首行缩进:  2 字符 Char"/>
    <w:link w:val="40"/>
    <w:qFormat/>
    <w:uiPriority w:val="0"/>
    <w:rPr>
      <w:rFonts w:eastAsia="仿宋_GB2312" w:cs="宋体"/>
      <w:sz w:val="24"/>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3">
    <w:name w:val="HC正文"/>
    <w:basedOn w:val="1"/>
    <w:qFormat/>
    <w:uiPriority w:val="0"/>
    <w:rPr>
      <w:rFonts w:eastAsia="宋体"/>
      <w:szCs w:val="28"/>
    </w:rPr>
  </w:style>
  <w:style w:type="paragraph" w:customStyle="1" w:styleId="44">
    <w:name w:val="报告正文"/>
    <w:basedOn w:val="1"/>
    <w:qFormat/>
    <w:uiPriority w:val="0"/>
    <w:rPr>
      <w:rFonts w:eastAsia="宋体"/>
      <w:szCs w:val="24"/>
    </w:rPr>
  </w:style>
  <w:style w:type="paragraph" w:customStyle="1" w:styleId="45">
    <w:name w:val="表格"/>
    <w:basedOn w:val="1"/>
    <w:next w:val="1"/>
    <w:qFormat/>
    <w:uiPriority w:val="0"/>
    <w:pPr>
      <w:widowControl/>
      <w:jc w:val="center"/>
      <w:textAlignment w:val="center"/>
    </w:pPr>
    <w:rPr>
      <w:rFonts w:cs="宋体"/>
      <w:b/>
      <w:kern w:val="0"/>
      <w:szCs w:val="21"/>
    </w:rPr>
  </w:style>
  <w:style w:type="paragraph" w:customStyle="1" w:styleId="46">
    <w:name w:val="图名"/>
    <w:basedOn w:val="1"/>
    <w:qFormat/>
    <w:uiPriority w:val="0"/>
    <w:pPr>
      <w:numPr>
        <w:ilvl w:val="5"/>
        <w:numId w:val="1"/>
      </w:numPr>
      <w:spacing w:line="400" w:lineRule="exact"/>
      <w:jc w:val="center"/>
    </w:pPr>
    <w:rPr>
      <w:rFonts w:eastAsia="宋体"/>
      <w:b/>
      <w:szCs w:val="21"/>
    </w:rPr>
  </w:style>
  <w:style w:type="character" w:customStyle="1" w:styleId="47">
    <w:name w:val="font21"/>
    <w:qFormat/>
    <w:uiPriority w:val="0"/>
    <w:rPr>
      <w:rFonts w:hint="eastAsia" w:ascii="宋体" w:hAnsi="宋体" w:eastAsia="宋体" w:cs="宋体"/>
      <w:color w:val="000000"/>
      <w:sz w:val="22"/>
      <w:szCs w:val="22"/>
      <w:u w:val="none"/>
    </w:rPr>
  </w:style>
  <w:style w:type="paragraph" w:customStyle="1" w:styleId="48">
    <w:name w:val="WPSOffice手动目录 1"/>
    <w:qFormat/>
    <w:uiPriority w:val="0"/>
    <w:rPr>
      <w:rFonts w:ascii="Calibri" w:hAnsi="Calibri" w:eastAsia="宋体" w:cs="Times New Roman"/>
      <w:lang w:val="en-US" w:eastAsia="zh-CN" w:bidi="ar-SA"/>
    </w:rPr>
  </w:style>
  <w:style w:type="paragraph" w:customStyle="1" w:styleId="49">
    <w:name w:val="WPSOffice手动目录 2"/>
    <w:qFormat/>
    <w:uiPriority w:val="0"/>
    <w:pPr>
      <w:ind w:left="200" w:leftChars="200"/>
    </w:pPr>
    <w:rPr>
      <w:rFonts w:ascii="Calibri" w:hAnsi="Calibri" w:eastAsia="宋体" w:cs="Times New Roman"/>
      <w:lang w:val="en-US" w:eastAsia="zh-CN" w:bidi="ar-SA"/>
    </w:rPr>
  </w:style>
  <w:style w:type="paragraph" w:customStyle="1" w:styleId="50">
    <w:name w:val="p0"/>
    <w:basedOn w:val="1"/>
    <w:qFormat/>
    <w:uiPriority w:val="0"/>
    <w:pPr>
      <w:widowControl/>
    </w:pPr>
    <w:rPr>
      <w:rFonts w:ascii="Calibri" w:hAnsi="Calibri" w:cs="宋体"/>
      <w:szCs w:val="21"/>
    </w:rPr>
  </w:style>
  <w:style w:type="paragraph" w:customStyle="1" w:styleId="51">
    <w:name w:val="Table Paragraph"/>
    <w:basedOn w:val="1"/>
    <w:qFormat/>
    <w:uiPriority w:val="1"/>
    <w:pPr>
      <w:spacing w:line="240" w:lineRule="auto"/>
    </w:pPr>
    <w:rPr>
      <w:rFonts w:ascii="Calibri" w:hAnsi="Calibri" w:eastAsia="宋体"/>
      <w:kern w:val="0"/>
      <w:sz w:val="22"/>
      <w:lang w:eastAsia="en-US"/>
    </w:rPr>
  </w:style>
  <w:style w:type="character" w:customStyle="1" w:styleId="52">
    <w:name w:val="页眉 Char"/>
    <w:link w:val="18"/>
    <w:qFormat/>
    <w:uiPriority w:val="99"/>
    <w:rPr>
      <w:sz w:val="18"/>
      <w:szCs w:val="18"/>
    </w:rPr>
  </w:style>
  <w:style w:type="character" w:customStyle="1" w:styleId="53">
    <w:name w:val="正文文本 Char"/>
    <w:basedOn w:val="30"/>
    <w:link w:val="9"/>
    <w:semiHidden/>
    <w:qFormat/>
    <w:uiPriority w:val="99"/>
  </w:style>
  <w:style w:type="character" w:customStyle="1" w:styleId="54">
    <w:name w:val="正文首行缩进 Char"/>
    <w:basedOn w:val="53"/>
    <w:link w:val="11"/>
    <w:qFormat/>
    <w:uiPriority w:val="99"/>
    <w:rPr>
      <w:rFonts w:eastAsia="仿宋"/>
      <w:kern w:val="2"/>
      <w:sz w:val="28"/>
      <w:szCs w:val="22"/>
    </w:rPr>
  </w:style>
  <w:style w:type="character" w:customStyle="1" w:styleId="55">
    <w:name w:val="正文文本缩进 Char"/>
    <w:link w:val="10"/>
    <w:qFormat/>
    <w:uiPriority w:val="0"/>
    <w:rPr>
      <w:rFonts w:eastAsia="仿宋"/>
      <w:sz w:val="28"/>
      <w:szCs w:val="24"/>
    </w:rPr>
  </w:style>
  <w:style w:type="character" w:customStyle="1" w:styleId="56">
    <w:name w:val="日期 Char"/>
    <w:basedOn w:val="30"/>
    <w:link w:val="15"/>
    <w:semiHidden/>
    <w:qFormat/>
    <w:uiPriority w:val="99"/>
  </w:style>
  <w:style w:type="character" w:customStyle="1" w:styleId="57">
    <w:name w:val="批注框文本 Char"/>
    <w:link w:val="16"/>
    <w:semiHidden/>
    <w:qFormat/>
    <w:uiPriority w:val="99"/>
    <w:rPr>
      <w:sz w:val="18"/>
      <w:szCs w:val="18"/>
    </w:rPr>
  </w:style>
  <w:style w:type="paragraph" w:styleId="58">
    <w:name w:val="List Paragraph"/>
    <w:basedOn w:val="1"/>
    <w:qFormat/>
    <w:uiPriority w:val="34"/>
    <w:pPr>
      <w:ind w:firstLine="420"/>
    </w:pPr>
  </w:style>
  <w:style w:type="paragraph" w:customStyle="1" w:styleId="59">
    <w:name w:val="TOC 标题2"/>
    <w:basedOn w:val="2"/>
    <w:next w:val="1"/>
    <w:unhideWhenUsed/>
    <w:qFormat/>
    <w:uiPriority w:val="39"/>
    <w:pPr>
      <w:widowControl/>
      <w:spacing w:line="259" w:lineRule="auto"/>
      <w:outlineLvl w:val="9"/>
    </w:pPr>
    <w:rPr>
      <w:rFonts w:ascii="Cambria" w:hAnsi="Cambria" w:eastAsia="宋体"/>
      <w:b/>
      <w:bCs w:val="0"/>
      <w:color w:val="365F91"/>
      <w:kern w:val="0"/>
      <w:szCs w:val="32"/>
    </w:rPr>
  </w:style>
  <w:style w:type="character" w:customStyle="1" w:styleId="60">
    <w:name w:val="页脚 Char"/>
    <w:basedOn w:val="30"/>
    <w:link w:val="17"/>
    <w:qFormat/>
    <w:uiPriority w:val="99"/>
    <w:rPr>
      <w:rFonts w:eastAsia="仿宋"/>
      <w:kern w:val="2"/>
      <w:sz w:val="18"/>
      <w:szCs w:val="18"/>
    </w:rPr>
  </w:style>
  <w:style w:type="paragraph" w:customStyle="1" w:styleId="61">
    <w:name w:val="01正文"/>
    <w:basedOn w:val="1"/>
    <w:link w:val="62"/>
    <w:qFormat/>
    <w:uiPriority w:val="0"/>
    <w:pPr>
      <w:autoSpaceDE w:val="0"/>
      <w:autoSpaceDN w:val="0"/>
      <w:ind w:firstLine="480"/>
    </w:pPr>
    <w:rPr>
      <w:rFonts w:eastAsia="宋体"/>
      <w:kern w:val="0"/>
      <w:szCs w:val="24"/>
      <w:lang w:val="zh-CN"/>
    </w:rPr>
  </w:style>
  <w:style w:type="character" w:customStyle="1" w:styleId="62">
    <w:name w:val="01正文 Char"/>
    <w:link w:val="61"/>
    <w:qFormat/>
    <w:uiPriority w:val="0"/>
    <w:rPr>
      <w:sz w:val="24"/>
      <w:szCs w:val="24"/>
      <w:lang w:val="zh-CN"/>
    </w:rPr>
  </w:style>
  <w:style w:type="character" w:customStyle="1" w:styleId="63">
    <w:name w:val="脚注文本 Char"/>
    <w:basedOn w:val="30"/>
    <w:link w:val="21"/>
    <w:semiHidden/>
    <w:qFormat/>
    <w:uiPriority w:val="99"/>
    <w:rPr>
      <w:rFonts w:ascii="Calibri" w:hAnsi="Calibri"/>
      <w:kern w:val="2"/>
      <w:sz w:val="18"/>
      <w:szCs w:val="18"/>
    </w:rPr>
  </w:style>
  <w:style w:type="character" w:customStyle="1" w:styleId="64">
    <w:name w:val="show-img-bd"/>
    <w:basedOn w:val="30"/>
    <w:qFormat/>
    <w:uiPriority w:val="0"/>
  </w:style>
  <w:style w:type="character" w:customStyle="1" w:styleId="65">
    <w:name w:val="批注文字 Char"/>
    <w:basedOn w:val="30"/>
    <w:link w:val="8"/>
    <w:semiHidden/>
    <w:qFormat/>
    <w:uiPriority w:val="99"/>
    <w:rPr>
      <w:rFonts w:eastAsia="仿宋"/>
      <w:kern w:val="2"/>
      <w:sz w:val="28"/>
      <w:szCs w:val="22"/>
    </w:rPr>
  </w:style>
  <w:style w:type="character" w:customStyle="1" w:styleId="66">
    <w:name w:val="批注主题 Char"/>
    <w:basedOn w:val="65"/>
    <w:link w:val="27"/>
    <w:semiHidden/>
    <w:qFormat/>
    <w:uiPriority w:val="99"/>
    <w:rPr>
      <w:rFonts w:eastAsia="仿宋"/>
      <w:b/>
      <w:bCs/>
      <w:kern w:val="2"/>
      <w:sz w:val="28"/>
      <w:szCs w:val="22"/>
    </w:rPr>
  </w:style>
  <w:style w:type="paragraph" w:customStyle="1" w:styleId="67">
    <w:name w:val="修订1"/>
    <w:hidden/>
    <w:semiHidden/>
    <w:qFormat/>
    <w:uiPriority w:val="99"/>
    <w:rPr>
      <w:rFonts w:ascii="Times New Roman" w:hAnsi="Times New Roman" w:eastAsia="仿宋" w:cs="Times New Roman"/>
      <w:kern w:val="2"/>
      <w:sz w:val="28"/>
      <w:szCs w:val="22"/>
      <w:lang w:val="en-US" w:eastAsia="zh-CN" w:bidi="ar-SA"/>
    </w:rPr>
  </w:style>
  <w:style w:type="paragraph" w:customStyle="1" w:styleId="68">
    <w:name w:val="大标题"/>
    <w:basedOn w:val="1"/>
    <w:qFormat/>
    <w:uiPriority w:val="0"/>
    <w:pPr>
      <w:ind w:firstLine="643"/>
      <w:jc w:val="center"/>
    </w:pPr>
    <w:rPr>
      <w:rFonts w:ascii="仿宋_GB2312" w:hAnsi="仿宋_GB2312" w:cs="宋体"/>
      <w:b/>
      <w:bCs/>
      <w:color w:val="000000"/>
      <w:kern w:val="0"/>
      <w:szCs w:val="20"/>
    </w:rPr>
  </w:style>
  <w:style w:type="paragraph" w:customStyle="1" w:styleId="69">
    <w:name w:val="标题3hp"/>
    <w:basedOn w:val="4"/>
    <w:link w:val="70"/>
    <w:qFormat/>
    <w:uiPriority w:val="0"/>
    <w:rPr>
      <w:rFonts w:ascii="仿宋" w:hAnsi="仿宋"/>
      <w:bCs w:val="0"/>
      <w:kern w:val="0"/>
      <w:sz w:val="30"/>
      <w:szCs w:val="30"/>
      <w:lang w:val="zh-CN"/>
    </w:rPr>
  </w:style>
  <w:style w:type="character" w:customStyle="1" w:styleId="70">
    <w:name w:val="标题3hp 字符"/>
    <w:link w:val="69"/>
    <w:qFormat/>
    <w:uiPriority w:val="0"/>
    <w:rPr>
      <w:rFonts w:ascii="仿宋" w:hAnsi="仿宋" w:eastAsia="仿宋"/>
      <w:sz w:val="30"/>
      <w:szCs w:val="30"/>
      <w:lang w:val="zh-CN" w:eastAsia="zh-CN"/>
    </w:rPr>
  </w:style>
  <w:style w:type="table" w:customStyle="1" w:styleId="7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72">
    <w:name w:val="未处理的提及1"/>
    <w:basedOn w:val="30"/>
    <w:semiHidden/>
    <w:unhideWhenUsed/>
    <w:qFormat/>
    <w:uiPriority w:val="99"/>
    <w:rPr>
      <w:color w:val="605E5C"/>
      <w:shd w:val="clear" w:color="auto" w:fill="E1DFDD"/>
    </w:rPr>
  </w:style>
  <w:style w:type="paragraph" w:customStyle="1" w:styleId="73">
    <w:name w:val="A文本"/>
    <w:basedOn w:val="1"/>
    <w:link w:val="74"/>
    <w:qFormat/>
    <w:uiPriority w:val="0"/>
    <w:pPr>
      <w:widowControl/>
    </w:pPr>
    <w:rPr>
      <w:color w:val="0070C0"/>
      <w:szCs w:val="24"/>
    </w:rPr>
  </w:style>
  <w:style w:type="character" w:customStyle="1" w:styleId="74">
    <w:name w:val="A文本 Char"/>
    <w:link w:val="73"/>
    <w:qFormat/>
    <w:uiPriority w:val="0"/>
    <w:rPr>
      <w:rFonts w:eastAsia="仿宋_GB2312"/>
      <w:color w:val="0070C0"/>
      <w:kern w:val="2"/>
      <w:sz w:val="28"/>
      <w:szCs w:val="24"/>
    </w:rPr>
  </w:style>
  <w:style w:type="character" w:styleId="75">
    <w:name w:val="Placeholder Text"/>
    <w:basedOn w:val="30"/>
    <w:semiHidden/>
    <w:qFormat/>
    <w:uiPriority w:val="99"/>
    <w:rPr>
      <w:color w:val="808080"/>
    </w:rPr>
  </w:style>
  <w:style w:type="paragraph" w:customStyle="1" w:styleId="76">
    <w:name w:val="msonormal"/>
    <w:basedOn w:val="1"/>
    <w:qFormat/>
    <w:uiPriority w:val="0"/>
    <w:pPr>
      <w:widowControl/>
      <w:spacing w:before="100" w:beforeAutospacing="1" w:after="100" w:afterAutospacing="1" w:line="240" w:lineRule="auto"/>
      <w:jc w:val="left"/>
    </w:pPr>
    <w:rPr>
      <w:rFonts w:ascii="宋体" w:hAnsi="宋体" w:eastAsia="宋体" w:cs="宋体"/>
      <w:kern w:val="0"/>
      <w:szCs w:val="24"/>
    </w:rPr>
  </w:style>
  <w:style w:type="paragraph" w:customStyle="1" w:styleId="77">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line="240" w:lineRule="auto"/>
      <w:jc w:val="left"/>
    </w:pPr>
    <w:rPr>
      <w:rFonts w:ascii="仿宋" w:hAnsi="仿宋" w:cs="宋体"/>
      <w:color w:val="000000"/>
      <w:kern w:val="0"/>
      <w:szCs w:val="24"/>
    </w:rPr>
  </w:style>
  <w:style w:type="paragraph" w:customStyle="1" w:styleId="79">
    <w:name w:val="font7"/>
    <w:basedOn w:val="1"/>
    <w:qFormat/>
    <w:uiPriority w:val="0"/>
    <w:pPr>
      <w:widowControl/>
      <w:spacing w:before="100" w:beforeAutospacing="1" w:after="100" w:afterAutospacing="1" w:line="240" w:lineRule="auto"/>
      <w:jc w:val="left"/>
    </w:pPr>
    <w:rPr>
      <w:rFonts w:eastAsia="宋体"/>
      <w:b/>
      <w:bCs/>
      <w:color w:val="000000"/>
      <w:kern w:val="0"/>
      <w:szCs w:val="24"/>
    </w:rPr>
  </w:style>
  <w:style w:type="paragraph" w:customStyle="1" w:styleId="80">
    <w:name w:val="font8"/>
    <w:basedOn w:val="1"/>
    <w:qFormat/>
    <w:uiPriority w:val="0"/>
    <w:pPr>
      <w:widowControl/>
      <w:spacing w:before="100" w:beforeAutospacing="1" w:after="100" w:afterAutospacing="1" w:line="240" w:lineRule="auto"/>
      <w:jc w:val="left"/>
    </w:pPr>
    <w:rPr>
      <w:rFonts w:ascii="仿宋" w:hAnsi="仿宋" w:cs="宋体"/>
      <w:b/>
      <w:bCs/>
      <w:color w:val="000000"/>
      <w:kern w:val="0"/>
      <w:szCs w:val="24"/>
    </w:rPr>
  </w:style>
  <w:style w:type="paragraph" w:customStyle="1" w:styleId="81">
    <w:name w:val="font9"/>
    <w:basedOn w:val="1"/>
    <w:qFormat/>
    <w:uiPriority w:val="0"/>
    <w:pPr>
      <w:widowControl/>
      <w:spacing w:before="100" w:beforeAutospacing="1" w:after="100" w:afterAutospacing="1" w:line="240" w:lineRule="auto"/>
      <w:jc w:val="left"/>
    </w:pPr>
    <w:rPr>
      <w:rFonts w:eastAsia="宋体"/>
      <w:color w:val="000000"/>
      <w:kern w:val="0"/>
      <w:szCs w:val="24"/>
    </w:rPr>
  </w:style>
  <w:style w:type="paragraph" w:customStyle="1" w:styleId="82">
    <w:name w:val="font10"/>
    <w:basedOn w:val="1"/>
    <w:qFormat/>
    <w:uiPriority w:val="0"/>
    <w:pPr>
      <w:widowControl/>
      <w:spacing w:before="100" w:beforeAutospacing="1" w:after="100" w:afterAutospacing="1" w:line="240" w:lineRule="auto"/>
      <w:jc w:val="left"/>
    </w:pPr>
    <w:rPr>
      <w:rFonts w:ascii="仿宋" w:hAnsi="仿宋" w:cs="宋体"/>
      <w:color w:val="000000"/>
      <w:kern w:val="0"/>
      <w:szCs w:val="24"/>
    </w:rPr>
  </w:style>
  <w:style w:type="paragraph" w:customStyle="1" w:styleId="83">
    <w:name w:val="font11"/>
    <w:basedOn w:val="1"/>
    <w:qFormat/>
    <w:uiPriority w:val="0"/>
    <w:pPr>
      <w:widowControl/>
      <w:spacing w:before="100" w:beforeAutospacing="1" w:after="100" w:afterAutospacing="1" w:line="240" w:lineRule="auto"/>
      <w:jc w:val="left"/>
    </w:pPr>
    <w:rPr>
      <w:rFonts w:ascii="仿宋" w:hAnsi="仿宋" w:cs="宋体"/>
      <w:color w:val="FF0000"/>
      <w:kern w:val="0"/>
      <w:szCs w:val="24"/>
    </w:rPr>
  </w:style>
  <w:style w:type="paragraph" w:customStyle="1" w:styleId="84">
    <w:name w:val="font12"/>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85">
    <w:name w:val="font13"/>
    <w:basedOn w:val="1"/>
    <w:qFormat/>
    <w:uiPriority w:val="0"/>
    <w:pPr>
      <w:widowControl/>
      <w:spacing w:before="100" w:beforeAutospacing="1" w:after="100" w:afterAutospacing="1" w:line="240" w:lineRule="auto"/>
      <w:jc w:val="left"/>
    </w:pPr>
    <w:rPr>
      <w:rFonts w:ascii="仿宋" w:hAnsi="仿宋" w:cs="宋体"/>
      <w:color w:val="000000"/>
      <w:kern w:val="0"/>
      <w:szCs w:val="24"/>
    </w:rPr>
  </w:style>
  <w:style w:type="paragraph" w:customStyle="1" w:styleId="86">
    <w:name w:val="font14"/>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87">
    <w:name w:val="font15"/>
    <w:basedOn w:val="1"/>
    <w:qFormat/>
    <w:uiPriority w:val="0"/>
    <w:pPr>
      <w:widowControl/>
      <w:spacing w:before="100" w:beforeAutospacing="1" w:after="100" w:afterAutospacing="1" w:line="240" w:lineRule="auto"/>
      <w:jc w:val="left"/>
    </w:pPr>
    <w:rPr>
      <w:rFonts w:ascii="仿宋" w:hAnsi="仿宋" w:cs="宋体"/>
      <w:kern w:val="0"/>
      <w:szCs w:val="24"/>
    </w:rPr>
  </w:style>
  <w:style w:type="paragraph" w:customStyle="1" w:styleId="8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b/>
      <w:bCs/>
      <w:kern w:val="0"/>
      <w:szCs w:val="24"/>
    </w:rPr>
  </w:style>
  <w:style w:type="paragraph" w:customStyle="1" w:styleId="8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90">
    <w:name w:val="xl67"/>
    <w:basedOn w:val="1"/>
    <w:qFormat/>
    <w:uiPriority w:val="0"/>
    <w:pPr>
      <w:widowControl/>
      <w:spacing w:before="100" w:beforeAutospacing="1" w:after="100" w:afterAutospacing="1" w:line="240" w:lineRule="auto"/>
      <w:jc w:val="center"/>
    </w:pPr>
    <w:rPr>
      <w:rFonts w:eastAsia="宋体"/>
      <w:kern w:val="0"/>
      <w:szCs w:val="24"/>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240" w:lineRule="auto"/>
      <w:jc w:val="center"/>
    </w:pPr>
    <w:rPr>
      <w:rFonts w:eastAsia="宋体"/>
      <w:kern w:val="0"/>
      <w:szCs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jc w:val="center"/>
    </w:pPr>
    <w:rPr>
      <w:rFonts w:eastAsia="宋体"/>
      <w:kern w:val="0"/>
      <w:szCs w:val="24"/>
    </w:rPr>
  </w:style>
  <w:style w:type="paragraph" w:customStyle="1" w:styleId="93">
    <w:name w:val="xl70"/>
    <w:basedOn w:val="1"/>
    <w:qFormat/>
    <w:uiPriority w:val="0"/>
    <w:pPr>
      <w:widowControl/>
      <w:spacing w:before="100" w:beforeAutospacing="1" w:after="100" w:afterAutospacing="1" w:line="240" w:lineRule="auto"/>
      <w:jc w:val="left"/>
    </w:pPr>
    <w:rPr>
      <w:rFonts w:eastAsia="宋体"/>
      <w:kern w:val="0"/>
      <w:szCs w:val="24"/>
    </w:rPr>
  </w:style>
  <w:style w:type="paragraph" w:customStyle="1" w:styleId="94">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95">
    <w:name w:val="xl72"/>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96">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000000"/>
      <w:kern w:val="0"/>
      <w:szCs w:val="24"/>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FF0000"/>
      <w:kern w:val="0"/>
      <w:szCs w:val="24"/>
    </w:rPr>
  </w:style>
  <w:style w:type="paragraph" w:customStyle="1" w:styleId="10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000000"/>
      <w:kern w:val="0"/>
      <w:szCs w:val="24"/>
    </w:rPr>
  </w:style>
  <w:style w:type="paragraph" w:customStyle="1" w:styleId="1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000000"/>
      <w:kern w:val="0"/>
      <w:szCs w:val="24"/>
    </w:rPr>
  </w:style>
  <w:style w:type="paragraph" w:customStyle="1" w:styleId="1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cs="宋体"/>
      <w:kern w:val="0"/>
      <w:szCs w:val="24"/>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 w:hAnsi="仿宋" w:cs="宋体"/>
      <w:kern w:val="0"/>
      <w:szCs w:val="24"/>
    </w:rPr>
  </w:style>
  <w:style w:type="paragraph" w:customStyle="1" w:styleId="1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color w:val="000000"/>
      <w:kern w:val="0"/>
      <w:szCs w:val="24"/>
    </w:rPr>
  </w:style>
  <w:style w:type="paragraph" w:customStyle="1" w:styleId="10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jc w:val="center"/>
    </w:pPr>
    <w:rPr>
      <w:rFonts w:eastAsia="宋体"/>
      <w:kern w:val="0"/>
      <w:szCs w:val="24"/>
    </w:rPr>
  </w:style>
  <w:style w:type="paragraph" w:customStyle="1" w:styleId="10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0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240" w:lineRule="auto"/>
      <w:jc w:val="center"/>
    </w:pPr>
    <w:rPr>
      <w:rFonts w:eastAsia="宋体"/>
      <w:kern w:val="0"/>
      <w:szCs w:val="24"/>
    </w:rPr>
  </w:style>
  <w:style w:type="paragraph" w:customStyle="1" w:styleId="11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jc w:val="center"/>
    </w:pPr>
    <w:rPr>
      <w:rFonts w:eastAsia="宋体"/>
      <w:kern w:val="0"/>
      <w:szCs w:val="24"/>
    </w:rPr>
  </w:style>
  <w:style w:type="paragraph" w:customStyle="1" w:styleId="11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line="240" w:lineRule="auto"/>
      <w:jc w:val="center"/>
    </w:pPr>
    <w:rPr>
      <w:rFonts w:eastAsia="宋体"/>
      <w:color w:val="FF0000"/>
      <w:kern w:val="0"/>
      <w:szCs w:val="24"/>
    </w:rPr>
  </w:style>
  <w:style w:type="paragraph" w:customStyle="1" w:styleId="11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spacing w:before="100" w:beforeAutospacing="1" w:after="100" w:afterAutospacing="1" w:line="240" w:lineRule="auto"/>
      <w:jc w:val="center"/>
    </w:pPr>
    <w:rPr>
      <w:rFonts w:eastAsia="宋体"/>
      <w:kern w:val="0"/>
      <w:szCs w:val="24"/>
    </w:rPr>
  </w:style>
  <w:style w:type="paragraph" w:customStyle="1" w:styleId="11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spacing w:before="100" w:beforeAutospacing="1" w:after="100" w:afterAutospacing="1" w:line="240" w:lineRule="auto"/>
      <w:jc w:val="center"/>
    </w:pPr>
    <w:rPr>
      <w:rFonts w:eastAsia="宋体"/>
      <w:kern w:val="0"/>
      <w:szCs w:val="24"/>
    </w:rPr>
  </w:style>
  <w:style w:type="paragraph" w:customStyle="1" w:styleId="11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1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eastAsia="宋体"/>
      <w:kern w:val="0"/>
      <w:szCs w:val="24"/>
    </w:rPr>
  </w:style>
  <w:style w:type="paragraph" w:customStyle="1" w:styleId="116">
    <w:name w:val="xl93"/>
    <w:basedOn w:val="1"/>
    <w:qFormat/>
    <w:uiPriority w:val="0"/>
    <w:pPr>
      <w:widowControl/>
      <w:pBdr>
        <w:top w:val="single" w:color="auto" w:sz="4" w:space="0"/>
        <w:left w:val="single" w:color="auto" w:sz="4" w:space="0"/>
        <w:right w:val="single" w:color="auto" w:sz="4" w:space="0"/>
      </w:pBdr>
      <w:shd w:val="clear" w:color="000000" w:fill="FFF2CC"/>
      <w:spacing w:before="100" w:beforeAutospacing="1" w:after="100" w:afterAutospacing="1" w:line="240" w:lineRule="auto"/>
      <w:jc w:val="center"/>
    </w:pPr>
    <w:rPr>
      <w:rFonts w:eastAsia="宋体"/>
      <w:kern w:val="0"/>
      <w:szCs w:val="24"/>
    </w:rPr>
  </w:style>
  <w:style w:type="paragraph" w:customStyle="1" w:styleId="117">
    <w:name w:val="xl94"/>
    <w:basedOn w:val="1"/>
    <w:qFormat/>
    <w:uiPriority w:val="0"/>
    <w:pPr>
      <w:widowControl/>
      <w:pBdr>
        <w:left w:val="single" w:color="auto" w:sz="4" w:space="0"/>
        <w:right w:val="single" w:color="auto" w:sz="4" w:space="0"/>
      </w:pBdr>
      <w:shd w:val="clear" w:color="000000" w:fill="FFF2CC"/>
      <w:spacing w:before="100" w:beforeAutospacing="1" w:after="100" w:afterAutospacing="1" w:line="240" w:lineRule="auto"/>
      <w:jc w:val="center"/>
    </w:pPr>
    <w:rPr>
      <w:rFonts w:eastAsia="宋体"/>
      <w:kern w:val="0"/>
      <w:szCs w:val="24"/>
    </w:rPr>
  </w:style>
  <w:style w:type="paragraph" w:customStyle="1" w:styleId="118">
    <w:name w:val="xl95"/>
    <w:basedOn w:val="1"/>
    <w:qFormat/>
    <w:uiPriority w:val="0"/>
    <w:pPr>
      <w:widowControl/>
      <w:pBdr>
        <w:left w:val="single" w:color="auto" w:sz="4" w:space="0"/>
        <w:bottom w:val="single" w:color="auto" w:sz="4" w:space="0"/>
        <w:right w:val="single" w:color="auto" w:sz="4" w:space="0"/>
      </w:pBdr>
      <w:shd w:val="clear" w:color="000000" w:fill="FFF2CC"/>
      <w:spacing w:before="100" w:beforeAutospacing="1" w:after="100" w:afterAutospacing="1" w:line="240" w:lineRule="auto"/>
      <w:jc w:val="center"/>
    </w:pPr>
    <w:rPr>
      <w:rFonts w:eastAsia="宋体"/>
      <w:kern w:val="0"/>
      <w:szCs w:val="24"/>
    </w:rPr>
  </w:style>
  <w:style w:type="paragraph" w:customStyle="1" w:styleId="119">
    <w:name w:val="xl96"/>
    <w:basedOn w:val="1"/>
    <w:qFormat/>
    <w:uiPriority w:val="0"/>
    <w:pPr>
      <w:widowControl/>
      <w:pBdr>
        <w:top w:val="single" w:color="auto" w:sz="4" w:space="0"/>
        <w:left w:val="single" w:color="auto" w:sz="4" w:space="0"/>
        <w:right w:val="single" w:color="auto" w:sz="4" w:space="0"/>
      </w:pBdr>
      <w:shd w:val="clear" w:color="000000" w:fill="E2EFDA"/>
      <w:spacing w:before="100" w:beforeAutospacing="1" w:after="100" w:afterAutospacing="1" w:line="240" w:lineRule="auto"/>
      <w:jc w:val="center"/>
    </w:pPr>
    <w:rPr>
      <w:rFonts w:eastAsia="宋体"/>
      <w:kern w:val="0"/>
      <w:szCs w:val="24"/>
    </w:rPr>
  </w:style>
  <w:style w:type="paragraph" w:customStyle="1" w:styleId="120">
    <w:name w:val="xl97"/>
    <w:basedOn w:val="1"/>
    <w:qFormat/>
    <w:uiPriority w:val="0"/>
    <w:pPr>
      <w:widowControl/>
      <w:pBdr>
        <w:left w:val="single" w:color="auto" w:sz="4" w:space="0"/>
        <w:right w:val="single" w:color="auto" w:sz="4" w:space="0"/>
      </w:pBdr>
      <w:shd w:val="clear" w:color="000000" w:fill="E2EFDA"/>
      <w:spacing w:before="100" w:beforeAutospacing="1" w:after="100" w:afterAutospacing="1" w:line="240" w:lineRule="auto"/>
      <w:jc w:val="center"/>
    </w:pPr>
    <w:rPr>
      <w:rFonts w:eastAsia="宋体"/>
      <w:kern w:val="0"/>
      <w:szCs w:val="24"/>
    </w:rPr>
  </w:style>
  <w:style w:type="paragraph" w:customStyle="1" w:styleId="121">
    <w:name w:val="xl98"/>
    <w:basedOn w:val="1"/>
    <w:qFormat/>
    <w:uiPriority w:val="0"/>
    <w:pPr>
      <w:widowControl/>
      <w:pBdr>
        <w:left w:val="single" w:color="auto" w:sz="4" w:space="0"/>
        <w:bottom w:val="single" w:color="auto" w:sz="4" w:space="0"/>
        <w:right w:val="single" w:color="auto" w:sz="4" w:space="0"/>
      </w:pBdr>
      <w:shd w:val="clear" w:color="000000" w:fill="E2EFDA"/>
      <w:spacing w:before="100" w:beforeAutospacing="1" w:after="100" w:afterAutospacing="1" w:line="240" w:lineRule="auto"/>
      <w:jc w:val="center"/>
    </w:pPr>
    <w:rPr>
      <w:rFonts w:eastAsia="宋体"/>
      <w:kern w:val="0"/>
      <w:szCs w:val="24"/>
    </w:rPr>
  </w:style>
  <w:style w:type="paragraph" w:customStyle="1" w:styleId="122">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23">
    <w:name w:val="xl100"/>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24">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25">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26">
    <w:name w:val="xl103"/>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27">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eastAsia="宋体"/>
      <w:kern w:val="0"/>
      <w:szCs w:val="24"/>
    </w:rPr>
  </w:style>
  <w:style w:type="paragraph" w:customStyle="1" w:styleId="128">
    <w:name w:val="一级标题"/>
    <w:basedOn w:val="2"/>
    <w:next w:val="1"/>
    <w:link w:val="129"/>
    <w:qFormat/>
    <w:uiPriority w:val="0"/>
    <w:pPr>
      <w:widowControl/>
      <w:spacing w:before="120" w:after="156"/>
    </w:pPr>
    <w:rPr>
      <w:b/>
      <w:color w:val="333333"/>
      <w:kern w:val="36"/>
      <w:szCs w:val="32"/>
    </w:rPr>
  </w:style>
  <w:style w:type="character" w:customStyle="1" w:styleId="129">
    <w:name w:val="一级标题 字符"/>
    <w:basedOn w:val="35"/>
    <w:link w:val="128"/>
    <w:qFormat/>
    <w:uiPriority w:val="0"/>
    <w:rPr>
      <w:rFonts w:eastAsia="黑体"/>
      <w:b/>
      <w:color w:val="333333"/>
      <w:kern w:val="36"/>
      <w:sz w:val="32"/>
      <w:szCs w:val="32"/>
    </w:rPr>
  </w:style>
  <w:style w:type="paragraph" w:customStyle="1" w:styleId="130">
    <w:name w:val="二级标题"/>
    <w:basedOn w:val="3"/>
    <w:next w:val="44"/>
    <w:link w:val="131"/>
    <w:qFormat/>
    <w:uiPriority w:val="0"/>
    <w:pPr>
      <w:widowControl/>
      <w:ind w:firstLine="643"/>
    </w:pPr>
    <w:rPr>
      <w:rFonts w:ascii="仿宋_GB2312" w:eastAsia="仿宋_GB2312"/>
      <w:color w:val="333333"/>
      <w:kern w:val="0"/>
      <w:szCs w:val="32"/>
    </w:rPr>
  </w:style>
  <w:style w:type="character" w:customStyle="1" w:styleId="131">
    <w:name w:val="二级标题 字符"/>
    <w:basedOn w:val="36"/>
    <w:link w:val="130"/>
    <w:qFormat/>
    <w:uiPriority w:val="0"/>
    <w:rPr>
      <w:rFonts w:ascii="仿宋_GB2312" w:eastAsia="仿宋_GB2312"/>
      <w:color w:val="333333"/>
      <w:kern w:val="2"/>
      <w:sz w:val="32"/>
      <w:szCs w:val="32"/>
    </w:rPr>
  </w:style>
  <w:style w:type="paragraph" w:customStyle="1" w:styleId="132">
    <w:name w:val="标题1"/>
    <w:basedOn w:val="1"/>
    <w:next w:val="1"/>
    <w:qFormat/>
    <w:uiPriority w:val="0"/>
    <w:pPr>
      <w:tabs>
        <w:tab w:val="left" w:pos="9193"/>
        <w:tab w:val="left" w:pos="9827"/>
      </w:tabs>
      <w:autoSpaceDE w:val="0"/>
      <w:autoSpaceDN w:val="0"/>
      <w:spacing w:line="700" w:lineRule="atLeast"/>
      <w:jc w:val="center"/>
    </w:pPr>
    <w:rPr>
      <w:rFonts w:eastAsia="方正小标宋_GBK"/>
      <w:snapToGrid w:val="0"/>
      <w:kern w:val="0"/>
      <w:sz w:val="44"/>
      <w:szCs w:val="20"/>
    </w:rPr>
  </w:style>
  <w:style w:type="paragraph" w:customStyle="1" w:styleId="133">
    <w:name w:val="TOC 标题21"/>
    <w:basedOn w:val="2"/>
    <w:next w:val="1"/>
    <w:unhideWhenUsed/>
    <w:qFormat/>
    <w:uiPriority w:val="39"/>
    <w:pPr>
      <w:widowControl/>
      <w:adjustRightInd w:val="0"/>
      <w:snapToGrid w:val="0"/>
      <w:spacing w:before="240" w:line="259" w:lineRule="auto"/>
      <w:ind w:firstLine="0" w:firstLineChars="0"/>
      <w:outlineLvl w:val="9"/>
    </w:pPr>
    <w:rPr>
      <w:rFonts w:ascii="Cambria" w:hAnsi="Cambria" w:eastAsia="宋体"/>
      <w:bCs w:val="0"/>
      <w:color w:val="365F91"/>
      <w:kern w:val="0"/>
      <w:szCs w:val="32"/>
    </w:rPr>
  </w:style>
  <w:style w:type="paragraph" w:customStyle="1" w:styleId="134">
    <w:name w:val="修订11"/>
    <w:hidden/>
    <w:semiHidden/>
    <w:qFormat/>
    <w:uiPriority w:val="99"/>
    <w:rPr>
      <w:rFonts w:ascii="Times New Roman" w:hAnsi="Times New Roman" w:eastAsia="仿宋" w:cs="Times New Roman"/>
      <w:kern w:val="2"/>
      <w:sz w:val="28"/>
      <w:szCs w:val="22"/>
      <w:lang w:val="en-US" w:eastAsia="zh-CN" w:bidi="ar-SA"/>
    </w:rPr>
  </w:style>
  <w:style w:type="paragraph" w:customStyle="1" w:styleId="13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3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37">
    <w:name w:val="xl105"/>
    <w:basedOn w:val="1"/>
    <w:qFormat/>
    <w:uiPriority w:val="0"/>
    <w:pPr>
      <w:widowControl/>
      <w:pBdr>
        <w:top w:val="single" w:color="auto" w:sz="4" w:space="0"/>
        <w:left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38">
    <w:name w:val="xl106"/>
    <w:basedOn w:val="1"/>
    <w:qFormat/>
    <w:uiPriority w:val="0"/>
    <w:pPr>
      <w:widowControl/>
      <w:pBdr>
        <w:left w:val="single" w:color="000000" w:sz="4" w:space="0"/>
        <w:bottom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39">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0">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3">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5">
    <w:name w:val="xl113"/>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6">
    <w:name w:val="xl114"/>
    <w:basedOn w:val="1"/>
    <w:qFormat/>
    <w:uiPriority w:val="0"/>
    <w:pPr>
      <w:widowControl/>
      <w:pBdr>
        <w:left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7">
    <w:name w:val="xl115"/>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8">
    <w:name w:val="xl116"/>
    <w:basedOn w:val="1"/>
    <w:qFormat/>
    <w:uiPriority w:val="0"/>
    <w:pPr>
      <w:widowControl/>
      <w:pBdr>
        <w:top w:val="single" w:color="000000" w:sz="4" w:space="0"/>
        <w:left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49">
    <w:name w:val="xl117"/>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0">
    <w:name w:val="xl118"/>
    <w:basedOn w:val="1"/>
    <w:qFormat/>
    <w:uiPriority w:val="0"/>
    <w:pPr>
      <w:widowControl/>
      <w:pBdr>
        <w:top w:val="single" w:color="auto" w:sz="4" w:space="0"/>
        <w:left w:val="single" w:color="000000"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1">
    <w:name w:val="xl119"/>
    <w:basedOn w:val="1"/>
    <w:qFormat/>
    <w:uiPriority w:val="0"/>
    <w:pPr>
      <w:widowControl/>
      <w:pBdr>
        <w:left w:val="single" w:color="000000"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2">
    <w:name w:val="xl120"/>
    <w:basedOn w:val="1"/>
    <w:qFormat/>
    <w:uiPriority w:val="0"/>
    <w:pPr>
      <w:widowControl/>
      <w:pBdr>
        <w:left w:val="single" w:color="000000" w:sz="4" w:space="0"/>
        <w:bottom w:val="single" w:color="auto" w:sz="4" w:space="0"/>
        <w:right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3">
    <w:name w:val="xl121"/>
    <w:basedOn w:val="1"/>
    <w:qFormat/>
    <w:uiPriority w:val="0"/>
    <w:pPr>
      <w:widowControl/>
      <w:pBdr>
        <w:top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4">
    <w:name w:val="xl122"/>
    <w:basedOn w:val="1"/>
    <w:qFormat/>
    <w:uiPriority w:val="0"/>
    <w:pPr>
      <w:widowControl/>
      <w:pBdr>
        <w:bottom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5">
    <w:name w:val="xl123"/>
    <w:basedOn w:val="1"/>
    <w:qFormat/>
    <w:uiPriority w:val="0"/>
    <w:pPr>
      <w:widowControl/>
      <w:pBdr>
        <w:top w:val="single" w:color="auto" w:sz="4" w:space="0"/>
        <w:left w:val="single" w:color="000000" w:sz="4" w:space="0"/>
        <w:right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6">
    <w:name w:val="xl124"/>
    <w:basedOn w:val="1"/>
    <w:qFormat/>
    <w:uiPriority w:val="0"/>
    <w:pPr>
      <w:widowControl/>
      <w:pBdr>
        <w:left w:val="single" w:color="auto" w:sz="4" w:space="0"/>
        <w:bottom w:val="single" w:color="000000" w:sz="4" w:space="0"/>
        <w:right w:val="single" w:color="auto"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7">
    <w:name w:val="xl125"/>
    <w:basedOn w:val="1"/>
    <w:qFormat/>
    <w:uiPriority w:val="0"/>
    <w:pPr>
      <w:widowControl/>
      <w:pBdr>
        <w:top w:val="single" w:color="000000" w:sz="4" w:space="0"/>
        <w:left w:val="single" w:color="auto" w:sz="4" w:space="0"/>
        <w:right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8">
    <w:name w:val="xl126"/>
    <w:basedOn w:val="1"/>
    <w:qFormat/>
    <w:uiPriority w:val="0"/>
    <w:pPr>
      <w:widowControl/>
      <w:pBdr>
        <w:left w:val="single" w:color="auto" w:sz="4" w:space="0"/>
        <w:right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paragraph" w:customStyle="1" w:styleId="159">
    <w:name w:val="xl127"/>
    <w:basedOn w:val="1"/>
    <w:qFormat/>
    <w:uiPriority w:val="0"/>
    <w:pPr>
      <w:widowControl/>
      <w:pBdr>
        <w:left w:val="single" w:color="auto" w:sz="4" w:space="0"/>
        <w:bottom w:val="single" w:color="000000" w:sz="4" w:space="0"/>
        <w:right w:val="single" w:color="000000" w:sz="4" w:space="0"/>
      </w:pBdr>
      <w:spacing w:before="100" w:beforeAutospacing="1" w:after="100" w:afterAutospacing="1" w:line="240" w:lineRule="auto"/>
      <w:ind w:firstLine="0" w:firstLineChars="0"/>
      <w:jc w:val="center"/>
    </w:pPr>
    <w:rPr>
      <w:rFonts w:ascii="仿宋" w:hAnsi="仿宋" w:cs="宋体"/>
      <w:kern w:val="0"/>
      <w:sz w:val="20"/>
      <w:szCs w:val="20"/>
    </w:rPr>
  </w:style>
  <w:style w:type="character" w:customStyle="1" w:styleId="160">
    <w:name w:val="正文文本缩进 3 Char"/>
    <w:basedOn w:val="30"/>
    <w:link w:val="23"/>
    <w:semiHidden/>
    <w:qFormat/>
    <w:uiPriority w:val="99"/>
    <w:rPr>
      <w:rFonts w:eastAsia="仿宋"/>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43D59-ECAF-40D5-9259-F49600B42839}">
  <ds:schemaRefs/>
</ds:datastoreItem>
</file>

<file path=docProps/app.xml><?xml version="1.0" encoding="utf-8"?>
<Properties xmlns="http://schemas.openxmlformats.org/officeDocument/2006/extended-properties" xmlns:vt="http://schemas.openxmlformats.org/officeDocument/2006/docPropsVTypes">
  <Template>Normal</Template>
  <Pages>31</Pages>
  <Words>15443</Words>
  <Characters>15790</Characters>
  <Lines>133</Lines>
  <Paragraphs>37</Paragraphs>
  <TotalTime>2</TotalTime>
  <ScaleCrop>false</ScaleCrop>
  <LinksUpToDate>false</LinksUpToDate>
  <CharactersWithSpaces>16137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2024-06-21T01:41:00Z</dcterms:created>
  <dc:creator>dell</dc:creator>
  <cp:lastModifiedBy>拾忆</cp:lastModifiedBy>
  <cp:lastPrinted>2024-04-22T01:49:00Z</cp:lastPrinted>
  <dcterms:modified xsi:type="dcterms:W3CDTF">2024-06-21T08:55:37Z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CB5A00F37479431DA8C0C3FFDA8F146A_13</vt:lpwstr>
  </property>
</Properties>
</file>