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苏州市洞庭山碧螺春茶保护条例</w:t>
      </w:r>
    </w:p>
    <w:p>
      <w:pPr>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征求意见稿</w:t>
      </w:r>
      <w:r>
        <w:rPr>
          <w:rFonts w:hint="eastAsia" w:ascii="仿宋_GB2312" w:hAnsi="仿宋_GB2312" w:eastAsia="仿宋_GB2312" w:cs="仿宋_GB2312"/>
          <w:b w:val="0"/>
          <w:bCs w:val="0"/>
          <w:sz w:val="32"/>
          <w:szCs w:val="32"/>
        </w:rPr>
        <w:t>）</w:t>
      </w:r>
    </w:p>
    <w:p>
      <w:pPr>
        <w:jc w:val="center"/>
        <w:rPr>
          <w:b/>
          <w:bCs/>
          <w:sz w:val="44"/>
          <w:szCs w:val="44"/>
        </w:rPr>
      </w:pPr>
    </w:p>
    <w:p>
      <w:pPr>
        <w:jc w:val="center"/>
        <w:rPr>
          <w:rFonts w:ascii="黑体" w:hAnsi="黑体" w:eastAsia="黑体"/>
          <w:b/>
          <w:bCs/>
          <w:sz w:val="30"/>
          <w:szCs w:val="30"/>
        </w:rPr>
      </w:pPr>
      <w:r>
        <w:rPr>
          <w:rFonts w:hint="eastAsia" w:ascii="黑体" w:hAnsi="黑体" w:eastAsia="黑体"/>
          <w:b/>
          <w:bCs/>
          <w:sz w:val="30"/>
          <w:szCs w:val="30"/>
        </w:rPr>
        <w:t>目</w:t>
      </w:r>
      <w:r>
        <w:rPr>
          <w:rFonts w:ascii="黑体" w:hAnsi="黑体" w:eastAsia="黑体"/>
          <w:b/>
          <w:bCs/>
          <w:sz w:val="30"/>
          <w:szCs w:val="30"/>
        </w:rPr>
        <w:t xml:space="preserve">    </w:t>
      </w:r>
      <w:r>
        <w:rPr>
          <w:rFonts w:hint="eastAsia" w:ascii="黑体" w:hAnsi="黑体" w:eastAsia="黑体"/>
          <w:b/>
          <w:bCs/>
          <w:sz w:val="30"/>
          <w:szCs w:val="30"/>
        </w:rPr>
        <w:t>录</w:t>
      </w:r>
    </w:p>
    <w:p>
      <w:pPr>
        <w:pStyle w:val="7"/>
        <w:numPr>
          <w:ilvl w:val="0"/>
          <w:numId w:val="1"/>
        </w:numPr>
        <w:ind w:firstLineChars="0"/>
        <w:rPr>
          <w:rFonts w:ascii="黑体" w:hAnsi="黑体" w:eastAsia="黑体"/>
          <w:b/>
          <w:bCs/>
          <w:sz w:val="30"/>
          <w:szCs w:val="30"/>
        </w:rPr>
      </w:pPr>
      <w:r>
        <w:rPr>
          <w:rFonts w:hint="eastAsia" w:ascii="黑体" w:hAnsi="黑体" w:eastAsia="黑体"/>
          <w:b/>
          <w:bCs/>
          <w:sz w:val="30"/>
          <w:szCs w:val="30"/>
        </w:rPr>
        <w:t>总则</w:t>
      </w:r>
    </w:p>
    <w:p>
      <w:pPr>
        <w:pStyle w:val="7"/>
        <w:numPr>
          <w:ilvl w:val="0"/>
          <w:numId w:val="1"/>
        </w:numPr>
        <w:ind w:firstLineChars="0"/>
        <w:rPr>
          <w:rFonts w:ascii="黑体" w:hAnsi="黑体" w:eastAsia="黑体"/>
          <w:b/>
          <w:bCs/>
          <w:sz w:val="30"/>
          <w:szCs w:val="30"/>
        </w:rPr>
      </w:pPr>
      <w:r>
        <w:rPr>
          <w:rFonts w:hint="eastAsia" w:ascii="黑体" w:hAnsi="黑体" w:eastAsia="黑体"/>
          <w:b/>
          <w:bCs/>
          <w:sz w:val="30"/>
          <w:szCs w:val="30"/>
        </w:rPr>
        <w:t>品牌保护和标识管理</w:t>
      </w:r>
    </w:p>
    <w:p>
      <w:pPr>
        <w:pStyle w:val="7"/>
        <w:numPr>
          <w:ilvl w:val="0"/>
          <w:numId w:val="1"/>
        </w:numPr>
        <w:ind w:firstLineChars="0"/>
        <w:rPr>
          <w:rFonts w:ascii="黑体" w:hAnsi="黑体" w:eastAsia="黑体"/>
          <w:b/>
          <w:bCs/>
          <w:sz w:val="30"/>
          <w:szCs w:val="30"/>
        </w:rPr>
      </w:pPr>
      <w:r>
        <w:rPr>
          <w:rFonts w:hint="eastAsia" w:ascii="黑体" w:hAnsi="黑体" w:eastAsia="黑体"/>
          <w:b/>
          <w:bCs/>
          <w:sz w:val="30"/>
          <w:szCs w:val="30"/>
        </w:rPr>
        <w:t>品质保护与提升</w:t>
      </w:r>
    </w:p>
    <w:p>
      <w:pPr>
        <w:pStyle w:val="7"/>
        <w:numPr>
          <w:ilvl w:val="0"/>
          <w:numId w:val="1"/>
        </w:numPr>
        <w:ind w:firstLineChars="0"/>
        <w:rPr>
          <w:rFonts w:ascii="黑体" w:hAnsi="黑体" w:eastAsia="黑体"/>
          <w:b/>
          <w:bCs/>
          <w:sz w:val="30"/>
          <w:szCs w:val="30"/>
        </w:rPr>
      </w:pPr>
      <w:r>
        <w:rPr>
          <w:rFonts w:hint="eastAsia" w:ascii="黑体" w:hAnsi="黑体" w:eastAsia="黑体"/>
          <w:b/>
          <w:bCs/>
          <w:sz w:val="30"/>
          <w:szCs w:val="30"/>
        </w:rPr>
        <w:t xml:space="preserve">文化传承与工艺保护    </w:t>
      </w:r>
    </w:p>
    <w:p>
      <w:pPr>
        <w:pStyle w:val="7"/>
        <w:numPr>
          <w:ilvl w:val="0"/>
          <w:numId w:val="1"/>
        </w:numPr>
        <w:ind w:firstLineChars="0"/>
        <w:rPr>
          <w:rFonts w:ascii="黑体" w:hAnsi="黑体" w:eastAsia="黑体"/>
          <w:b/>
          <w:bCs/>
          <w:sz w:val="30"/>
          <w:szCs w:val="30"/>
        </w:rPr>
      </w:pPr>
      <w:r>
        <w:rPr>
          <w:rFonts w:hint="eastAsia" w:ascii="黑体" w:hAnsi="黑体" w:eastAsia="黑体"/>
          <w:b/>
          <w:bCs/>
          <w:sz w:val="30"/>
          <w:szCs w:val="30"/>
        </w:rPr>
        <w:t>产业扶持与发展</w:t>
      </w:r>
    </w:p>
    <w:p>
      <w:pPr>
        <w:pStyle w:val="7"/>
        <w:numPr>
          <w:ilvl w:val="0"/>
          <w:numId w:val="1"/>
        </w:numPr>
        <w:ind w:firstLineChars="0"/>
        <w:rPr>
          <w:rFonts w:ascii="黑体" w:hAnsi="黑体" w:eastAsia="黑体"/>
          <w:b/>
          <w:bCs/>
          <w:sz w:val="30"/>
          <w:szCs w:val="30"/>
        </w:rPr>
      </w:pPr>
      <w:r>
        <w:rPr>
          <w:rFonts w:hint="eastAsia" w:ascii="黑体" w:hAnsi="黑体" w:eastAsia="黑体"/>
          <w:b/>
          <w:bCs/>
          <w:sz w:val="30"/>
          <w:szCs w:val="30"/>
        </w:rPr>
        <w:t>法律责任</w:t>
      </w:r>
    </w:p>
    <w:p>
      <w:pPr>
        <w:pStyle w:val="7"/>
        <w:numPr>
          <w:ilvl w:val="0"/>
          <w:numId w:val="1"/>
        </w:numPr>
        <w:ind w:firstLineChars="0"/>
        <w:rPr>
          <w:rFonts w:ascii="黑体" w:hAnsi="黑体" w:eastAsia="黑体"/>
          <w:b/>
          <w:bCs/>
          <w:sz w:val="30"/>
          <w:szCs w:val="30"/>
        </w:rPr>
      </w:pPr>
      <w:r>
        <w:rPr>
          <w:rFonts w:hint="eastAsia" w:ascii="黑体" w:hAnsi="黑体" w:eastAsia="黑体"/>
          <w:b/>
          <w:bCs/>
          <w:sz w:val="30"/>
          <w:szCs w:val="30"/>
        </w:rPr>
        <w:t>附则</w:t>
      </w:r>
    </w:p>
    <w:p>
      <w:pPr>
        <w:rPr>
          <w:sz w:val="28"/>
          <w:szCs w:val="28"/>
        </w:rPr>
      </w:pPr>
    </w:p>
    <w:p>
      <w:pPr>
        <w:numPr>
          <w:ilvl w:val="0"/>
          <w:numId w:val="2"/>
        </w:numPr>
        <w:jc w:val="center"/>
        <w:rPr>
          <w:rFonts w:ascii="黑体" w:hAnsi="黑体" w:eastAsia="黑体"/>
          <w:b/>
          <w:bCs/>
          <w:sz w:val="30"/>
          <w:szCs w:val="30"/>
        </w:rPr>
      </w:pPr>
      <w:r>
        <w:rPr>
          <w:rFonts w:ascii="黑体" w:hAnsi="黑体" w:eastAsia="黑体"/>
          <w:b/>
          <w:bCs/>
          <w:sz w:val="30"/>
          <w:szCs w:val="30"/>
        </w:rPr>
        <w:t xml:space="preserve"> </w:t>
      </w:r>
      <w:r>
        <w:rPr>
          <w:rFonts w:hint="eastAsia" w:ascii="黑体" w:hAnsi="黑体" w:eastAsia="黑体"/>
          <w:b/>
          <w:bCs/>
          <w:sz w:val="30"/>
          <w:szCs w:val="30"/>
        </w:rPr>
        <w:t>总则</w:t>
      </w:r>
    </w:p>
    <w:p>
      <w:pPr>
        <w:rPr>
          <w:b/>
          <w:bCs/>
          <w:sz w:val="28"/>
          <w:szCs w:val="28"/>
        </w:rPr>
      </w:pPr>
    </w:p>
    <w:p>
      <w:pPr>
        <w:pStyle w:val="2"/>
        <w:rPr>
          <w:color w:val="000000"/>
        </w:rPr>
      </w:pPr>
      <w:r>
        <w:rPr>
          <w:sz w:val="28"/>
          <w:szCs w:val="28"/>
        </w:rPr>
        <w:t xml:space="preserve"> </w:t>
      </w:r>
    </w:p>
    <w:p>
      <w:pPr>
        <w:numPr>
          <w:ilvl w:val="0"/>
          <w:numId w:val="3"/>
        </w:numPr>
        <w:ind w:firstLine="560"/>
        <w:rPr>
          <w:sz w:val="28"/>
          <w:szCs w:val="28"/>
        </w:rPr>
      </w:pPr>
      <w:r>
        <w:rPr>
          <w:rFonts w:hint="eastAsia"/>
          <w:color w:val="000000"/>
          <w:sz w:val="28"/>
          <w:szCs w:val="28"/>
        </w:rPr>
        <w:t xml:space="preserve"> 为了保护和提升洞庭山碧螺春茶的品质，传承和弘扬洞庭山碧螺春茶文化，加强洞庭山碧螺春茶品牌保护，促进洞庭山碧螺春茶产业持续健康发展，</w:t>
      </w:r>
      <w:r>
        <w:rPr>
          <w:rFonts w:hint="eastAsia"/>
          <w:sz w:val="28"/>
          <w:szCs w:val="28"/>
        </w:rPr>
        <w:t>根据有关法律、法规，结合本市实际，制定本条例。</w:t>
      </w:r>
    </w:p>
    <w:p>
      <w:pPr>
        <w:numPr>
          <w:ilvl w:val="0"/>
          <w:numId w:val="3"/>
        </w:numPr>
        <w:ind w:firstLine="560"/>
        <w:rPr>
          <w:sz w:val="28"/>
          <w:szCs w:val="28"/>
        </w:rPr>
      </w:pPr>
      <w:r>
        <w:rPr>
          <w:sz w:val="28"/>
          <w:szCs w:val="28"/>
        </w:rPr>
        <w:t xml:space="preserve"> 在</w:t>
      </w:r>
      <w:r>
        <w:rPr>
          <w:rFonts w:hint="eastAsia"/>
          <w:sz w:val="28"/>
          <w:szCs w:val="28"/>
        </w:rPr>
        <w:t>本市行政区域内开展洞庭山碧螺春茶的生产、经营、保护、管理及相关活动，适用本条例。</w:t>
      </w:r>
    </w:p>
    <w:p>
      <w:pPr>
        <w:numPr>
          <w:ilvl w:val="0"/>
          <w:numId w:val="3"/>
        </w:numPr>
        <w:ind w:firstLine="560"/>
        <w:rPr>
          <w:sz w:val="28"/>
          <w:szCs w:val="28"/>
        </w:rPr>
      </w:pPr>
      <w:r>
        <w:rPr>
          <w:rFonts w:hint="eastAsia"/>
          <w:sz w:val="28"/>
          <w:szCs w:val="28"/>
        </w:rPr>
        <w:t xml:space="preserve"> 本条例所称的洞庭山碧螺春茶，是指以吴中区东山镇、金庭镇为产区，以洞庭山碧螺春茶果复合系统为主要种植模式，采自传统茶树品种或选用适宜的良种进行繁育、栽培的茶树的幼嫩芽叶，经鲜叶拣剔、高温杀青、热揉成形、搓团显毫、文火干燥等工艺加工而成，具有“纤细多毫，卷曲呈螺，嫩香持久，滋味鲜醇，回味甘甜”为主要品质特征的绿茶。</w:t>
      </w:r>
      <w:bookmarkStart w:id="0" w:name="_GoBack"/>
      <w:bookmarkEnd w:id="0"/>
    </w:p>
    <w:p>
      <w:pPr>
        <w:pStyle w:val="7"/>
        <w:numPr>
          <w:ilvl w:val="0"/>
          <w:numId w:val="3"/>
        </w:numPr>
        <w:ind w:firstLineChars="0"/>
        <w:rPr>
          <w:sz w:val="28"/>
          <w:szCs w:val="28"/>
        </w:rPr>
      </w:pPr>
      <w:r>
        <w:rPr>
          <w:rFonts w:hint="eastAsia"/>
          <w:sz w:val="28"/>
          <w:szCs w:val="28"/>
        </w:rPr>
        <w:t xml:space="preserve"> 本条例所称的洞庭山碧螺春茶果复合系统是指以洞庭山碧螺春茶与枇杷、柑橘、杨梅等各种果树复合种植的农业生产系统。</w:t>
      </w:r>
    </w:p>
    <w:p>
      <w:pPr>
        <w:numPr>
          <w:ilvl w:val="0"/>
          <w:numId w:val="3"/>
        </w:numPr>
        <w:ind w:firstLine="560" w:firstLineChars="200"/>
        <w:rPr>
          <w:color w:val="FF0000"/>
          <w:sz w:val="28"/>
          <w:szCs w:val="28"/>
        </w:rPr>
      </w:pPr>
      <w:r>
        <w:rPr>
          <w:rFonts w:hint="eastAsia"/>
          <w:sz w:val="28"/>
          <w:szCs w:val="28"/>
        </w:rPr>
        <w:t>本条例所称的洞庭山碧螺春专用标识，是指以下商标、名称、标志之一或全部：（一）洞庭山碧螺春地理标志证明商标及专用标志；（二）洞庭山碧螺春地理标志保护产品名称及专用标志；（三）洞庭山碧螺春农产品地理标志。</w:t>
      </w:r>
    </w:p>
    <w:p>
      <w:pPr>
        <w:ind w:firstLine="562" w:firstLineChars="200"/>
        <w:rPr>
          <w:sz w:val="28"/>
          <w:szCs w:val="28"/>
        </w:rPr>
      </w:pPr>
      <w:r>
        <w:rPr>
          <w:rFonts w:hint="eastAsia"/>
          <w:b/>
          <w:bCs/>
          <w:sz w:val="28"/>
          <w:szCs w:val="28"/>
        </w:rPr>
        <w:t>第六条</w:t>
      </w:r>
      <w:r>
        <w:rPr>
          <w:rFonts w:hint="eastAsia"/>
          <w:sz w:val="28"/>
          <w:szCs w:val="28"/>
        </w:rPr>
        <w:t xml:space="preserve">  洞庭山碧螺春茶保护工作应当坚持依法管理、绿色生态、品牌引领、保护传承、行业自律、共同参与的原则。</w:t>
      </w:r>
    </w:p>
    <w:p>
      <w:pPr>
        <w:ind w:left="70" w:firstLine="590" w:firstLineChars="200"/>
        <w:rPr>
          <w:rFonts w:ascii="宋体" w:hAnsi="宋体" w:cs="仿宋_GB2312"/>
          <w:spacing w:val="7"/>
          <w:sz w:val="28"/>
          <w:szCs w:val="28"/>
        </w:rPr>
      </w:pPr>
      <w:r>
        <w:rPr>
          <w:rFonts w:hint="eastAsia" w:ascii="宋体" w:hAnsi="宋体" w:cs="仿宋_GB2312"/>
          <w:b/>
          <w:spacing w:val="7"/>
          <w:sz w:val="28"/>
          <w:szCs w:val="28"/>
        </w:rPr>
        <w:t>第七条</w:t>
      </w:r>
      <w:r>
        <w:rPr>
          <w:rFonts w:ascii="宋体" w:hAnsi="宋体" w:cs="仿宋_GB2312"/>
          <w:b/>
          <w:spacing w:val="7"/>
          <w:sz w:val="28"/>
          <w:szCs w:val="28"/>
        </w:rPr>
        <w:t xml:space="preserve"> </w:t>
      </w:r>
      <w:r>
        <w:rPr>
          <w:rFonts w:hint="eastAsia" w:ascii="宋体" w:hAnsi="宋体" w:cs="仿宋_GB2312"/>
          <w:bCs/>
          <w:spacing w:val="7"/>
          <w:sz w:val="28"/>
          <w:szCs w:val="28"/>
        </w:rPr>
        <w:t>市、吴中区</w:t>
      </w:r>
      <w:r>
        <w:rPr>
          <w:rFonts w:hint="eastAsia" w:ascii="宋体" w:hAnsi="宋体" w:cs="仿宋_GB2312"/>
          <w:spacing w:val="7"/>
          <w:sz w:val="28"/>
          <w:szCs w:val="28"/>
        </w:rPr>
        <w:t>人民政府应当制定洞庭山碧螺春茶产业发展规划。洞庭山碧螺春茶产业发展规划要与生态环境保护规划、水土保持规划以及保护区、风景名胜区等专项规划相衔接。</w:t>
      </w:r>
    </w:p>
    <w:p>
      <w:pPr>
        <w:ind w:left="70" w:firstLine="590" w:firstLineChars="200"/>
        <w:rPr>
          <w:sz w:val="28"/>
          <w:szCs w:val="28"/>
        </w:rPr>
      </w:pPr>
      <w:r>
        <w:rPr>
          <w:rFonts w:hint="eastAsia" w:ascii="宋体" w:hAnsi="宋体" w:cs="仿宋_GB2312"/>
          <w:b/>
          <w:spacing w:val="7"/>
          <w:sz w:val="28"/>
          <w:szCs w:val="28"/>
        </w:rPr>
        <w:t>第八条</w:t>
      </w:r>
      <w:r>
        <w:rPr>
          <w:rFonts w:hint="eastAsia"/>
          <w:sz w:val="28"/>
          <w:szCs w:val="28"/>
        </w:rPr>
        <w:t xml:space="preserve"> 市人民政府应当加强洞庭山碧螺春茶保护工作的领导，协调推进洞庭山碧螺春茶保护事项。</w:t>
      </w:r>
    </w:p>
    <w:p>
      <w:pPr>
        <w:ind w:left="70" w:firstLine="560" w:firstLineChars="200"/>
        <w:rPr>
          <w:sz w:val="28"/>
          <w:szCs w:val="28"/>
        </w:rPr>
      </w:pPr>
      <w:r>
        <w:rPr>
          <w:rFonts w:hint="eastAsia"/>
          <w:sz w:val="28"/>
          <w:szCs w:val="28"/>
        </w:rPr>
        <w:t>吴中区人民政府应当按照本条例的规定，严格履行主体责任，组织落实相关工作，并建立健全工作考核机制。</w:t>
      </w:r>
    </w:p>
    <w:p>
      <w:pPr>
        <w:ind w:left="70" w:firstLine="560" w:firstLineChars="200"/>
        <w:rPr>
          <w:sz w:val="28"/>
          <w:szCs w:val="28"/>
        </w:rPr>
      </w:pPr>
      <w:r>
        <w:rPr>
          <w:rFonts w:hint="eastAsia"/>
          <w:sz w:val="28"/>
          <w:szCs w:val="28"/>
        </w:rPr>
        <w:t>东山镇人民政府、金庭镇人民政府应当做好本辖区内茶树种植、茶叶采收、加工销售等活动的服务、指导与监督工作。</w:t>
      </w:r>
    </w:p>
    <w:p>
      <w:pPr>
        <w:ind w:left="70" w:firstLine="560" w:firstLineChars="200"/>
        <w:rPr>
          <w:sz w:val="28"/>
          <w:szCs w:val="28"/>
        </w:rPr>
      </w:pPr>
      <w:r>
        <w:rPr>
          <w:rFonts w:hint="eastAsia"/>
          <w:sz w:val="28"/>
          <w:szCs w:val="28"/>
        </w:rPr>
        <w:t>洞庭山碧螺春茶产区村民委员会在镇人民政府指导下做好洞庭山碧螺春茶保护相关工作，可通过村规民约对茶叶绿色生产、清洁加工和诚信经营作出具体约定。镇人民政府应当依法加强对村规民约制定和落实情况的指导、监督。</w:t>
      </w:r>
    </w:p>
    <w:p>
      <w:pPr>
        <w:ind w:left="70" w:firstLine="560" w:firstLineChars="200"/>
        <w:rPr>
          <w:sz w:val="28"/>
          <w:szCs w:val="28"/>
        </w:rPr>
      </w:pPr>
      <w:r>
        <w:rPr>
          <w:rFonts w:hint="eastAsia"/>
          <w:sz w:val="28"/>
          <w:szCs w:val="28"/>
        </w:rPr>
        <w:t>农业农村主管部门负责洞庭山碧螺春茶资源保护和品质提升工作；市场监督管理主管部门负责洞庭山碧螺春茶品牌保护、市场秩序维护、地理标志管理等工作；市、区科技、公安、财政、人力资源和社会保障、自然资源和规划、生态环境、商务、文化广电和旅游、数据资源、气象等部门按照各自职责，做好洞庭山碧螺春茶保护相关工作。</w:t>
      </w:r>
    </w:p>
    <w:p>
      <w:pPr>
        <w:ind w:firstLine="590" w:firstLineChars="200"/>
        <w:rPr>
          <w:sz w:val="28"/>
          <w:szCs w:val="28"/>
        </w:rPr>
      </w:pPr>
      <w:r>
        <w:rPr>
          <w:rFonts w:hint="eastAsia" w:ascii="宋体" w:hAnsi="宋体" w:cs="仿宋_GB2312"/>
          <w:b/>
          <w:spacing w:val="7"/>
          <w:sz w:val="28"/>
          <w:szCs w:val="28"/>
        </w:rPr>
        <w:t>第九条</w:t>
      </w:r>
      <w:r>
        <w:rPr>
          <w:rFonts w:hint="eastAsia"/>
          <w:sz w:val="28"/>
          <w:szCs w:val="28"/>
        </w:rPr>
        <w:t xml:space="preserve">  苏州市吴中区洞庭山碧螺春茶业协会应当加强行业自律，规范行业行为，推动行业诚信建设，引导会员守法经营，维护行业和会员利益，依法为洞庭山碧螺春茶产业提供服务。</w:t>
      </w:r>
    </w:p>
    <w:p>
      <w:pPr>
        <w:ind w:left="70" w:firstLine="562" w:firstLineChars="200"/>
        <w:rPr>
          <w:sz w:val="28"/>
          <w:szCs w:val="28"/>
        </w:rPr>
      </w:pPr>
      <w:r>
        <w:rPr>
          <w:rFonts w:hint="eastAsia"/>
          <w:b/>
          <w:sz w:val="28"/>
          <w:szCs w:val="28"/>
        </w:rPr>
        <w:t>第十条</w:t>
      </w:r>
      <w:r>
        <w:rPr>
          <w:b/>
          <w:sz w:val="28"/>
          <w:szCs w:val="28"/>
        </w:rPr>
        <w:t xml:space="preserve">  </w:t>
      </w:r>
      <w:r>
        <w:rPr>
          <w:rFonts w:hint="eastAsia"/>
          <w:sz w:val="28"/>
          <w:szCs w:val="28"/>
        </w:rPr>
        <w:t>洞庭山碧螺春茶实际开采日根据当年的洞庭山碧螺春茶叶生长情况和天气因素确定，由市人民政府统一发布。</w:t>
      </w:r>
    </w:p>
    <w:p>
      <w:pPr>
        <w:ind w:left="70" w:firstLine="562" w:firstLineChars="200"/>
        <w:rPr>
          <w:sz w:val="28"/>
          <w:szCs w:val="28"/>
        </w:rPr>
      </w:pPr>
      <w:r>
        <w:rPr>
          <w:rFonts w:hint="eastAsia"/>
          <w:b/>
          <w:sz w:val="28"/>
          <w:szCs w:val="28"/>
        </w:rPr>
        <w:t>第十一条</w:t>
      </w:r>
      <w:r>
        <w:rPr>
          <w:sz w:val="28"/>
          <w:szCs w:val="28"/>
        </w:rPr>
        <w:t xml:space="preserve"> </w:t>
      </w:r>
      <w:r>
        <w:rPr>
          <w:rFonts w:hint="eastAsia"/>
          <w:sz w:val="28"/>
          <w:szCs w:val="28"/>
        </w:rPr>
        <w:t xml:space="preserve"> 市、区人民政府及文化广电和旅游、农业农村、市场监管等部门应当</w:t>
      </w:r>
      <w:r>
        <w:rPr>
          <w:rFonts w:ascii="Arial" w:hAnsi="Arial" w:cs="Arial"/>
          <w:kern w:val="0"/>
          <w:sz w:val="30"/>
          <w:szCs w:val="30"/>
        </w:rPr>
        <w:t>运用</w:t>
      </w:r>
      <w:r>
        <w:rPr>
          <w:rFonts w:hint="eastAsia" w:ascii="Arial" w:hAnsi="Arial" w:cs="Arial"/>
          <w:kern w:val="0"/>
          <w:sz w:val="30"/>
          <w:szCs w:val="30"/>
        </w:rPr>
        <w:t>各类</w:t>
      </w:r>
      <w:r>
        <w:rPr>
          <w:rFonts w:ascii="Arial" w:hAnsi="Arial" w:cs="Arial"/>
          <w:kern w:val="0"/>
          <w:sz w:val="30"/>
          <w:szCs w:val="30"/>
        </w:rPr>
        <w:t>媒体平台，拓展传播渠道，</w:t>
      </w:r>
      <w:r>
        <w:rPr>
          <w:rFonts w:hint="eastAsia" w:ascii="Arial" w:hAnsi="Arial" w:cs="Arial"/>
          <w:kern w:val="0"/>
          <w:sz w:val="30"/>
          <w:szCs w:val="30"/>
        </w:rPr>
        <w:t>推动</w:t>
      </w:r>
      <w:r>
        <w:rPr>
          <w:rFonts w:hint="eastAsia"/>
          <w:sz w:val="28"/>
          <w:szCs w:val="28"/>
        </w:rPr>
        <w:t>对洞庭山碧螺春茶产业的宣传推广工作。</w:t>
      </w:r>
    </w:p>
    <w:p>
      <w:pPr>
        <w:ind w:left="70" w:firstLine="560" w:firstLineChars="200"/>
        <w:rPr>
          <w:sz w:val="28"/>
          <w:szCs w:val="28"/>
        </w:rPr>
      </w:pPr>
    </w:p>
    <w:p>
      <w:pPr>
        <w:jc w:val="center"/>
        <w:rPr>
          <w:rFonts w:ascii="黑体" w:hAnsi="黑体" w:eastAsia="黑体"/>
          <w:b/>
          <w:sz w:val="30"/>
          <w:szCs w:val="30"/>
        </w:rPr>
      </w:pPr>
      <w:r>
        <w:rPr>
          <w:rFonts w:hint="eastAsia" w:ascii="黑体" w:hAnsi="黑体" w:eastAsia="黑体"/>
          <w:b/>
          <w:sz w:val="30"/>
          <w:szCs w:val="30"/>
        </w:rPr>
        <w:t>第二章  品牌保护和标识管理</w:t>
      </w:r>
    </w:p>
    <w:p>
      <w:pPr>
        <w:jc w:val="center"/>
        <w:rPr>
          <w:rFonts w:ascii="黑体" w:hAnsi="黑体" w:eastAsia="黑体"/>
          <w:b/>
          <w:sz w:val="30"/>
          <w:szCs w:val="30"/>
        </w:rPr>
      </w:pPr>
    </w:p>
    <w:p>
      <w:pPr>
        <w:ind w:firstLine="562" w:firstLineChars="200"/>
        <w:rPr>
          <w:sz w:val="28"/>
          <w:szCs w:val="28"/>
        </w:rPr>
      </w:pPr>
      <w:r>
        <w:rPr>
          <w:rFonts w:hint="eastAsia"/>
          <w:b/>
          <w:sz w:val="28"/>
          <w:szCs w:val="28"/>
        </w:rPr>
        <w:t>第十二条</w:t>
      </w:r>
      <w:r>
        <w:rPr>
          <w:bCs/>
          <w:sz w:val="28"/>
          <w:szCs w:val="28"/>
        </w:rPr>
        <w:t xml:space="preserve"> </w:t>
      </w:r>
      <w:r>
        <w:rPr>
          <w:rFonts w:hint="eastAsia"/>
          <w:bCs/>
          <w:sz w:val="28"/>
          <w:szCs w:val="28"/>
          <w:lang w:val="en-US" w:eastAsia="zh-CN"/>
        </w:rPr>
        <w:t xml:space="preserve"> </w:t>
      </w:r>
      <w:r>
        <w:rPr>
          <w:rFonts w:hint="eastAsia"/>
          <w:bCs/>
          <w:sz w:val="28"/>
          <w:szCs w:val="28"/>
        </w:rPr>
        <w:t>市、吴中区人民政府应当加强洞庭山碧螺春茶区域公用品牌建设，以品牌引领洞庭山碧螺春茶产业发展。</w:t>
      </w:r>
      <w:r>
        <w:rPr>
          <w:rFonts w:hint="eastAsia"/>
          <w:sz w:val="28"/>
          <w:szCs w:val="28"/>
        </w:rPr>
        <w:t>鼓励和支持洞庭山碧螺春茶生产经营者开展品牌建设，提升企业产品、品牌的知名度和影响力。对获得地理标志证明商标、地理标志保护产品、农产品地理标志、中华老字号、入选国际地理标志保护产品互认清单以及生产经营者自主商标等洞庭山碧螺春茶的商标或者标识依法予以保护。</w:t>
      </w:r>
    </w:p>
    <w:p>
      <w:pPr>
        <w:ind w:firstLine="562" w:firstLineChars="200"/>
        <w:rPr>
          <w:sz w:val="28"/>
          <w:szCs w:val="28"/>
        </w:rPr>
      </w:pPr>
      <w:r>
        <w:rPr>
          <w:rFonts w:hint="eastAsia"/>
          <w:b/>
          <w:sz w:val="28"/>
          <w:szCs w:val="28"/>
        </w:rPr>
        <w:t xml:space="preserve">第十三条 </w:t>
      </w:r>
      <w:r>
        <w:rPr>
          <w:rFonts w:hint="eastAsia"/>
          <w:sz w:val="28"/>
          <w:szCs w:val="28"/>
        </w:rPr>
        <w:t xml:space="preserve"> 洞庭山碧螺春地理标志证明商标持有人应当建立健全商标管理规则，提升洞庭山碧螺春茶产品的外在形态、内在品质以及标识、包装的规范性，定期评估被许可使用人的商标使用情况，提高商标专用权的保护能力。</w:t>
      </w:r>
    </w:p>
    <w:p>
      <w:pPr>
        <w:ind w:firstLine="562" w:firstLineChars="200"/>
        <w:rPr>
          <w:sz w:val="28"/>
          <w:szCs w:val="28"/>
        </w:rPr>
      </w:pPr>
      <w:r>
        <w:rPr>
          <w:rFonts w:hint="eastAsia"/>
          <w:b/>
          <w:sz w:val="28"/>
          <w:szCs w:val="28"/>
        </w:rPr>
        <w:t>第十四条</w:t>
      </w:r>
      <w:r>
        <w:rPr>
          <w:b/>
          <w:sz w:val="28"/>
          <w:szCs w:val="28"/>
        </w:rPr>
        <w:t xml:space="preserve"> </w:t>
      </w:r>
      <w:r>
        <w:rPr>
          <w:sz w:val="28"/>
          <w:szCs w:val="28"/>
        </w:rPr>
        <w:t xml:space="preserve"> </w:t>
      </w:r>
      <w:r>
        <w:rPr>
          <w:rFonts w:hint="eastAsia"/>
          <w:sz w:val="28"/>
          <w:szCs w:val="28"/>
        </w:rPr>
        <w:t>洞庭山碧螺春茶生产经营者申请使用洞庭山碧螺春专用标识，应当符合该专用标识使用管理规则规定的条件，履行该专用标识使用管理规则规定的手续，遵守该专用标识使用许可协议的约定。</w:t>
      </w:r>
    </w:p>
    <w:p>
      <w:pPr>
        <w:ind w:firstLine="562" w:firstLineChars="200"/>
        <w:rPr>
          <w:color w:val="FF0000"/>
          <w:sz w:val="28"/>
          <w:szCs w:val="28"/>
        </w:rPr>
      </w:pPr>
      <w:r>
        <w:rPr>
          <w:rFonts w:hint="eastAsia"/>
          <w:b/>
          <w:sz w:val="28"/>
          <w:szCs w:val="28"/>
        </w:rPr>
        <w:t>第十五条</w:t>
      </w:r>
      <w:r>
        <w:rPr>
          <w:b/>
          <w:sz w:val="28"/>
          <w:szCs w:val="28"/>
        </w:rPr>
        <w:t xml:space="preserve">  </w:t>
      </w:r>
      <w:r>
        <w:rPr>
          <w:rFonts w:hint="eastAsia"/>
          <w:sz w:val="28"/>
          <w:szCs w:val="28"/>
        </w:rPr>
        <w:t>洞庭山碧螺春茶生产经营者应当诚信经营，保障消费者的合法权益，不得在非洞庭山碧螺春茶的包装、宣传上使用易产生误解和混淆的名称或者标识以及可能误导消费者的文字或者图案标识，使消费者将该茶叶误认为洞庭山碧螺春茶。</w:t>
      </w:r>
    </w:p>
    <w:p>
      <w:pPr>
        <w:ind w:firstLine="562" w:firstLineChars="200"/>
        <w:rPr>
          <w:sz w:val="28"/>
          <w:szCs w:val="28"/>
        </w:rPr>
      </w:pPr>
      <w:r>
        <w:rPr>
          <w:rFonts w:hint="eastAsia"/>
          <w:b/>
          <w:sz w:val="28"/>
          <w:szCs w:val="28"/>
        </w:rPr>
        <w:t>第十六条</w:t>
      </w:r>
      <w:r>
        <w:rPr>
          <w:b/>
          <w:sz w:val="28"/>
          <w:szCs w:val="28"/>
        </w:rPr>
        <w:t xml:space="preserve">  </w:t>
      </w:r>
      <w:r>
        <w:rPr>
          <w:rFonts w:hint="eastAsia"/>
          <w:bCs/>
          <w:sz w:val="28"/>
          <w:szCs w:val="28"/>
        </w:rPr>
        <w:t>市、吴中区人民政府应当采取措施提升洞庭山碧螺春茶叶的市场信誉和品牌价值，</w:t>
      </w:r>
      <w:r>
        <w:rPr>
          <w:rFonts w:hint="eastAsia"/>
          <w:sz w:val="28"/>
          <w:szCs w:val="28"/>
        </w:rPr>
        <w:t>农业农村主管部门会同市场监督管理部门跟踪学习国内外地理标志农产品保护的做法，及时开展洞庭山碧螺春茶质量数字化溯源工作，加快大数据信息化管理系统等先进科技的应用，并制定对应的管理办法，建立、完善洞庭山碧螺春茶质量溯源机制，维护消费者权益和市场秩序。</w:t>
      </w:r>
    </w:p>
    <w:p>
      <w:pPr>
        <w:ind w:firstLine="562" w:firstLineChars="200"/>
        <w:rPr>
          <w:sz w:val="28"/>
          <w:szCs w:val="28"/>
        </w:rPr>
      </w:pPr>
      <w:r>
        <w:rPr>
          <w:rFonts w:hint="eastAsia"/>
          <w:b/>
          <w:bCs/>
          <w:sz w:val="28"/>
          <w:szCs w:val="28"/>
        </w:rPr>
        <w:t>第十七条</w:t>
      </w:r>
      <w:r>
        <w:rPr>
          <w:rFonts w:hint="eastAsia"/>
          <w:sz w:val="28"/>
          <w:szCs w:val="28"/>
        </w:rPr>
        <w:t xml:space="preserve">  洞庭山碧螺春茶包装销售的，应当在包装显著位置加贴洞庭山碧螺春专用标识。通过互联网等信息网络销售的，应当在产品介绍页面显著位置予以明示。</w:t>
      </w:r>
    </w:p>
    <w:p>
      <w:pPr>
        <w:ind w:firstLine="562" w:firstLineChars="200"/>
        <w:rPr>
          <w:sz w:val="28"/>
          <w:szCs w:val="28"/>
        </w:rPr>
      </w:pPr>
      <w:r>
        <w:rPr>
          <w:rFonts w:hint="eastAsia"/>
          <w:b/>
          <w:sz w:val="28"/>
          <w:szCs w:val="28"/>
        </w:rPr>
        <w:t>第十八条</w:t>
      </w:r>
      <w:r>
        <w:rPr>
          <w:b/>
          <w:sz w:val="28"/>
          <w:szCs w:val="28"/>
        </w:rPr>
        <w:t xml:space="preserve">  </w:t>
      </w:r>
      <w:r>
        <w:rPr>
          <w:rFonts w:hint="eastAsia"/>
          <w:sz w:val="28"/>
          <w:szCs w:val="28"/>
        </w:rPr>
        <w:t>洞庭山碧螺春专用标识使用人应当按照规定规范使用专用标识，不得从事下列行为：（一）转让、赠与、借用洞庭山碧螺春专用标识；（二）超出授权许可使用范围及期限使用的；（三）其他违反规定的不当使用行为。</w:t>
      </w:r>
    </w:p>
    <w:p>
      <w:pPr>
        <w:ind w:firstLine="562" w:firstLineChars="200"/>
        <w:rPr>
          <w:sz w:val="28"/>
          <w:szCs w:val="28"/>
        </w:rPr>
      </w:pPr>
      <w:r>
        <w:rPr>
          <w:rFonts w:hint="eastAsia"/>
          <w:b/>
          <w:sz w:val="28"/>
          <w:szCs w:val="28"/>
        </w:rPr>
        <w:t>第十九条</w:t>
      </w:r>
      <w:r>
        <w:rPr>
          <w:b/>
          <w:sz w:val="28"/>
          <w:szCs w:val="28"/>
        </w:rPr>
        <w:t xml:space="preserve">  </w:t>
      </w:r>
      <w:r>
        <w:rPr>
          <w:rFonts w:hint="eastAsia"/>
          <w:sz w:val="28"/>
          <w:szCs w:val="28"/>
        </w:rPr>
        <w:t>任何单位或者个人不得伪造、擅自制造及销售洞庭山碧螺春专用标识，或者为伪造、擅自制造及销售洞庭山碧螺春专用标识提供便利条件或者其他帮助。</w:t>
      </w:r>
    </w:p>
    <w:p>
      <w:pPr>
        <w:ind w:firstLine="562" w:firstLineChars="200"/>
        <w:rPr>
          <w:b/>
          <w:bCs/>
          <w:sz w:val="28"/>
          <w:szCs w:val="28"/>
        </w:rPr>
      </w:pPr>
      <w:r>
        <w:rPr>
          <w:rFonts w:hint="eastAsia"/>
          <w:b/>
          <w:sz w:val="28"/>
          <w:szCs w:val="28"/>
        </w:rPr>
        <w:t>第二十条</w:t>
      </w:r>
      <w:r>
        <w:rPr>
          <w:b/>
          <w:sz w:val="28"/>
          <w:szCs w:val="28"/>
        </w:rPr>
        <w:t xml:space="preserve">  </w:t>
      </w:r>
      <w:r>
        <w:rPr>
          <w:rFonts w:hint="eastAsia"/>
          <w:sz w:val="28"/>
          <w:szCs w:val="28"/>
        </w:rPr>
        <w:t>市场监管部门应当加强对洞庭山碧螺春茶品牌的保护，依法查处侵犯注册商标专用权、假冒洞庭山碧螺春专用标识和制售假冒伪劣洞庭山碧螺春茶等行为，推动开展线上线下一体化执法、跨区域执法协作与维权援助，开展茶季重点专项检查，维护洞庭山碧螺春茶市场秩序。</w:t>
      </w:r>
    </w:p>
    <w:p>
      <w:pPr>
        <w:pStyle w:val="2"/>
        <w:ind w:firstLine="562" w:firstLineChars="200"/>
        <w:rPr>
          <w:sz w:val="28"/>
          <w:szCs w:val="28"/>
        </w:rPr>
      </w:pPr>
      <w:r>
        <w:rPr>
          <w:rFonts w:hint="eastAsia"/>
          <w:b/>
          <w:bCs/>
          <w:sz w:val="28"/>
          <w:szCs w:val="28"/>
        </w:rPr>
        <w:t>第二十一条</w:t>
      </w:r>
      <w:r>
        <w:rPr>
          <w:sz w:val="28"/>
          <w:szCs w:val="28"/>
        </w:rPr>
        <w:t xml:space="preserve">  </w:t>
      </w:r>
      <w:r>
        <w:rPr>
          <w:rFonts w:hint="eastAsia"/>
          <w:sz w:val="28"/>
          <w:szCs w:val="28"/>
        </w:rPr>
        <w:t>洞庭山碧螺春专用标识持有人应制定洞庭山碧螺春包装装潢印刷管理办法。包装印制企业应当按照包装装潢印刷管理办法要求，在洞庭山碧螺春专用标识</w:t>
      </w:r>
      <w:r>
        <w:rPr>
          <w:rFonts w:hint="eastAsia"/>
          <w:sz w:val="28"/>
          <w:szCs w:val="28"/>
          <w:lang w:eastAsia="zh-CN"/>
        </w:rPr>
        <w:t>持有</w:t>
      </w:r>
      <w:r>
        <w:rPr>
          <w:rFonts w:hint="eastAsia"/>
          <w:sz w:val="28"/>
          <w:szCs w:val="28"/>
        </w:rPr>
        <w:t>人委托核准的数量内印制洞庭山碧螺春包装装潢印刷品，禁止私自或者超过核准数量印制。受委托企业应当建立洞庭山碧螺春包装装潢印制品管理台账，保存期限不少于两年。</w:t>
      </w:r>
    </w:p>
    <w:p>
      <w:pPr>
        <w:pStyle w:val="2"/>
        <w:rPr>
          <w:sz w:val="28"/>
          <w:szCs w:val="28"/>
        </w:rPr>
      </w:pPr>
    </w:p>
    <w:p>
      <w:pPr>
        <w:jc w:val="center"/>
        <w:rPr>
          <w:rFonts w:ascii="黑体" w:hAnsi="黑体" w:eastAsia="黑体"/>
          <w:b/>
          <w:sz w:val="30"/>
          <w:szCs w:val="30"/>
        </w:rPr>
      </w:pPr>
      <w:r>
        <w:rPr>
          <w:rFonts w:hint="eastAsia" w:ascii="黑体" w:hAnsi="黑体" w:eastAsia="黑体"/>
          <w:b/>
          <w:sz w:val="30"/>
          <w:szCs w:val="30"/>
        </w:rPr>
        <w:t>第三章  品质保护与提升</w:t>
      </w:r>
    </w:p>
    <w:p>
      <w:pPr>
        <w:rPr>
          <w:rFonts w:ascii="黑体" w:hAnsi="黑体" w:eastAsia="黑体"/>
          <w:bCs/>
          <w:sz w:val="30"/>
          <w:szCs w:val="30"/>
        </w:rPr>
      </w:pPr>
    </w:p>
    <w:p>
      <w:pPr>
        <w:ind w:firstLine="562" w:firstLineChars="200"/>
        <w:rPr>
          <w:sz w:val="28"/>
          <w:szCs w:val="28"/>
        </w:rPr>
      </w:pPr>
      <w:r>
        <w:rPr>
          <w:rFonts w:hint="eastAsia"/>
          <w:b/>
          <w:bCs/>
          <w:sz w:val="28"/>
          <w:szCs w:val="28"/>
        </w:rPr>
        <w:t xml:space="preserve">第二十二条  </w:t>
      </w:r>
      <w:r>
        <w:rPr>
          <w:rFonts w:hint="eastAsia"/>
          <w:sz w:val="28"/>
          <w:szCs w:val="28"/>
        </w:rPr>
        <w:t>市、吴中区人民政府应当依法加强洞庭山碧螺春茶产区的长期保护，实行产地保护策略，稳定洞庭山碧螺春茶种植面积，保持洞庭山碧螺春茶种植规模，提高洞庭山碧螺春茶产区的生产能力和茶叶品质。</w:t>
      </w:r>
    </w:p>
    <w:p>
      <w:pPr>
        <w:ind w:firstLine="562" w:firstLineChars="200"/>
        <w:rPr>
          <w:color w:val="FF0000"/>
          <w:sz w:val="28"/>
          <w:szCs w:val="28"/>
        </w:rPr>
      </w:pPr>
      <w:r>
        <w:rPr>
          <w:rFonts w:hint="eastAsia"/>
          <w:b/>
          <w:bCs/>
          <w:sz w:val="28"/>
          <w:szCs w:val="28"/>
        </w:rPr>
        <w:t xml:space="preserve">第二十三条  </w:t>
      </w:r>
      <w:r>
        <w:rPr>
          <w:rFonts w:hint="eastAsia"/>
          <w:sz w:val="28"/>
          <w:szCs w:val="28"/>
        </w:rPr>
        <w:t>市、吴中区人民政府应当采取措施，扶持洞庭山碧螺春茶产区的基础设施建设。禁止侵占或者损坏洞庭山碧螺春茶产区的基础设施。依法批准在洞庭山碧螺春茶产区或周围施工的建设单位，在开工前必须采取有效措施保护洞庭山碧螺春茶产区基础设施整体功能的正常使用。因施工损坏其正常功能使用的，建设单位必须限期修复。</w:t>
      </w:r>
    </w:p>
    <w:p>
      <w:pPr>
        <w:ind w:firstLine="560" w:firstLineChars="200"/>
        <w:rPr>
          <w:color w:val="FF0000"/>
          <w:sz w:val="28"/>
          <w:szCs w:val="28"/>
        </w:rPr>
      </w:pPr>
      <w:r>
        <w:rPr>
          <w:rFonts w:hint="eastAsia"/>
          <w:sz w:val="28"/>
          <w:szCs w:val="28"/>
        </w:rPr>
        <w:t>禁止在洞庭山碧螺春茶产区附近建设有污染环境、损害洞庭山碧螺春茶生产的项目。禁止向洞庭山碧螺春茶产区倾倒、堆放和处置废弃物。</w:t>
      </w:r>
    </w:p>
    <w:p>
      <w:pPr>
        <w:ind w:firstLine="562" w:firstLineChars="200"/>
        <w:rPr>
          <w:sz w:val="28"/>
          <w:szCs w:val="28"/>
        </w:rPr>
      </w:pPr>
      <w:r>
        <w:rPr>
          <w:rFonts w:hint="eastAsia"/>
          <w:b/>
          <w:sz w:val="28"/>
          <w:szCs w:val="28"/>
        </w:rPr>
        <w:t>第二十四条</w:t>
      </w:r>
      <w:r>
        <w:rPr>
          <w:b/>
          <w:sz w:val="28"/>
          <w:szCs w:val="28"/>
        </w:rPr>
        <w:t xml:space="preserve">  </w:t>
      </w:r>
      <w:r>
        <w:rPr>
          <w:rFonts w:hint="eastAsia"/>
          <w:sz w:val="28"/>
          <w:szCs w:val="28"/>
        </w:rPr>
        <w:t>农业农村主管部门应当加强洞庭山碧螺春茶树种质资源的收集、保护和开发利用，组织实施茶树种质资源普查、收集、登记等工作，制定普查方案，全面调查登记茶树种质资源状况，建立健全种质资源档案，并向社会公布。洞庭山碧螺春茶种质资源普查每十年开展一次。</w:t>
      </w:r>
    </w:p>
    <w:p>
      <w:pPr>
        <w:ind w:firstLine="562" w:firstLineChars="200"/>
        <w:rPr>
          <w:bCs/>
          <w:iCs/>
          <w:sz w:val="28"/>
          <w:szCs w:val="28"/>
        </w:rPr>
      </w:pPr>
      <w:r>
        <w:rPr>
          <w:rFonts w:hint="eastAsia" w:ascii="宋体" w:hAnsi="宋体"/>
          <w:b/>
          <w:sz w:val="28"/>
          <w:szCs w:val="28"/>
        </w:rPr>
        <w:t xml:space="preserve">第二十五条  </w:t>
      </w:r>
      <w:r>
        <w:rPr>
          <w:rFonts w:hint="eastAsia" w:ascii="宋体" w:hAnsi="宋体"/>
          <w:bCs/>
          <w:sz w:val="28"/>
          <w:szCs w:val="28"/>
        </w:rPr>
        <w:t>对</w:t>
      </w:r>
      <w:r>
        <w:rPr>
          <w:rFonts w:hint="eastAsia"/>
          <w:sz w:val="28"/>
          <w:szCs w:val="28"/>
        </w:rPr>
        <w:t>洞庭山碧螺春茶树种质资源实行长期保护。农业农村主管部门应当建立洞庭山碧螺春茶种质资源保存圃或保护基地，收集和保存种质资源，</w:t>
      </w:r>
      <w:r>
        <w:rPr>
          <w:rFonts w:hint="eastAsia"/>
          <w:bCs/>
          <w:iCs/>
          <w:sz w:val="28"/>
          <w:szCs w:val="28"/>
        </w:rPr>
        <w:t>适时开展茶树提纯复壮工作，保持良种种性，并指导选育、繁育、推广使用茶树良种。</w:t>
      </w:r>
    </w:p>
    <w:p>
      <w:pPr>
        <w:ind w:firstLine="560" w:firstLineChars="200"/>
        <w:rPr>
          <w:sz w:val="28"/>
          <w:szCs w:val="28"/>
        </w:rPr>
      </w:pPr>
      <w:r>
        <w:rPr>
          <w:rFonts w:hint="eastAsia"/>
          <w:bCs/>
          <w:iCs/>
          <w:sz w:val="28"/>
          <w:szCs w:val="28"/>
        </w:rPr>
        <w:t>鼓励和支持科研机构、高等院校联合企业依法开展洞庭山碧螺春茶树种质资源研究利用，培育新优茶树品种。</w:t>
      </w:r>
      <w:r>
        <w:rPr>
          <w:rFonts w:hint="eastAsia"/>
          <w:sz w:val="28"/>
          <w:szCs w:val="28"/>
        </w:rPr>
        <w:t>鼓励洞庭山碧螺春茶生产经营者选用洞庭山碧螺春茶树群体种。</w:t>
      </w:r>
    </w:p>
    <w:p>
      <w:pPr>
        <w:ind w:firstLine="562" w:firstLineChars="200"/>
        <w:rPr>
          <w:sz w:val="28"/>
          <w:szCs w:val="28"/>
        </w:rPr>
      </w:pPr>
      <w:r>
        <w:rPr>
          <w:rFonts w:hint="eastAsia"/>
          <w:b/>
          <w:bCs/>
          <w:sz w:val="28"/>
          <w:szCs w:val="28"/>
        </w:rPr>
        <w:t>第二十六条</w:t>
      </w:r>
      <w:r>
        <w:rPr>
          <w:rFonts w:hint="eastAsia"/>
          <w:sz w:val="28"/>
          <w:szCs w:val="28"/>
        </w:rPr>
        <w:t xml:space="preserve">  吴中区人民政府应当对有一定树龄或具有重要科研价值的古茶树开展调查、登记、建档工作，划定保护范围和设置保护标志，并向社会公布。</w:t>
      </w:r>
    </w:p>
    <w:p>
      <w:pPr>
        <w:ind w:firstLine="560" w:firstLineChars="200"/>
        <w:rPr>
          <w:sz w:val="28"/>
          <w:szCs w:val="28"/>
        </w:rPr>
      </w:pPr>
      <w:r>
        <w:rPr>
          <w:rFonts w:hint="eastAsia"/>
          <w:sz w:val="28"/>
          <w:szCs w:val="28"/>
        </w:rPr>
        <w:t>禁止破坏古茶树及其生存的自然环境。</w:t>
      </w:r>
    </w:p>
    <w:p>
      <w:pPr>
        <w:ind w:firstLine="562" w:firstLineChars="200"/>
        <w:rPr>
          <w:b/>
          <w:bCs/>
          <w:sz w:val="28"/>
          <w:szCs w:val="28"/>
        </w:rPr>
      </w:pPr>
      <w:r>
        <w:rPr>
          <w:rFonts w:hint="eastAsia"/>
          <w:b/>
          <w:bCs/>
          <w:sz w:val="28"/>
          <w:szCs w:val="28"/>
        </w:rPr>
        <w:t xml:space="preserve">第二十七条 </w:t>
      </w:r>
      <w:r>
        <w:rPr>
          <w:rFonts w:hint="eastAsia"/>
          <w:b/>
          <w:bCs/>
          <w:color w:val="FF0000"/>
          <w:sz w:val="28"/>
          <w:szCs w:val="28"/>
        </w:rPr>
        <w:t xml:space="preserve"> </w:t>
      </w:r>
      <w:r>
        <w:rPr>
          <w:rFonts w:hint="eastAsia"/>
          <w:sz w:val="28"/>
          <w:szCs w:val="28"/>
        </w:rPr>
        <w:t>鼓励洞庭山碧螺春茶生产经营者采用洞庭山碧螺春茶果复合系统，使茶树与枇杷、柑橘、杨梅等果树复合间作种植，保持洞庭山碧螺春茶独特花果香的品质。</w:t>
      </w:r>
    </w:p>
    <w:p>
      <w:pPr>
        <w:ind w:firstLine="562" w:firstLineChars="200"/>
        <w:rPr>
          <w:sz w:val="28"/>
          <w:szCs w:val="28"/>
        </w:rPr>
      </w:pPr>
      <w:r>
        <w:rPr>
          <w:rFonts w:hint="eastAsia" w:ascii="宋体" w:hAnsi="宋体"/>
          <w:b/>
          <w:sz w:val="28"/>
          <w:szCs w:val="28"/>
        </w:rPr>
        <w:t>第二十八条</w:t>
      </w:r>
      <w:r>
        <w:rPr>
          <w:rFonts w:ascii="宋体" w:hAnsi="宋体"/>
          <w:b/>
          <w:sz w:val="28"/>
          <w:szCs w:val="28"/>
        </w:rPr>
        <w:t xml:space="preserve">  </w:t>
      </w:r>
      <w:r>
        <w:rPr>
          <w:rFonts w:hint="eastAsia"/>
          <w:sz w:val="28"/>
          <w:szCs w:val="28"/>
        </w:rPr>
        <w:t>洞庭山碧螺春茶生产经营者应当按照行业标准和地方标准使用农药、肥料等农业投入品，严格执行农业投入品使用安全间隔期的规定，并建立农业投入品使用档案。档案的保存期限不得少于两年。</w:t>
      </w:r>
    </w:p>
    <w:p>
      <w:pPr>
        <w:ind w:firstLine="560" w:firstLineChars="200"/>
        <w:rPr>
          <w:color w:val="FF0000"/>
          <w:sz w:val="28"/>
          <w:szCs w:val="28"/>
        </w:rPr>
      </w:pPr>
      <w:r>
        <w:rPr>
          <w:rFonts w:hint="eastAsia"/>
          <w:sz w:val="28"/>
          <w:szCs w:val="28"/>
        </w:rPr>
        <w:t>洞庭山碧螺春茶产区范围内农药、肥料等的包装废弃物以及其他农业固体废弃物的回收利用和处置应当遵守国家有关规定。</w:t>
      </w:r>
    </w:p>
    <w:p>
      <w:pPr>
        <w:ind w:firstLine="560" w:firstLineChars="200"/>
        <w:rPr>
          <w:rFonts w:ascii="宋体" w:hAnsi="宋体"/>
          <w:b/>
          <w:sz w:val="28"/>
          <w:szCs w:val="28"/>
        </w:rPr>
      </w:pPr>
      <w:r>
        <w:rPr>
          <w:rFonts w:hint="eastAsia"/>
          <w:sz w:val="28"/>
          <w:szCs w:val="28"/>
        </w:rPr>
        <w:t>鼓励和支持采用绿色生产技术和全程质量控制技术，推广全域茶树病虫害绿色防控技术，推广使用有机肥，生产绿色生态茶叶。洞庭山碧螺春茶生产经营者应当根据有关规定开展茶叶质量安全控制、检测等，保证销售的茶叶符合质量安全标准。</w:t>
      </w:r>
    </w:p>
    <w:p>
      <w:pPr>
        <w:ind w:firstLine="562" w:firstLineChars="200"/>
        <w:rPr>
          <w:sz w:val="28"/>
          <w:szCs w:val="28"/>
        </w:rPr>
      </w:pPr>
      <w:r>
        <w:rPr>
          <w:rFonts w:hint="eastAsia"/>
          <w:b/>
          <w:sz w:val="28"/>
          <w:szCs w:val="28"/>
        </w:rPr>
        <w:t xml:space="preserve">第二十九条  </w:t>
      </w:r>
      <w:r>
        <w:rPr>
          <w:rFonts w:hint="eastAsia"/>
          <w:sz w:val="28"/>
          <w:szCs w:val="28"/>
        </w:rPr>
        <w:t>加强洞庭山碧螺春茶地的环境质量监测和茶园小气候监测，采取必要措施防止有毒有害气体和其他有害物质对洞庭山碧螺春茶的影响。</w:t>
      </w:r>
    </w:p>
    <w:p>
      <w:pPr>
        <w:ind w:firstLine="562" w:firstLineChars="200"/>
        <w:rPr>
          <w:sz w:val="28"/>
          <w:szCs w:val="28"/>
        </w:rPr>
      </w:pPr>
      <w:r>
        <w:rPr>
          <w:rFonts w:hint="eastAsia"/>
          <w:b/>
          <w:bCs/>
          <w:sz w:val="28"/>
          <w:szCs w:val="28"/>
        </w:rPr>
        <w:t>第三十条</w:t>
      </w:r>
      <w:r>
        <w:rPr>
          <w:rFonts w:hint="eastAsia"/>
          <w:b/>
          <w:bCs/>
          <w:color w:val="FF0000"/>
          <w:sz w:val="28"/>
          <w:szCs w:val="28"/>
        </w:rPr>
        <w:t xml:space="preserve"> </w:t>
      </w:r>
      <w:r>
        <w:rPr>
          <w:rFonts w:hint="eastAsia"/>
          <w:b/>
          <w:bCs/>
          <w:sz w:val="28"/>
          <w:szCs w:val="28"/>
        </w:rPr>
        <w:t xml:space="preserve"> </w:t>
      </w:r>
      <w:r>
        <w:rPr>
          <w:rFonts w:hint="eastAsia"/>
          <w:sz w:val="28"/>
          <w:szCs w:val="28"/>
        </w:rPr>
        <w:t>推进洞庭山碧螺春茶叶加工清洁化、标准化、机械化、数字化和智能化，促进茶叶加工全程不落地、包装物流全封闭、燃料使用无污染。引导生产经营者通过茶叶集中加工，提高标准化程度和生产效率。</w:t>
      </w:r>
    </w:p>
    <w:p>
      <w:pPr>
        <w:ind w:firstLine="560" w:firstLineChars="200"/>
        <w:rPr>
          <w:sz w:val="28"/>
          <w:szCs w:val="28"/>
        </w:rPr>
      </w:pPr>
    </w:p>
    <w:p>
      <w:pPr>
        <w:jc w:val="center"/>
        <w:rPr>
          <w:rFonts w:ascii="黑体" w:hAnsi="黑体" w:eastAsia="黑体"/>
          <w:b/>
          <w:sz w:val="30"/>
          <w:szCs w:val="30"/>
        </w:rPr>
      </w:pPr>
      <w:r>
        <w:rPr>
          <w:rFonts w:hint="eastAsia" w:ascii="黑体" w:hAnsi="黑体" w:eastAsia="黑体"/>
          <w:b/>
          <w:sz w:val="30"/>
          <w:szCs w:val="30"/>
        </w:rPr>
        <w:t>第四章</w:t>
      </w:r>
      <w:r>
        <w:rPr>
          <w:rFonts w:ascii="黑体" w:hAnsi="黑体" w:eastAsia="黑体"/>
          <w:b/>
          <w:sz w:val="30"/>
          <w:szCs w:val="30"/>
        </w:rPr>
        <w:t xml:space="preserve">  </w:t>
      </w:r>
      <w:r>
        <w:rPr>
          <w:rFonts w:hint="eastAsia" w:ascii="黑体" w:hAnsi="黑体" w:eastAsia="黑体"/>
          <w:b/>
          <w:sz w:val="30"/>
          <w:szCs w:val="30"/>
        </w:rPr>
        <w:t>文化传承与工艺保护</w:t>
      </w:r>
    </w:p>
    <w:p>
      <w:pPr>
        <w:jc w:val="center"/>
        <w:rPr>
          <w:rFonts w:ascii="宋体"/>
          <w:b/>
          <w:sz w:val="28"/>
          <w:szCs w:val="28"/>
        </w:rPr>
      </w:pPr>
    </w:p>
    <w:p>
      <w:pPr>
        <w:ind w:firstLine="562" w:firstLineChars="200"/>
        <w:rPr>
          <w:sz w:val="28"/>
          <w:szCs w:val="28"/>
        </w:rPr>
      </w:pPr>
      <w:r>
        <w:rPr>
          <w:rFonts w:hint="eastAsia"/>
          <w:b/>
          <w:sz w:val="28"/>
          <w:szCs w:val="28"/>
        </w:rPr>
        <w:t>第三十一条</w:t>
      </w:r>
      <w:r>
        <w:rPr>
          <w:rFonts w:hint="eastAsia"/>
          <w:sz w:val="28"/>
          <w:szCs w:val="28"/>
        </w:rPr>
        <w:t xml:space="preserve">  </w:t>
      </w:r>
      <w:r>
        <w:rPr>
          <w:rFonts w:hint="eastAsia" w:ascii="宋体" w:hAnsi="宋体"/>
          <w:sz w:val="28"/>
          <w:szCs w:val="28"/>
        </w:rPr>
        <w:t>加强对“碧螺春制作技艺”非物质文化遗产及“江苏吴中碧螺春茶果复合系统”中国重要农业文化遗产的</w:t>
      </w:r>
      <w:r>
        <w:rPr>
          <w:rFonts w:hint="eastAsia"/>
          <w:sz w:val="28"/>
          <w:szCs w:val="28"/>
        </w:rPr>
        <w:t>传承和保护工作。加强对</w:t>
      </w:r>
      <w:r>
        <w:rPr>
          <w:rFonts w:hint="eastAsia"/>
          <w:sz w:val="28"/>
          <w:szCs w:val="36"/>
        </w:rPr>
        <w:t>洞庭山碧螺春茶传统文化的保护和传播。鼓励和支持各类组织建设茶文化场所，积极开展茶事、茶艺活动，深入挖掘、整理、传播茶文化，加强茶文化对外宣传与交流。鼓励和支持申报与洞庭山碧螺春茶有关的文化遗产，创作突出地方特色的洞庭山碧螺春茶文化作品，推广茶知识、茶文化。</w:t>
      </w:r>
      <w:r>
        <w:rPr>
          <w:rFonts w:hint="eastAsia"/>
          <w:sz w:val="28"/>
          <w:szCs w:val="28"/>
        </w:rPr>
        <w:t>坚持以动态保护和协调发展为原则，推动洞庭山碧螺春茶产业守正创新。</w:t>
      </w:r>
    </w:p>
    <w:p>
      <w:pPr>
        <w:ind w:firstLine="562" w:firstLineChars="200"/>
        <w:rPr>
          <w:sz w:val="28"/>
          <w:szCs w:val="28"/>
        </w:rPr>
      </w:pPr>
      <w:r>
        <w:rPr>
          <w:rFonts w:hint="eastAsia"/>
          <w:b/>
          <w:sz w:val="28"/>
          <w:szCs w:val="28"/>
        </w:rPr>
        <w:t>第三十二条</w:t>
      </w:r>
      <w:r>
        <w:rPr>
          <w:b/>
          <w:sz w:val="28"/>
          <w:szCs w:val="28"/>
        </w:rPr>
        <w:t xml:space="preserve">  </w:t>
      </w:r>
      <w:r>
        <w:rPr>
          <w:rFonts w:hint="eastAsia"/>
          <w:sz w:val="28"/>
          <w:szCs w:val="28"/>
        </w:rPr>
        <w:t>加强洞庭山碧螺春茶手工炒制技艺的传承和保护，鼓励制茶大师、代表性传承人建立工作室、茶叶传习（培训）中心等，开展授徒、教学、传播、交流等人才培养和文化传承活动。</w:t>
      </w:r>
    </w:p>
    <w:p>
      <w:pPr>
        <w:ind w:firstLine="562" w:firstLineChars="200"/>
        <w:rPr>
          <w:sz w:val="28"/>
          <w:szCs w:val="28"/>
        </w:rPr>
      </w:pPr>
      <w:r>
        <w:rPr>
          <w:rFonts w:hint="eastAsia"/>
          <w:b/>
          <w:sz w:val="28"/>
          <w:szCs w:val="28"/>
        </w:rPr>
        <w:t>第三十三条</w:t>
      </w:r>
      <w:r>
        <w:rPr>
          <w:rFonts w:hint="eastAsia"/>
          <w:bCs/>
          <w:sz w:val="28"/>
          <w:szCs w:val="28"/>
        </w:rPr>
        <w:t xml:space="preserve">  未取得洞庭山碧螺春茶制作技艺的非物质文化遗产代表性项目保护单位、代表性传承人资格的，不得以保护单位、代表性传承人的名义开展传承、传播活动；洞庭山碧螺春茶制作技艺的非物质文化遗产代表性项目保护单位、代表性传承人不得以与其资格不相符的名义开展传承、传播活动，不得将非物质文化遗产代表性项目的标牌转让或复制给其它单位或个人。</w:t>
      </w:r>
    </w:p>
    <w:p>
      <w:pPr>
        <w:ind w:firstLine="562" w:firstLineChars="200"/>
        <w:rPr>
          <w:sz w:val="28"/>
          <w:szCs w:val="28"/>
        </w:rPr>
      </w:pPr>
      <w:r>
        <w:rPr>
          <w:rFonts w:hint="eastAsia"/>
          <w:b/>
          <w:sz w:val="28"/>
          <w:szCs w:val="28"/>
        </w:rPr>
        <w:t>第三十四条</w:t>
      </w:r>
      <w:r>
        <w:rPr>
          <w:rFonts w:hint="eastAsia"/>
          <w:sz w:val="28"/>
          <w:szCs w:val="28"/>
        </w:rPr>
        <w:t xml:space="preserve">  鼓励洞庭山碧螺春茶产业发展、碧螺春茶制作技艺非物质文化遗产保护传承与相关非物质文化遗产传统村落、历史文化名镇名村保护等人文传统融合发展。</w:t>
      </w:r>
    </w:p>
    <w:p>
      <w:pPr>
        <w:ind w:firstLine="600" w:firstLineChars="200"/>
        <w:rPr>
          <w:rFonts w:ascii="Arial" w:hAnsi="Arial" w:cs="Arial"/>
          <w:kern w:val="0"/>
          <w:sz w:val="30"/>
          <w:szCs w:val="30"/>
        </w:rPr>
      </w:pPr>
      <w:r>
        <w:rPr>
          <w:rFonts w:hint="eastAsia" w:ascii="Arial" w:hAnsi="Arial" w:cs="Arial"/>
          <w:kern w:val="0"/>
          <w:sz w:val="30"/>
          <w:szCs w:val="30"/>
        </w:rPr>
        <w:t>市、区人民政府及相关部门应充分</w:t>
      </w:r>
      <w:r>
        <w:rPr>
          <w:rFonts w:ascii="Arial" w:hAnsi="Arial" w:cs="Arial"/>
          <w:kern w:val="0"/>
          <w:sz w:val="30"/>
          <w:szCs w:val="30"/>
        </w:rPr>
        <w:t>利用</w:t>
      </w:r>
      <w:r>
        <w:rPr>
          <w:rFonts w:hint="eastAsia" w:ascii="Arial" w:hAnsi="Arial" w:cs="Arial"/>
          <w:kern w:val="0"/>
          <w:sz w:val="30"/>
          <w:szCs w:val="30"/>
        </w:rPr>
        <w:t>园林、公园、历史文化街区、</w:t>
      </w:r>
      <w:r>
        <w:rPr>
          <w:rFonts w:ascii="Arial" w:hAnsi="Arial" w:cs="Arial"/>
          <w:kern w:val="0"/>
          <w:sz w:val="30"/>
          <w:szCs w:val="30"/>
        </w:rPr>
        <w:t>文化馆（站）、博物馆</w:t>
      </w:r>
      <w:r>
        <w:rPr>
          <w:rFonts w:hint="eastAsia" w:ascii="Arial" w:hAnsi="Arial" w:cs="Arial"/>
          <w:kern w:val="0"/>
          <w:sz w:val="30"/>
          <w:szCs w:val="30"/>
        </w:rPr>
        <w:t>、车站广场</w:t>
      </w:r>
      <w:r>
        <w:rPr>
          <w:rFonts w:ascii="Arial" w:hAnsi="Arial" w:cs="Arial"/>
          <w:kern w:val="0"/>
          <w:sz w:val="30"/>
          <w:szCs w:val="30"/>
        </w:rPr>
        <w:t>等公共</w:t>
      </w:r>
      <w:r>
        <w:rPr>
          <w:rFonts w:hint="eastAsia" w:ascii="Arial" w:hAnsi="Arial" w:cs="Arial"/>
          <w:kern w:val="0"/>
          <w:sz w:val="30"/>
          <w:szCs w:val="30"/>
        </w:rPr>
        <w:t>场所</w:t>
      </w:r>
      <w:r>
        <w:rPr>
          <w:rFonts w:ascii="Arial" w:hAnsi="Arial" w:cs="Arial"/>
          <w:kern w:val="0"/>
          <w:sz w:val="30"/>
          <w:szCs w:val="30"/>
        </w:rPr>
        <w:t>，开展</w:t>
      </w:r>
      <w:r>
        <w:rPr>
          <w:rFonts w:hint="eastAsia"/>
          <w:sz w:val="28"/>
          <w:szCs w:val="28"/>
        </w:rPr>
        <w:t>洞庭山碧螺春茶文化的</w:t>
      </w:r>
      <w:r>
        <w:rPr>
          <w:rFonts w:ascii="Arial" w:hAnsi="Arial" w:cs="Arial"/>
          <w:kern w:val="0"/>
          <w:sz w:val="30"/>
          <w:szCs w:val="30"/>
        </w:rPr>
        <w:t>相关</w:t>
      </w:r>
      <w:r>
        <w:rPr>
          <w:rFonts w:hint="eastAsia" w:ascii="Arial" w:hAnsi="Arial" w:cs="Arial"/>
          <w:kern w:val="0"/>
          <w:sz w:val="30"/>
          <w:szCs w:val="30"/>
        </w:rPr>
        <w:t>展示</w:t>
      </w:r>
      <w:r>
        <w:rPr>
          <w:rFonts w:ascii="Arial" w:hAnsi="Arial" w:cs="Arial"/>
          <w:kern w:val="0"/>
          <w:sz w:val="30"/>
          <w:szCs w:val="30"/>
        </w:rPr>
        <w:t>、展览、</w:t>
      </w:r>
      <w:r>
        <w:rPr>
          <w:rFonts w:hint="eastAsia" w:ascii="Arial" w:hAnsi="Arial" w:cs="Arial"/>
          <w:kern w:val="0"/>
          <w:sz w:val="30"/>
          <w:szCs w:val="30"/>
        </w:rPr>
        <w:t>展销、培训、文创、</w:t>
      </w:r>
      <w:r>
        <w:rPr>
          <w:rFonts w:ascii="Arial" w:hAnsi="Arial" w:cs="Arial"/>
          <w:kern w:val="0"/>
          <w:sz w:val="30"/>
          <w:szCs w:val="30"/>
        </w:rPr>
        <w:t>讲座、学术交流等</w:t>
      </w:r>
      <w:r>
        <w:rPr>
          <w:rFonts w:hint="eastAsia" w:ascii="Arial" w:hAnsi="Arial" w:cs="Arial"/>
          <w:kern w:val="0"/>
          <w:sz w:val="30"/>
          <w:szCs w:val="30"/>
        </w:rPr>
        <w:t>多种形式的</w:t>
      </w:r>
      <w:r>
        <w:rPr>
          <w:rFonts w:hint="eastAsia"/>
          <w:sz w:val="28"/>
          <w:szCs w:val="36"/>
        </w:rPr>
        <w:t>洞庭山碧螺春茶文化</w:t>
      </w:r>
      <w:r>
        <w:rPr>
          <w:rFonts w:ascii="Arial" w:hAnsi="Arial" w:cs="Arial"/>
          <w:kern w:val="0"/>
          <w:sz w:val="30"/>
          <w:szCs w:val="30"/>
        </w:rPr>
        <w:t>活动。</w:t>
      </w:r>
    </w:p>
    <w:p>
      <w:pPr>
        <w:ind w:firstLine="600" w:firstLineChars="200"/>
        <w:rPr>
          <w:rFonts w:ascii="Arial" w:hAnsi="Arial" w:cs="Arial"/>
          <w:kern w:val="0"/>
          <w:sz w:val="30"/>
          <w:szCs w:val="30"/>
        </w:rPr>
      </w:pPr>
    </w:p>
    <w:p>
      <w:pPr>
        <w:jc w:val="center"/>
        <w:rPr>
          <w:rFonts w:ascii="黑体" w:hAnsi="黑体" w:eastAsia="黑体"/>
          <w:b/>
          <w:sz w:val="30"/>
          <w:szCs w:val="30"/>
        </w:rPr>
      </w:pPr>
      <w:r>
        <w:rPr>
          <w:rFonts w:hint="eastAsia" w:ascii="黑体" w:hAnsi="黑体" w:eastAsia="黑体"/>
          <w:b/>
          <w:sz w:val="30"/>
          <w:szCs w:val="30"/>
        </w:rPr>
        <w:t>第五章</w:t>
      </w:r>
      <w:r>
        <w:rPr>
          <w:rFonts w:ascii="黑体" w:hAnsi="黑体" w:eastAsia="黑体"/>
          <w:b/>
          <w:sz w:val="30"/>
          <w:szCs w:val="30"/>
        </w:rPr>
        <w:t xml:space="preserve">  </w:t>
      </w:r>
      <w:r>
        <w:rPr>
          <w:rFonts w:hint="eastAsia" w:ascii="黑体" w:hAnsi="黑体" w:eastAsia="黑体"/>
          <w:b/>
          <w:sz w:val="30"/>
          <w:szCs w:val="30"/>
        </w:rPr>
        <w:t>产业扶持与发展</w:t>
      </w:r>
    </w:p>
    <w:p>
      <w:pPr>
        <w:jc w:val="center"/>
        <w:rPr>
          <w:b/>
          <w:sz w:val="28"/>
          <w:szCs w:val="28"/>
        </w:rPr>
      </w:pPr>
    </w:p>
    <w:p>
      <w:pPr>
        <w:ind w:firstLine="562" w:firstLineChars="200"/>
        <w:rPr>
          <w:sz w:val="28"/>
          <w:szCs w:val="28"/>
        </w:rPr>
      </w:pPr>
      <w:r>
        <w:rPr>
          <w:rFonts w:hint="eastAsia"/>
          <w:b/>
          <w:sz w:val="28"/>
          <w:szCs w:val="28"/>
        </w:rPr>
        <w:t>第三十五条</w:t>
      </w:r>
      <w:r>
        <w:rPr>
          <w:b/>
          <w:sz w:val="28"/>
          <w:szCs w:val="28"/>
        </w:rPr>
        <w:t xml:space="preserve"> </w:t>
      </w:r>
      <w:r>
        <w:rPr>
          <w:rFonts w:hint="eastAsia"/>
          <w:b/>
          <w:sz w:val="28"/>
          <w:szCs w:val="28"/>
        </w:rPr>
        <w:t xml:space="preserve"> </w:t>
      </w:r>
      <w:r>
        <w:rPr>
          <w:rFonts w:hint="eastAsia"/>
          <w:bCs/>
          <w:sz w:val="28"/>
          <w:szCs w:val="28"/>
        </w:rPr>
        <w:t>市、吴中区</w:t>
      </w:r>
      <w:r>
        <w:rPr>
          <w:rFonts w:hint="eastAsia"/>
          <w:sz w:val="28"/>
          <w:szCs w:val="28"/>
        </w:rPr>
        <w:t>人民政府应当安排洞庭山碧螺春茶产业发展资金，重点支持茶树种质资源保护和利用、绿色生态茶园建设、茶叶质量提升、品牌建设、文化传承、科技研发和人才培养等，促进茶产业发展。</w:t>
      </w:r>
    </w:p>
    <w:p>
      <w:pPr>
        <w:ind w:firstLine="562" w:firstLineChars="200"/>
        <w:rPr>
          <w:sz w:val="28"/>
          <w:szCs w:val="28"/>
        </w:rPr>
      </w:pPr>
      <w:r>
        <w:rPr>
          <w:rFonts w:hint="eastAsia"/>
          <w:b/>
          <w:sz w:val="28"/>
          <w:szCs w:val="28"/>
        </w:rPr>
        <w:t xml:space="preserve">第三十六条  </w:t>
      </w:r>
      <w:r>
        <w:rPr>
          <w:rFonts w:hint="eastAsia"/>
          <w:sz w:val="28"/>
          <w:szCs w:val="28"/>
        </w:rPr>
        <w:t>鼓励洞庭山碧螺春茶生产经营者进行技术改造和技术创新，支持生产经营者和科研机构合作开展茶树优良品种选育、茶叶精深加工技术、高新技术的研发推广和科技成果转化。</w:t>
      </w:r>
    </w:p>
    <w:p>
      <w:pPr>
        <w:ind w:firstLine="562" w:firstLineChars="200"/>
        <w:rPr>
          <w:sz w:val="28"/>
          <w:szCs w:val="28"/>
        </w:rPr>
      </w:pPr>
      <w:r>
        <w:rPr>
          <w:rFonts w:hint="eastAsia"/>
          <w:b/>
          <w:bCs/>
          <w:sz w:val="28"/>
          <w:szCs w:val="28"/>
        </w:rPr>
        <w:t xml:space="preserve">第三十七条  </w:t>
      </w:r>
      <w:r>
        <w:rPr>
          <w:rFonts w:hint="eastAsia"/>
          <w:sz w:val="28"/>
          <w:szCs w:val="28"/>
        </w:rPr>
        <w:t>鼓励和支持高等院校、中等职业院校开设茶学专业班、传承班，以及与相关单位联合办学、办班等途径，加强洞庭山碧螺春茶产业实用人才和高技能人才队伍建设；引导和组织洞庭山碧螺春茶制茶、评茶、茶艺等从业人员参加职业技能等级认定。</w:t>
      </w:r>
    </w:p>
    <w:p>
      <w:pPr>
        <w:pStyle w:val="2"/>
        <w:ind w:firstLine="562" w:firstLineChars="200"/>
        <w:rPr>
          <w:sz w:val="28"/>
          <w:szCs w:val="28"/>
        </w:rPr>
      </w:pPr>
      <w:r>
        <w:rPr>
          <w:rFonts w:hint="eastAsia"/>
          <w:b/>
          <w:sz w:val="28"/>
          <w:szCs w:val="28"/>
        </w:rPr>
        <w:t>第三十八条</w:t>
      </w:r>
      <w:r>
        <w:rPr>
          <w:sz w:val="28"/>
          <w:szCs w:val="28"/>
        </w:rPr>
        <w:t xml:space="preserve">  </w:t>
      </w:r>
      <w:r>
        <w:rPr>
          <w:rFonts w:hint="eastAsia"/>
          <w:sz w:val="28"/>
          <w:szCs w:val="28"/>
        </w:rPr>
        <w:t>支持洞庭山碧螺春茶产区内茶地经营权依法流转，引导和规范从事洞庭山碧螺春茶种植、加工、流通的企业、科研机构和其他组织，通过与农户或专业合作经济组织开展合作，推动洞庭山碧螺春茶产业规模化、集约化、一体化发展。保障洞庭山碧螺春茶生产经营者的合理建设用地需求，鼓励和支持生产经营者整合资源要素，提升产能和品质。</w:t>
      </w:r>
    </w:p>
    <w:p>
      <w:pPr>
        <w:ind w:firstLine="562" w:firstLineChars="200"/>
        <w:rPr>
          <w:sz w:val="28"/>
          <w:szCs w:val="28"/>
        </w:rPr>
      </w:pPr>
      <w:r>
        <w:rPr>
          <w:rFonts w:hint="eastAsia"/>
          <w:b/>
          <w:sz w:val="28"/>
          <w:szCs w:val="28"/>
        </w:rPr>
        <w:t>第三十九条</w:t>
      </w:r>
      <w:r>
        <w:rPr>
          <w:b/>
          <w:sz w:val="28"/>
          <w:szCs w:val="28"/>
        </w:rPr>
        <w:t xml:space="preserve">  </w:t>
      </w:r>
      <w:r>
        <w:rPr>
          <w:rFonts w:hint="eastAsia"/>
          <w:sz w:val="28"/>
          <w:szCs w:val="28"/>
        </w:rPr>
        <w:t>鼓励金融机构开发、创新适合洞庭山碧螺春茶产业发展的金融产品和服务。</w:t>
      </w:r>
    </w:p>
    <w:p>
      <w:pPr>
        <w:ind w:firstLine="560" w:firstLineChars="200"/>
        <w:rPr>
          <w:sz w:val="28"/>
          <w:szCs w:val="28"/>
        </w:rPr>
      </w:pPr>
      <w:r>
        <w:rPr>
          <w:rFonts w:hint="eastAsia"/>
          <w:sz w:val="28"/>
          <w:szCs w:val="28"/>
        </w:rPr>
        <w:t>鼓励保险机构开展对洞庭山碧螺春茶产业的相关保险业务，加强茶产业相关保险政策宣传。</w:t>
      </w:r>
    </w:p>
    <w:p>
      <w:pPr>
        <w:ind w:firstLine="562" w:firstLineChars="200"/>
        <w:rPr>
          <w:sz w:val="28"/>
          <w:szCs w:val="28"/>
        </w:rPr>
      </w:pPr>
      <w:r>
        <w:rPr>
          <w:rFonts w:hint="eastAsia"/>
          <w:b/>
          <w:sz w:val="28"/>
          <w:szCs w:val="28"/>
        </w:rPr>
        <w:t>第四十条</w:t>
      </w:r>
      <w:r>
        <w:rPr>
          <w:b/>
          <w:sz w:val="28"/>
          <w:szCs w:val="28"/>
        </w:rPr>
        <w:t xml:space="preserve"> </w:t>
      </w:r>
      <w:r>
        <w:rPr>
          <w:sz w:val="28"/>
          <w:szCs w:val="28"/>
        </w:rPr>
        <w:t xml:space="preserve"> </w:t>
      </w:r>
      <w:r>
        <w:rPr>
          <w:rFonts w:hint="eastAsia"/>
          <w:sz w:val="28"/>
          <w:szCs w:val="28"/>
        </w:rPr>
        <w:t>鼓励和支持洞庭山碧螺春茶产品通过电子商务平台、网络直播等线上销售模式健康有序发展，营造有利于洞庭山碧螺春茶产业电子商务创新发展的市场环境。</w:t>
      </w:r>
    </w:p>
    <w:p>
      <w:pPr>
        <w:ind w:firstLine="560" w:firstLineChars="200"/>
        <w:rPr>
          <w:sz w:val="28"/>
          <w:szCs w:val="28"/>
        </w:rPr>
      </w:pPr>
    </w:p>
    <w:p>
      <w:pPr>
        <w:jc w:val="center"/>
        <w:rPr>
          <w:rFonts w:ascii="黑体" w:hAnsi="黑体" w:eastAsia="黑体"/>
          <w:b/>
          <w:sz w:val="30"/>
          <w:szCs w:val="30"/>
        </w:rPr>
      </w:pPr>
      <w:r>
        <w:rPr>
          <w:rFonts w:hint="eastAsia" w:ascii="黑体" w:hAnsi="黑体" w:eastAsia="黑体"/>
          <w:b/>
          <w:sz w:val="30"/>
          <w:szCs w:val="30"/>
        </w:rPr>
        <w:t>第六章</w:t>
      </w:r>
      <w:r>
        <w:rPr>
          <w:rFonts w:ascii="黑体" w:hAnsi="黑体" w:eastAsia="黑体"/>
          <w:b/>
          <w:sz w:val="30"/>
          <w:szCs w:val="30"/>
        </w:rPr>
        <w:t xml:space="preserve">  </w:t>
      </w:r>
      <w:r>
        <w:rPr>
          <w:rFonts w:hint="eastAsia" w:ascii="黑体" w:hAnsi="黑体" w:eastAsia="黑体"/>
          <w:b/>
          <w:sz w:val="30"/>
          <w:szCs w:val="30"/>
        </w:rPr>
        <w:t>法律责任</w:t>
      </w:r>
    </w:p>
    <w:p>
      <w:pPr>
        <w:rPr>
          <w:b/>
          <w:sz w:val="28"/>
          <w:szCs w:val="28"/>
        </w:rPr>
      </w:pPr>
    </w:p>
    <w:p>
      <w:pPr>
        <w:ind w:firstLine="562" w:firstLineChars="200"/>
        <w:rPr>
          <w:sz w:val="28"/>
          <w:szCs w:val="28"/>
        </w:rPr>
      </w:pPr>
      <w:r>
        <w:rPr>
          <w:rFonts w:hint="eastAsia"/>
          <w:b/>
          <w:sz w:val="28"/>
          <w:szCs w:val="28"/>
        </w:rPr>
        <w:t>第四十一条</w:t>
      </w:r>
      <w:r>
        <w:rPr>
          <w:b/>
          <w:sz w:val="28"/>
          <w:szCs w:val="28"/>
        </w:rPr>
        <w:t xml:space="preserve">  </w:t>
      </w:r>
      <w:r>
        <w:rPr>
          <w:rFonts w:hint="eastAsia"/>
          <w:sz w:val="28"/>
          <w:szCs w:val="28"/>
        </w:rPr>
        <w:t>违反本条例规定的行为，法律、法规已有法律责任规定的，从其规定。</w:t>
      </w:r>
    </w:p>
    <w:p>
      <w:pPr>
        <w:ind w:firstLine="562" w:firstLineChars="200"/>
        <w:rPr>
          <w:bCs/>
          <w:color w:val="FF0000"/>
          <w:sz w:val="28"/>
          <w:szCs w:val="28"/>
        </w:rPr>
      </w:pPr>
      <w:r>
        <w:rPr>
          <w:rFonts w:hint="eastAsia"/>
          <w:b/>
          <w:sz w:val="28"/>
          <w:szCs w:val="28"/>
        </w:rPr>
        <w:t>第四十二条</w:t>
      </w:r>
      <w:r>
        <w:rPr>
          <w:b/>
          <w:sz w:val="28"/>
          <w:szCs w:val="28"/>
        </w:rPr>
        <w:t xml:space="preserve"> </w:t>
      </w:r>
      <w:r>
        <w:rPr>
          <w:rFonts w:hint="eastAsia"/>
          <w:b/>
          <w:sz w:val="28"/>
          <w:szCs w:val="28"/>
        </w:rPr>
        <w:t xml:space="preserve"> </w:t>
      </w:r>
      <w:r>
        <w:rPr>
          <w:rFonts w:hint="eastAsia"/>
          <w:bCs/>
          <w:sz w:val="28"/>
          <w:szCs w:val="28"/>
        </w:rPr>
        <w:t>未经许可使用洞庭山碧螺春专用标识第（一）项的，由市场监督管理部门按照《中华人民共和国商标法》等有关法律法规处理；</w:t>
      </w:r>
    </w:p>
    <w:p>
      <w:pPr>
        <w:ind w:firstLine="560" w:firstLineChars="200"/>
        <w:rPr>
          <w:sz w:val="28"/>
          <w:szCs w:val="28"/>
        </w:rPr>
      </w:pPr>
      <w:r>
        <w:rPr>
          <w:rFonts w:hint="eastAsia"/>
          <w:bCs/>
          <w:sz w:val="28"/>
          <w:szCs w:val="28"/>
        </w:rPr>
        <w:t>未经许可使用洞庭山碧螺春专用标识第（二）项，</w:t>
      </w:r>
      <w:r>
        <w:rPr>
          <w:rFonts w:hint="eastAsia"/>
          <w:sz w:val="28"/>
          <w:szCs w:val="28"/>
        </w:rPr>
        <w:t>有下列情形之一的，由市场监督管理部门责令停止违法行为，并可以对个人处二千元以上一万元以下的罚款，对单位处一万元以上三万元以下的罚款，</w:t>
      </w:r>
    </w:p>
    <w:p>
      <w:pPr>
        <w:numPr>
          <w:ilvl w:val="0"/>
          <w:numId w:val="4"/>
        </w:numPr>
        <w:ind w:firstLine="560" w:firstLineChars="200"/>
        <w:rPr>
          <w:sz w:val="28"/>
          <w:szCs w:val="28"/>
        </w:rPr>
      </w:pPr>
      <w:r>
        <w:rPr>
          <w:rFonts w:hint="eastAsia"/>
          <w:sz w:val="28"/>
          <w:szCs w:val="28"/>
        </w:rPr>
        <w:t>在包装、宣传材料上使用的；</w:t>
      </w:r>
    </w:p>
    <w:p>
      <w:pPr>
        <w:numPr>
          <w:ilvl w:val="0"/>
          <w:numId w:val="4"/>
        </w:numPr>
        <w:ind w:firstLine="560" w:firstLineChars="200"/>
        <w:rPr>
          <w:sz w:val="28"/>
          <w:szCs w:val="28"/>
        </w:rPr>
      </w:pPr>
      <w:r>
        <w:rPr>
          <w:rFonts w:hint="eastAsia"/>
          <w:sz w:val="28"/>
          <w:szCs w:val="28"/>
        </w:rPr>
        <w:t>在实体门店销售过程中使用的；</w:t>
      </w:r>
    </w:p>
    <w:p>
      <w:pPr>
        <w:ind w:firstLine="560" w:firstLineChars="200"/>
        <w:rPr>
          <w:color w:val="FF0000"/>
          <w:sz w:val="28"/>
          <w:szCs w:val="28"/>
        </w:rPr>
      </w:pPr>
      <w:r>
        <w:rPr>
          <w:rFonts w:hint="eastAsia"/>
          <w:sz w:val="28"/>
          <w:szCs w:val="28"/>
        </w:rPr>
        <w:t>（三）通过互联网等信息网络销售过程中使用的；</w:t>
      </w:r>
    </w:p>
    <w:p>
      <w:pPr>
        <w:ind w:firstLine="560" w:firstLineChars="200"/>
        <w:rPr>
          <w:sz w:val="28"/>
          <w:szCs w:val="28"/>
        </w:rPr>
      </w:pPr>
      <w:r>
        <w:rPr>
          <w:rFonts w:hint="eastAsia"/>
          <w:sz w:val="28"/>
          <w:szCs w:val="28"/>
        </w:rPr>
        <w:t>（四）其他违反规定的不当使用行为。</w:t>
      </w:r>
    </w:p>
    <w:p>
      <w:pPr>
        <w:ind w:firstLine="560" w:firstLineChars="200"/>
        <w:rPr>
          <w:sz w:val="28"/>
          <w:szCs w:val="28"/>
        </w:rPr>
      </w:pPr>
      <w:r>
        <w:rPr>
          <w:rFonts w:hint="eastAsia"/>
          <w:sz w:val="28"/>
          <w:szCs w:val="28"/>
        </w:rPr>
        <w:t>上述情形中发现存在生产、销售假冒伪劣洞庭山碧螺春茶行为的，由市场监管部门依法查处。</w:t>
      </w:r>
    </w:p>
    <w:p>
      <w:pPr>
        <w:ind w:firstLine="560" w:firstLineChars="200"/>
        <w:rPr>
          <w:sz w:val="28"/>
          <w:szCs w:val="28"/>
        </w:rPr>
      </w:pPr>
      <w:r>
        <w:rPr>
          <w:rFonts w:hint="eastAsia"/>
          <w:sz w:val="28"/>
          <w:szCs w:val="28"/>
        </w:rPr>
        <w:t>未经许可使用</w:t>
      </w:r>
      <w:r>
        <w:rPr>
          <w:rFonts w:hint="eastAsia"/>
          <w:bCs/>
          <w:sz w:val="28"/>
          <w:szCs w:val="28"/>
        </w:rPr>
        <w:t>洞庭山碧螺春专用标识第（三）项，且有本条第二款所述情形之一的，</w:t>
      </w:r>
      <w:r>
        <w:rPr>
          <w:rFonts w:hint="eastAsia"/>
          <w:sz w:val="28"/>
          <w:szCs w:val="28"/>
        </w:rPr>
        <w:t>由农业农村主管部门责令停止违法行为，并可以对个人处二千元以上一万元以下的罚款，对单位处一万元以上三万元以下的罚款。</w:t>
      </w:r>
    </w:p>
    <w:p>
      <w:pPr>
        <w:ind w:firstLine="562" w:firstLineChars="200"/>
        <w:rPr>
          <w:sz w:val="28"/>
          <w:szCs w:val="28"/>
        </w:rPr>
      </w:pPr>
      <w:r>
        <w:rPr>
          <w:rFonts w:hint="eastAsia"/>
          <w:b/>
          <w:sz w:val="28"/>
          <w:szCs w:val="28"/>
        </w:rPr>
        <w:t>第四十三条</w:t>
      </w:r>
      <w:r>
        <w:rPr>
          <w:b/>
          <w:sz w:val="28"/>
          <w:szCs w:val="28"/>
        </w:rPr>
        <w:t xml:space="preserve">  </w:t>
      </w:r>
      <w:r>
        <w:rPr>
          <w:rFonts w:hint="eastAsia"/>
          <w:sz w:val="28"/>
          <w:szCs w:val="28"/>
        </w:rPr>
        <w:t>违反本条例第十八条规定，涉及洞庭山碧螺春专用标识第（一）、（二）项的由市场监督管理部门、涉及洞庭山碧螺春专用标识第（三）项的由农业农村管理部门责令停止违法行为，并可以对个人处二千元以上一万元以下的罚款，对单位处一万元以上三万元以下的罚款。</w:t>
      </w:r>
    </w:p>
    <w:p>
      <w:pPr>
        <w:ind w:firstLine="562" w:firstLineChars="200"/>
        <w:rPr>
          <w:sz w:val="28"/>
          <w:szCs w:val="28"/>
        </w:rPr>
      </w:pPr>
      <w:r>
        <w:rPr>
          <w:rFonts w:hint="eastAsia"/>
          <w:b/>
          <w:bCs/>
          <w:sz w:val="28"/>
          <w:szCs w:val="28"/>
        </w:rPr>
        <w:t xml:space="preserve">第四十四条  </w:t>
      </w:r>
      <w:r>
        <w:rPr>
          <w:rFonts w:hint="eastAsia"/>
          <w:sz w:val="28"/>
          <w:szCs w:val="28"/>
        </w:rPr>
        <w:t>违反本条例第十九条规定，涉及洞庭山碧螺春专用标识第（一）、（二）项的由市场监督管理部门、涉及洞庭山碧螺春专用标识第（三）项的由农业农村管理部门责令停止违法行为，没收伪造、擅自制造的洞庭山碧螺春专用标识及工具，并可以对个人处二千元以上一万元以下的罚款，对单位处一万元以上三万元以下的罚款。</w:t>
      </w:r>
    </w:p>
    <w:p>
      <w:pPr>
        <w:ind w:firstLine="562" w:firstLineChars="200"/>
        <w:rPr>
          <w:sz w:val="28"/>
          <w:szCs w:val="28"/>
        </w:rPr>
      </w:pPr>
      <w:r>
        <w:rPr>
          <w:rFonts w:hint="eastAsia"/>
          <w:b/>
          <w:sz w:val="28"/>
          <w:szCs w:val="28"/>
        </w:rPr>
        <w:t>第四十五条</w:t>
      </w:r>
      <w:r>
        <w:rPr>
          <w:b/>
          <w:sz w:val="28"/>
          <w:szCs w:val="28"/>
        </w:rPr>
        <w:t xml:space="preserve">  </w:t>
      </w:r>
      <w:r>
        <w:rPr>
          <w:rFonts w:hint="eastAsia"/>
          <w:sz w:val="28"/>
          <w:szCs w:val="28"/>
        </w:rPr>
        <w:t>违反本条例规定，破坏生态环境、侵害众多消费者权益，致使国家利益或者公共利益受到损害的，法律、法规规定的组织可以依法提起民事公益诉讼。</w:t>
      </w:r>
    </w:p>
    <w:p>
      <w:pPr>
        <w:ind w:firstLine="562" w:firstLineChars="200"/>
        <w:rPr>
          <w:sz w:val="28"/>
          <w:szCs w:val="28"/>
        </w:rPr>
      </w:pPr>
      <w:r>
        <w:rPr>
          <w:rFonts w:hint="eastAsia"/>
          <w:b/>
          <w:sz w:val="28"/>
          <w:szCs w:val="28"/>
        </w:rPr>
        <w:t>第四十六条</w:t>
      </w:r>
      <w:r>
        <w:rPr>
          <w:b/>
          <w:sz w:val="28"/>
          <w:szCs w:val="28"/>
        </w:rPr>
        <w:t xml:space="preserve">  </w:t>
      </w:r>
      <w:r>
        <w:rPr>
          <w:rFonts w:hint="eastAsia"/>
          <w:sz w:val="28"/>
          <w:szCs w:val="28"/>
        </w:rPr>
        <w:t>有关部门、单位及其工作人员在洞庭山碧螺春茶保护和管理工作中有玩忽职守、滥用职权、徇私舞弊等行为的，由本级人民政府或者上级人民政府有关部门责令改正，对负有责任的主管人员和其他直接责任人员依法给予处分；构成犯罪的，依法追究其刑事责任。</w:t>
      </w:r>
    </w:p>
    <w:p>
      <w:pPr>
        <w:jc w:val="center"/>
        <w:rPr>
          <w:rFonts w:ascii="黑体" w:hAnsi="黑体" w:eastAsia="黑体"/>
          <w:b/>
          <w:sz w:val="30"/>
          <w:szCs w:val="30"/>
        </w:rPr>
      </w:pPr>
      <w:r>
        <w:rPr>
          <w:rFonts w:hint="eastAsia" w:ascii="黑体" w:hAnsi="黑体" w:eastAsia="黑体"/>
          <w:b/>
          <w:sz w:val="30"/>
          <w:szCs w:val="30"/>
        </w:rPr>
        <w:t>第七章</w:t>
      </w:r>
      <w:r>
        <w:rPr>
          <w:rFonts w:ascii="黑体" w:hAnsi="黑体" w:eastAsia="黑体"/>
          <w:b/>
          <w:sz w:val="30"/>
          <w:szCs w:val="30"/>
        </w:rPr>
        <w:t xml:space="preserve">  </w:t>
      </w:r>
      <w:r>
        <w:rPr>
          <w:rFonts w:hint="eastAsia" w:ascii="黑体" w:hAnsi="黑体" w:eastAsia="黑体"/>
          <w:b/>
          <w:sz w:val="30"/>
          <w:szCs w:val="30"/>
        </w:rPr>
        <w:t>附则</w:t>
      </w:r>
    </w:p>
    <w:p>
      <w:pPr>
        <w:rPr>
          <w:b/>
          <w:sz w:val="28"/>
          <w:szCs w:val="28"/>
        </w:rPr>
      </w:pPr>
    </w:p>
    <w:p>
      <w:pPr>
        <w:ind w:firstLine="562" w:firstLineChars="200"/>
        <w:rPr>
          <w:sz w:val="28"/>
          <w:szCs w:val="28"/>
        </w:rPr>
      </w:pPr>
      <w:r>
        <w:rPr>
          <w:rFonts w:hint="eastAsia"/>
          <w:b/>
          <w:sz w:val="28"/>
          <w:szCs w:val="28"/>
        </w:rPr>
        <w:t>第四十七条</w:t>
      </w:r>
      <w:r>
        <w:rPr>
          <w:b/>
          <w:sz w:val="28"/>
          <w:szCs w:val="28"/>
        </w:rPr>
        <w:t xml:space="preserve">  </w:t>
      </w:r>
      <w:r>
        <w:rPr>
          <w:rFonts w:hint="eastAsia"/>
          <w:sz w:val="28"/>
          <w:szCs w:val="28"/>
        </w:rPr>
        <w:t>本条例自</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日起施行。</w:t>
      </w:r>
    </w:p>
    <w:p>
      <w:pPr>
        <w:ind w:firstLine="560" w:firstLineChars="200"/>
        <w:rPr>
          <w:sz w:val="28"/>
          <w:szCs w:val="28"/>
        </w:rPr>
      </w:pPr>
    </w:p>
    <w:p>
      <w:pPr>
        <w:ind w:firstLine="600" w:firstLineChars="200"/>
        <w:rPr>
          <w:rFonts w:ascii="Arial" w:hAnsi="Arial" w:cs="Arial"/>
          <w:kern w:val="0"/>
          <w:sz w:val="30"/>
          <w:szCs w:val="30"/>
        </w:rPr>
      </w:pPr>
    </w:p>
    <w:p>
      <w:pPr>
        <w:rPr>
          <w:rFonts w:ascii="黑体" w:hAnsi="黑体" w:eastAsia="黑体"/>
          <w:bCs/>
          <w:sz w:val="30"/>
          <w:szCs w:val="30"/>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E6856"/>
    <w:multiLevelType w:val="singleLevel"/>
    <w:tmpl w:val="D70E6856"/>
    <w:lvl w:ilvl="0" w:tentative="0">
      <w:start w:val="1"/>
      <w:numFmt w:val="chineseCounting"/>
      <w:suff w:val="space"/>
      <w:lvlText w:val="第%1章"/>
      <w:lvlJc w:val="left"/>
      <w:rPr>
        <w:rFonts w:hint="eastAsia" w:cs="Times New Roman"/>
      </w:rPr>
    </w:lvl>
  </w:abstractNum>
  <w:abstractNum w:abstractNumId="1">
    <w:nsid w:val="DF831FAB"/>
    <w:multiLevelType w:val="singleLevel"/>
    <w:tmpl w:val="DF831FAB"/>
    <w:lvl w:ilvl="0" w:tentative="0">
      <w:start w:val="1"/>
      <w:numFmt w:val="chineseCounting"/>
      <w:suff w:val="space"/>
      <w:lvlText w:val="第%1条"/>
      <w:lvlJc w:val="left"/>
      <w:pPr>
        <w:ind w:left="70"/>
      </w:pPr>
      <w:rPr>
        <w:rFonts w:hint="eastAsia" w:cs="Times New Roman"/>
        <w:b/>
        <w:bCs/>
        <w:color w:val="auto"/>
      </w:rPr>
    </w:lvl>
  </w:abstractNum>
  <w:abstractNum w:abstractNumId="2">
    <w:nsid w:val="5F66B1C8"/>
    <w:multiLevelType w:val="singleLevel"/>
    <w:tmpl w:val="5F66B1C8"/>
    <w:lvl w:ilvl="0" w:tentative="0">
      <w:start w:val="1"/>
      <w:numFmt w:val="chineseCounting"/>
      <w:suff w:val="nothing"/>
      <w:lvlText w:val="（%1）"/>
      <w:lvlJc w:val="left"/>
      <w:rPr>
        <w:rFonts w:hint="eastAsia"/>
      </w:rPr>
    </w:lvl>
  </w:abstractNum>
  <w:abstractNum w:abstractNumId="3">
    <w:nsid w:val="7ACF2F68"/>
    <w:multiLevelType w:val="multilevel"/>
    <w:tmpl w:val="7ACF2F68"/>
    <w:lvl w:ilvl="0" w:tentative="0">
      <w:start w:val="1"/>
      <w:numFmt w:val="japaneseCounting"/>
      <w:lvlText w:val="第%1章"/>
      <w:lvlJc w:val="left"/>
      <w:pPr>
        <w:ind w:left="1110" w:hanging="1110"/>
      </w:pPr>
      <w:rPr>
        <w:rFonts w:hint="eastAsia" w:cs="Times New Roman"/>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QyMmJiYzYxNjVkMzAzYWNiM2FiZWU2N2U0M2MzMTMifQ=="/>
  </w:docVars>
  <w:rsids>
    <w:rsidRoot w:val="39F63F7E"/>
    <w:rsid w:val="0016521E"/>
    <w:rsid w:val="006700D3"/>
    <w:rsid w:val="00905D52"/>
    <w:rsid w:val="00A57911"/>
    <w:rsid w:val="1EA77665"/>
    <w:rsid w:val="1FF6188F"/>
    <w:rsid w:val="21537630"/>
    <w:rsid w:val="25D27F70"/>
    <w:rsid w:val="39F63F7E"/>
    <w:rsid w:val="3E6B3D84"/>
    <w:rsid w:val="42BC4BDD"/>
    <w:rsid w:val="473A4323"/>
    <w:rsid w:val="48A33576"/>
    <w:rsid w:val="58647037"/>
    <w:rsid w:val="5C3D6937"/>
    <w:rsid w:val="64800D38"/>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character" w:customStyle="1" w:styleId="8">
    <w:name w:val="页眉 Char"/>
    <w:basedOn w:val="6"/>
    <w:link w:val="4"/>
    <w:uiPriority w:val="0"/>
    <w:rPr>
      <w:rFonts w:ascii="Calibri" w:hAnsi="Calibri" w:eastAsia="宋体" w:cs="Times New Roman"/>
      <w:kern w:val="2"/>
      <w:sz w:val="18"/>
      <w:szCs w:val="18"/>
    </w:rPr>
  </w:style>
  <w:style w:type="character" w:customStyle="1" w:styleId="9">
    <w:name w:val="页脚 Char"/>
    <w:basedOn w:val="6"/>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5718</Words>
  <Characters>5718</Characters>
  <Lines>42</Lines>
  <Paragraphs>11</Paragraphs>
  <TotalTime>10</TotalTime>
  <ScaleCrop>false</ScaleCrop>
  <LinksUpToDate>false</LinksUpToDate>
  <CharactersWithSpaces>5838</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2023-05-05T14:19:00Z</dcterms:created>
  <dc:creator>Administrator</dc:creator>
  <cp:lastModifiedBy>sugon</cp:lastModifiedBy>
  <cp:lastPrinted>2023-05-05T15:47:00Z</cp:lastPrinted>
  <dcterms:modified xsi:type="dcterms:W3CDTF">2023-05-05T17:20:01Z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79E968D714AF4CD19E5CC9B9B65C0C86_11</vt:lpwstr>
  </property>
</Properties>
</file>