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Hlk142467815"/>
      <w:bookmarkStart w:id="1" w:name="_Hlk142467776"/>
      <w:bookmarkStart w:id="2" w:name="_Hlk142470263"/>
    </w:p>
    <w:p/>
    <w:p/>
    <w:p/>
    <w:p/>
    <w:p>
      <w:pPr>
        <w:jc w:val="center"/>
        <w:rPr>
          <w:rFonts w:ascii="黑体" w:hAnsi="黑体" w:eastAsia="黑体"/>
          <w:sz w:val="44"/>
          <w:szCs w:val="44"/>
        </w:rPr>
      </w:pPr>
      <w:r>
        <w:rPr>
          <w:rFonts w:hint="eastAsia" w:ascii="黑体" w:hAnsi="黑体" w:eastAsia="黑体"/>
          <w:sz w:val="44"/>
          <w:szCs w:val="44"/>
        </w:rPr>
        <w:t>苏州市商业空间布局规划（2021-2035年</w:t>
      </w:r>
      <w:r>
        <w:rPr>
          <w:rFonts w:ascii="黑体" w:hAnsi="黑体" w:eastAsia="黑体"/>
          <w:sz w:val="44"/>
          <w:szCs w:val="44"/>
        </w:rPr>
        <w:t>）</w:t>
      </w:r>
    </w:p>
    <w:p>
      <w:pPr>
        <w:jc w:val="center"/>
        <w:rPr>
          <w:rFonts w:ascii="黑体" w:hAnsi="黑体" w:eastAsia="黑体"/>
          <w:sz w:val="44"/>
          <w:szCs w:val="44"/>
        </w:rPr>
      </w:pPr>
      <w:r>
        <w:rPr>
          <w:rFonts w:hint="eastAsia" w:ascii="黑体" w:hAnsi="黑体" w:eastAsia="黑体"/>
          <w:sz w:val="44"/>
          <w:szCs w:val="44"/>
        </w:rPr>
        <w:t>草案公示稿</w:t>
      </w:r>
    </w:p>
    <w:p/>
    <w:p/>
    <w:p/>
    <w:p/>
    <w:p/>
    <w:p/>
    <w:p/>
    <w:p/>
    <w:p/>
    <w:p/>
    <w:p/>
    <w:p/>
    <w:p/>
    <w:p/>
    <w:p/>
    <w:p/>
    <w:p/>
    <w:p/>
    <w:p/>
    <w:p>
      <w:pPr>
        <w:jc w:val="center"/>
        <w:rPr>
          <w:rFonts w:ascii="黑体" w:hAnsi="黑体" w:eastAsia="黑体"/>
          <w:sz w:val="36"/>
          <w:szCs w:val="36"/>
        </w:rPr>
      </w:pPr>
      <w:r>
        <w:rPr>
          <w:rFonts w:hint="eastAsia" w:ascii="黑体" w:hAnsi="黑体" w:eastAsia="黑体"/>
          <w:sz w:val="36"/>
          <w:szCs w:val="36"/>
        </w:rPr>
        <w:t>苏州市商务局</w:t>
      </w:r>
    </w:p>
    <w:p>
      <w:pPr>
        <w:jc w:val="center"/>
        <w:rPr>
          <w:rFonts w:ascii="黑体" w:hAnsi="黑体" w:eastAsia="黑体"/>
          <w:sz w:val="36"/>
          <w:szCs w:val="36"/>
        </w:rPr>
      </w:pPr>
      <w:r>
        <w:rPr>
          <w:rFonts w:hint="eastAsia" w:ascii="黑体" w:hAnsi="黑体" w:eastAsia="黑体"/>
          <w:sz w:val="36"/>
          <w:szCs w:val="36"/>
        </w:rPr>
        <w:t>苏州</w:t>
      </w:r>
      <w:r>
        <w:rPr>
          <w:rFonts w:ascii="黑体" w:hAnsi="黑体" w:eastAsia="黑体"/>
          <w:sz w:val="36"/>
          <w:szCs w:val="36"/>
        </w:rPr>
        <w:t>规划设计研究院</w:t>
      </w:r>
      <w:r>
        <w:rPr>
          <w:rFonts w:hint="eastAsia" w:ascii="黑体" w:hAnsi="黑体" w:eastAsia="黑体"/>
          <w:sz w:val="36"/>
          <w:szCs w:val="36"/>
        </w:rPr>
        <w:t>股份有限公司</w:t>
      </w:r>
    </w:p>
    <w:p>
      <w:pPr>
        <w:jc w:val="center"/>
        <w:rPr>
          <w:rFonts w:ascii="黑体" w:hAnsi="黑体" w:eastAsia="黑体"/>
          <w:sz w:val="36"/>
          <w:szCs w:val="36"/>
        </w:rPr>
      </w:pPr>
      <w:r>
        <w:rPr>
          <w:rFonts w:ascii="黑体" w:hAnsi="黑体" w:eastAsia="黑体"/>
          <w:sz w:val="36"/>
          <w:szCs w:val="36"/>
        </w:rPr>
        <w:t>2023</w:t>
      </w:r>
      <w:r>
        <w:rPr>
          <w:rFonts w:hint="eastAsia" w:ascii="黑体" w:hAnsi="黑体" w:eastAsia="黑体"/>
          <w:sz w:val="36"/>
          <w:szCs w:val="36"/>
        </w:rPr>
        <w:t>年</w:t>
      </w:r>
      <w:bookmarkEnd w:id="0"/>
    </w:p>
    <w:p>
      <w:pPr>
        <w:ind w:firstLine="960"/>
        <w:rPr>
          <w:sz w:val="48"/>
        </w:rPr>
        <w:sectPr>
          <w:footerReference r:id="rId5" w:type="default"/>
          <w:pgSz w:w="11906" w:h="16838"/>
          <w:pgMar w:top="1440" w:right="1797" w:bottom="1440" w:left="1797" w:header="851" w:footer="992" w:gutter="0"/>
          <w:cols w:space="425" w:num="1"/>
          <w:titlePg/>
          <w:docGrid w:type="lines" w:linePitch="312" w:charSpace="0"/>
        </w:sectPr>
      </w:pPr>
    </w:p>
    <w:p>
      <w:pPr>
        <w:pStyle w:val="2"/>
        <w:spacing w:line="360" w:lineRule="auto"/>
      </w:pPr>
      <w:bookmarkStart w:id="3" w:name="_Hlk142467823"/>
      <w:r>
        <w:rPr>
          <w:rFonts w:hint="eastAsia"/>
        </w:rPr>
        <w:t>一、规划背景</w:t>
      </w:r>
    </w:p>
    <w:p>
      <w:pPr>
        <w:ind w:firstLine="560"/>
        <w:rPr>
          <w:rFonts w:ascii="仿宋" w:hAnsi="仿宋" w:eastAsia="仿宋"/>
          <w:color w:val="000000" w:themeColor="text1"/>
          <w:sz w:val="28"/>
          <w:szCs w:val="28"/>
          <w14:textFill>
            <w14:solidFill>
              <w14:schemeClr w14:val="tx1"/>
            </w14:solidFill>
          </w14:textFill>
        </w:rPr>
      </w:pPr>
      <w:bookmarkStart w:id="4" w:name="_Hlk142467800"/>
      <w:r>
        <w:rPr>
          <w:rFonts w:hint="eastAsia" w:ascii="仿宋" w:hAnsi="仿宋" w:eastAsia="仿宋"/>
          <w:color w:val="000000" w:themeColor="text1"/>
          <w:sz w:val="28"/>
          <w:szCs w:val="28"/>
          <w14:textFill>
            <w14:solidFill>
              <w14:schemeClr w14:val="tx1"/>
            </w14:solidFill>
          </w14:textFill>
        </w:rPr>
        <w:t>2</w:t>
      </w:r>
      <w:r>
        <w:rPr>
          <w:rFonts w:ascii="仿宋" w:hAnsi="仿宋" w:eastAsia="仿宋"/>
          <w:color w:val="000000" w:themeColor="text1"/>
          <w:sz w:val="28"/>
          <w:szCs w:val="28"/>
          <w14:textFill>
            <w14:solidFill>
              <w14:schemeClr w14:val="tx1"/>
            </w14:solidFill>
          </w14:textFill>
        </w:rPr>
        <w:t>007</w:t>
      </w:r>
      <w:r>
        <w:rPr>
          <w:rFonts w:hint="eastAsia" w:ascii="仿宋" w:hAnsi="仿宋" w:eastAsia="仿宋"/>
          <w:color w:val="000000" w:themeColor="text1"/>
          <w:sz w:val="28"/>
          <w:szCs w:val="28"/>
          <w14:textFill>
            <w14:solidFill>
              <w14:schemeClr w14:val="tx1"/>
            </w14:solidFill>
          </w14:textFill>
        </w:rPr>
        <w:t>年以来，《苏州市区商业网点布局规划2</w:t>
      </w:r>
      <w:r>
        <w:rPr>
          <w:rFonts w:ascii="仿宋" w:hAnsi="仿宋" w:eastAsia="仿宋"/>
          <w:color w:val="000000" w:themeColor="text1"/>
          <w:sz w:val="28"/>
          <w:szCs w:val="28"/>
          <w14:textFill>
            <w14:solidFill>
              <w14:schemeClr w14:val="tx1"/>
            </w14:solidFill>
          </w14:textFill>
        </w:rPr>
        <w:t>007</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2020</w:t>
      </w:r>
      <w:r>
        <w:rPr>
          <w:rFonts w:hint="eastAsia" w:ascii="仿宋" w:hAnsi="仿宋" w:eastAsia="仿宋"/>
          <w:color w:val="000000" w:themeColor="text1"/>
          <w:sz w:val="28"/>
          <w:szCs w:val="28"/>
          <w14:textFill>
            <w14:solidFill>
              <w14:schemeClr w14:val="tx1"/>
            </w14:solidFill>
          </w14:textFill>
        </w:rPr>
        <w:t>》的发布实施，在规范商业设施建设，优化商业空间布局，引导多元商业消费等方面发挥了积极作用，有效促进了苏州消费市场规模不断扩大，业态发展丰富多元，流通体系日益完善，为全市经济社会协调可持续发展作出了重要贡献。</w:t>
      </w:r>
    </w:p>
    <w:bookmarkEnd w:id="3"/>
    <w:bookmarkEnd w:id="4"/>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面向2</w:t>
      </w:r>
      <w:r>
        <w:rPr>
          <w:rFonts w:ascii="仿宋" w:hAnsi="仿宋" w:eastAsia="仿宋"/>
          <w:color w:val="000000" w:themeColor="text1"/>
          <w:sz w:val="28"/>
          <w:szCs w:val="28"/>
          <w14:textFill>
            <w14:solidFill>
              <w14:schemeClr w14:val="tx1"/>
            </w14:solidFill>
          </w14:textFill>
        </w:rPr>
        <w:t>035</w:t>
      </w:r>
      <w:r>
        <w:rPr>
          <w:rFonts w:hint="eastAsia" w:ascii="仿宋" w:hAnsi="仿宋" w:eastAsia="仿宋"/>
          <w:color w:val="000000" w:themeColor="text1"/>
          <w:sz w:val="28"/>
          <w:szCs w:val="28"/>
          <w14:textFill>
            <w14:solidFill>
              <w14:schemeClr w14:val="tx1"/>
            </w14:solidFill>
          </w14:textFill>
        </w:rPr>
        <w:t>年，苏州将加快构建以国内大循环为主体、国内国际双循环相互促进的新发展格局，基本建成“富强美高”的社会主义现代化强市。紧扣培育创建国际消费中心城市的重要契机，适应消费升级和数字化转型的趋势，苏州将进一步加快推进商业的数字化、品牌化、专业化、国际化发展，大幅提升苏州商业的全国辐射力和国际影响力，全面构建与苏州经济社会发展相协调的商业空间体系。</w:t>
      </w:r>
    </w:p>
    <w:p>
      <w:pPr>
        <w:pStyle w:val="2"/>
        <w:spacing w:line="360" w:lineRule="auto"/>
      </w:pPr>
      <w:r>
        <w:rPr>
          <w:rFonts w:hint="eastAsia"/>
        </w:rPr>
        <w:t>二、规划依据、规划范围、规划期限、规划对象</w:t>
      </w:r>
    </w:p>
    <w:p>
      <w:pPr>
        <w:pStyle w:val="4"/>
        <w:spacing w:line="360" w:lineRule="auto"/>
      </w:pPr>
      <w:r>
        <w:rPr>
          <w:rFonts w:hint="eastAsia"/>
        </w:rPr>
        <w:t>1、规划依据</w:t>
      </w:r>
    </w:p>
    <w:p>
      <w:pPr>
        <w:ind w:firstLine="560"/>
        <w:rPr>
          <w:rFonts w:ascii="仿宋" w:hAnsi="仿宋" w:eastAsia="仿宋"/>
          <w:color w:val="000000" w:themeColor="text1"/>
          <w:sz w:val="28"/>
          <w:szCs w:val="28"/>
          <w14:textFill>
            <w14:solidFill>
              <w14:schemeClr w14:val="tx1"/>
            </w14:solidFill>
          </w14:textFill>
        </w:rPr>
      </w:pPr>
      <w:bookmarkStart w:id="5" w:name="_Hlk141283876"/>
      <w:r>
        <w:rPr>
          <w:rFonts w:hint="eastAsia" w:ascii="仿宋" w:hAnsi="仿宋" w:eastAsia="仿宋"/>
          <w:color w:val="000000" w:themeColor="text1"/>
          <w:sz w:val="28"/>
          <w:szCs w:val="28"/>
          <w14:textFill>
            <w14:solidFill>
              <w14:schemeClr w14:val="tx1"/>
            </w14:solidFill>
          </w14:textFill>
        </w:rPr>
        <w:t>（1）《中华人民共和国城乡规划法》</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（2）《苏州市国土空间规划（</w:t>
      </w:r>
      <w:r>
        <w:rPr>
          <w:rFonts w:ascii="仿宋" w:hAnsi="仿宋" w:eastAsia="仿宋"/>
          <w:color w:val="000000" w:themeColor="text1"/>
          <w:sz w:val="28"/>
          <w:szCs w:val="28"/>
          <w14:textFill>
            <w14:solidFill>
              <w14:schemeClr w14:val="tx1"/>
            </w14:solidFill>
          </w14:textFill>
        </w:rPr>
        <w:t>2021</w:t>
      </w:r>
      <w:r>
        <w:rPr>
          <w:rFonts w:hint="eastAsia" w:ascii="仿宋" w:hAnsi="仿宋" w:eastAsia="仿宋"/>
          <w:color w:val="000000" w:themeColor="text1"/>
          <w:sz w:val="28"/>
          <w:szCs w:val="28"/>
          <w14:textFill>
            <w14:solidFill>
              <w14:schemeClr w14:val="tx1"/>
            </w14:solidFill>
          </w14:textFill>
        </w:rPr>
        <w:t>-20</w:t>
      </w:r>
      <w:r>
        <w:rPr>
          <w:rFonts w:ascii="仿宋" w:hAnsi="仿宋" w:eastAsia="仿宋"/>
          <w:color w:val="000000" w:themeColor="text1"/>
          <w:sz w:val="28"/>
          <w:szCs w:val="28"/>
          <w14:textFill>
            <w14:solidFill>
              <w14:schemeClr w14:val="tx1"/>
            </w14:solidFill>
          </w14:textFill>
        </w:rPr>
        <w:t>35</w:t>
      </w:r>
      <w:r>
        <w:rPr>
          <w:rFonts w:hint="eastAsia" w:ascii="仿宋" w:hAnsi="仿宋" w:eastAsia="仿宋"/>
          <w:color w:val="000000" w:themeColor="text1"/>
          <w:sz w:val="28"/>
          <w:szCs w:val="28"/>
          <w14:textFill>
            <w14:solidFill>
              <w14:schemeClr w14:val="tx1"/>
            </w14:solidFill>
          </w14:textFill>
        </w:rPr>
        <w:t>年）》</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）《苏州市培育创建国际消费中心城市三年行动计划（2</w:t>
      </w:r>
      <w:r>
        <w:rPr>
          <w:rFonts w:ascii="仿宋" w:hAnsi="仿宋" w:eastAsia="仿宋"/>
          <w:color w:val="000000" w:themeColor="text1"/>
          <w:sz w:val="28"/>
          <w:szCs w:val="28"/>
          <w14:textFill>
            <w14:solidFill>
              <w14:schemeClr w14:val="tx1"/>
            </w14:solidFill>
          </w14:textFill>
        </w:rPr>
        <w:t>022</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2024</w:t>
      </w:r>
      <w:r>
        <w:rPr>
          <w:rFonts w:hint="eastAsia" w:ascii="仿宋" w:hAnsi="仿宋" w:eastAsia="仿宋"/>
          <w:color w:val="000000" w:themeColor="text1"/>
          <w:sz w:val="28"/>
          <w:szCs w:val="28"/>
          <w14:textFill>
            <w14:solidFill>
              <w14:schemeClr w14:val="tx1"/>
            </w14:solidFill>
          </w14:textFill>
        </w:rPr>
        <w:t>）》</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4</w:t>
      </w:r>
      <w:r>
        <w:rPr>
          <w:rFonts w:hint="eastAsia" w:ascii="仿宋" w:hAnsi="仿宋" w:eastAsia="仿宋"/>
          <w:color w:val="000000" w:themeColor="text1"/>
          <w:sz w:val="28"/>
          <w:szCs w:val="28"/>
          <w14:textFill>
            <w14:solidFill>
              <w14:schemeClr w14:val="tx1"/>
            </w14:solidFill>
          </w14:textFill>
        </w:rPr>
        <w:t>）苏州各县级市国土空间总体规划、苏州市区各区分区规划</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5</w:t>
      </w:r>
      <w:r>
        <w:rPr>
          <w:rFonts w:hint="eastAsia" w:ascii="仿宋" w:hAnsi="仿宋" w:eastAsia="仿宋"/>
          <w:color w:val="000000" w:themeColor="text1"/>
          <w:sz w:val="28"/>
          <w:szCs w:val="28"/>
          <w14:textFill>
            <w14:solidFill>
              <w14:schemeClr w14:val="tx1"/>
            </w14:solidFill>
          </w14:textFill>
        </w:rPr>
        <w:t xml:space="preserve">）《苏州市国民经济与社会发展第十四个五年规划和二〇三五年远景目标纲要》 </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6</w:t>
      </w:r>
      <w:r>
        <w:rPr>
          <w:rFonts w:hint="eastAsia" w:ascii="仿宋" w:hAnsi="仿宋" w:eastAsia="仿宋"/>
          <w:color w:val="000000" w:themeColor="text1"/>
          <w:sz w:val="28"/>
          <w:szCs w:val="28"/>
          <w14:textFill>
            <w14:solidFill>
              <w14:schemeClr w14:val="tx1"/>
            </w14:solidFill>
          </w14:textFill>
        </w:rPr>
        <w:t>）《苏州市商贸业“十四五”发展规划》</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7</w:t>
      </w:r>
      <w:r>
        <w:rPr>
          <w:rFonts w:hint="eastAsia" w:ascii="仿宋" w:hAnsi="仿宋" w:eastAsia="仿宋"/>
          <w:color w:val="000000" w:themeColor="text1"/>
          <w:sz w:val="28"/>
          <w:szCs w:val="28"/>
          <w14:textFill>
            <w14:solidFill>
              <w14:schemeClr w14:val="tx1"/>
            </w14:solidFill>
          </w14:textFill>
        </w:rPr>
        <w:t>）《城市商业网点规划编制规范》商建发（2004）180号</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8</w:t>
      </w:r>
      <w:r>
        <w:rPr>
          <w:rFonts w:hint="eastAsia" w:ascii="仿宋" w:hAnsi="仿宋" w:eastAsia="仿宋"/>
          <w:color w:val="000000" w:themeColor="text1"/>
          <w:sz w:val="28"/>
          <w:szCs w:val="28"/>
          <w14:textFill>
            <w14:solidFill>
              <w14:schemeClr w14:val="tx1"/>
            </w14:solidFill>
          </w14:textFill>
        </w:rPr>
        <w:t>）《商业网点分类》（GB/T34401-2017）</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9</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《城市商业中心等级划分(征求意见稿)》</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0</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国务院办公厅关于加快发展流通促进商业消费的意见</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国办发〔2019〕42号</w:t>
      </w:r>
      <w:r>
        <w:rPr>
          <w:rFonts w:ascii="Calibri" w:hAnsi="Calibri" w:eastAsia="仿宋" w:cs="Calibri"/>
          <w:color w:val="000000" w:themeColor="text1"/>
          <w:sz w:val="28"/>
          <w:szCs w:val="28"/>
          <w14:textFill>
            <w14:solidFill>
              <w14:schemeClr w14:val="tx1"/>
            </w14:solidFill>
          </w14:textFill>
        </w:rPr>
        <w:t> </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《关于推进城市一刻钟便民生活圈建设的意见》</w:t>
      </w:r>
      <w:r>
        <w:rPr>
          <w:rFonts w:hint="eastAsia" w:ascii="仿宋" w:hAnsi="仿宋" w:eastAsia="仿宋"/>
          <w:color w:val="000000" w:themeColor="text1"/>
          <w:sz w:val="28"/>
          <w:szCs w:val="28"/>
          <w14:textFill>
            <w14:solidFill>
              <w14:schemeClr w14:val="tx1"/>
            </w14:solidFill>
          </w14:textFill>
        </w:rPr>
        <w:t>商流通函〔2021年〕176号</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 《苏州市社区商业示范社区建设实施意见 》苏府办（2008）233号</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）《社区商业设施设置与功能要求》（</w:t>
      </w:r>
      <w:r>
        <w:rPr>
          <w:rFonts w:ascii="仿宋" w:hAnsi="仿宋" w:eastAsia="仿宋"/>
          <w:color w:val="000000" w:themeColor="text1"/>
          <w:sz w:val="28"/>
          <w:szCs w:val="28"/>
          <w14:textFill>
            <w14:solidFill>
              <w14:schemeClr w14:val="tx1"/>
            </w14:solidFill>
          </w14:textFill>
        </w:rPr>
        <w:t>GB/T37915-2019</w:t>
      </w:r>
      <w:r>
        <w:rPr>
          <w:rFonts w:hint="eastAsia" w:ascii="仿宋" w:hAnsi="仿宋" w:eastAsia="仿宋"/>
          <w:color w:val="000000" w:themeColor="text1"/>
          <w:sz w:val="28"/>
          <w:szCs w:val="28"/>
          <w14:textFill>
            <w14:solidFill>
              <w14:schemeClr w14:val="tx1"/>
            </w14:solidFill>
          </w14:textFill>
        </w:rPr>
        <w:t>）</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4</w:t>
      </w:r>
      <w:r>
        <w:rPr>
          <w:rFonts w:hint="eastAsia" w:ascii="仿宋" w:hAnsi="仿宋" w:eastAsia="仿宋"/>
          <w:color w:val="000000" w:themeColor="text1"/>
          <w:sz w:val="28"/>
          <w:szCs w:val="28"/>
          <w14:textFill>
            <w14:solidFill>
              <w14:schemeClr w14:val="tx1"/>
            </w14:solidFill>
          </w14:textFill>
        </w:rPr>
        <w:t>）《城市居住区规划设计标准》（GB</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50180-2018）</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5</w:t>
      </w:r>
      <w:r>
        <w:rPr>
          <w:rFonts w:hint="eastAsia" w:ascii="仿宋" w:hAnsi="仿宋" w:eastAsia="仿宋"/>
          <w:color w:val="000000" w:themeColor="text1"/>
          <w:sz w:val="28"/>
          <w:szCs w:val="28"/>
          <w14:textFill>
            <w14:solidFill>
              <w14:schemeClr w14:val="tx1"/>
            </w14:solidFill>
          </w14:textFill>
        </w:rPr>
        <w:t>）《城市公共设施规划规范》（</w:t>
      </w:r>
      <w:r>
        <w:rPr>
          <w:rFonts w:ascii="仿宋" w:hAnsi="仿宋" w:eastAsia="仿宋"/>
          <w:color w:val="000000" w:themeColor="text1"/>
          <w:sz w:val="28"/>
          <w:szCs w:val="28"/>
          <w14:textFill>
            <w14:solidFill>
              <w14:schemeClr w14:val="tx1"/>
            </w14:solidFill>
          </w14:textFill>
        </w:rPr>
        <w:t>GB/50442-2018</w:t>
      </w:r>
      <w:r>
        <w:rPr>
          <w:rFonts w:hint="eastAsia" w:ascii="仿宋" w:hAnsi="仿宋" w:eastAsia="仿宋"/>
          <w:color w:val="000000" w:themeColor="text1"/>
          <w:sz w:val="28"/>
          <w:szCs w:val="28"/>
          <w14:textFill>
            <w14:solidFill>
              <w14:schemeClr w14:val="tx1"/>
            </w14:solidFill>
          </w14:textFill>
        </w:rPr>
        <w:t>）</w:t>
      </w:r>
    </w:p>
    <w:bookmarkEnd w:id="5"/>
    <w:p>
      <w:pPr>
        <w:pStyle w:val="4"/>
        <w:spacing w:line="360" w:lineRule="auto"/>
      </w:pPr>
      <w:r>
        <w:rPr>
          <w:rFonts w:hint="eastAsia"/>
        </w:rPr>
        <w:t>2、规划范围</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本规划范围为苏州市行政辖区，包括张家港市</w:t>
      </w:r>
      <w:r>
        <w:rPr>
          <w:rFonts w:hint="eastAsia" w:ascii="仿宋" w:hAnsi="仿宋" w:eastAsia="仿宋"/>
          <w:color w:val="000000" w:themeColor="text1"/>
          <w:sz w:val="28"/>
          <w:szCs w:val="28"/>
          <w:lang w:eastAsia="zh-CN"/>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常熟市、太仓市、昆山市、吴江区、吴中区、相城区、姑苏区、工业</w:t>
      </w:r>
      <w:bookmarkStart w:id="8" w:name="_GoBack"/>
      <w:bookmarkEnd w:id="8"/>
      <w:r>
        <w:rPr>
          <w:rFonts w:hint="eastAsia" w:ascii="仿宋" w:hAnsi="仿宋" w:eastAsia="仿宋"/>
          <w:color w:val="000000" w:themeColor="text1"/>
          <w:sz w:val="28"/>
          <w:szCs w:val="28"/>
          <w14:textFill>
            <w14:solidFill>
              <w14:schemeClr w14:val="tx1"/>
            </w14:solidFill>
          </w14:textFill>
        </w:rPr>
        <w:t>园区、高新区，总面积8</w:t>
      </w:r>
      <w:r>
        <w:rPr>
          <w:rFonts w:ascii="仿宋" w:hAnsi="仿宋" w:eastAsia="仿宋"/>
          <w:color w:val="000000" w:themeColor="text1"/>
          <w:sz w:val="28"/>
          <w:szCs w:val="28"/>
          <w14:textFill>
            <w14:solidFill>
              <w14:schemeClr w14:val="tx1"/>
            </w14:solidFill>
          </w14:textFill>
        </w:rPr>
        <w:t>657.32</w:t>
      </w:r>
      <w:r>
        <w:rPr>
          <w:rFonts w:hint="eastAsia" w:ascii="仿宋" w:hAnsi="仿宋" w:eastAsia="仿宋"/>
          <w:color w:val="000000" w:themeColor="text1"/>
          <w:sz w:val="28"/>
          <w:szCs w:val="28"/>
          <w14:textFill>
            <w14:solidFill>
              <w14:schemeClr w14:val="tx1"/>
            </w14:solidFill>
          </w14:textFill>
        </w:rPr>
        <w:t>平方公里。</w:t>
      </w:r>
    </w:p>
    <w:p>
      <w:pPr>
        <w:pStyle w:val="4"/>
        <w:spacing w:line="360" w:lineRule="auto"/>
      </w:pPr>
      <w:r>
        <w:rPr>
          <w:rFonts w:hint="eastAsia"/>
        </w:rPr>
        <w:t>3、规划期限</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本规划期限为20</w:t>
      </w:r>
      <w:r>
        <w:rPr>
          <w:rFonts w:ascii="仿宋" w:hAnsi="仿宋" w:eastAsia="仿宋"/>
          <w:color w:val="000000" w:themeColor="text1"/>
          <w:sz w:val="28"/>
          <w:szCs w:val="28"/>
          <w14:textFill>
            <w14:solidFill>
              <w14:schemeClr w14:val="tx1"/>
            </w14:solidFill>
          </w14:textFill>
        </w:rPr>
        <w:t>21</w:t>
      </w:r>
      <w:r>
        <w:rPr>
          <w:rFonts w:hint="eastAsia" w:ascii="仿宋" w:hAnsi="仿宋" w:eastAsia="仿宋"/>
          <w:color w:val="000000" w:themeColor="text1"/>
          <w:sz w:val="28"/>
          <w:szCs w:val="28"/>
          <w14:textFill>
            <w14:solidFill>
              <w14:schemeClr w14:val="tx1"/>
            </w14:solidFill>
          </w14:textFill>
        </w:rPr>
        <w:t>年－2035年。</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近期为20</w:t>
      </w:r>
      <w:r>
        <w:rPr>
          <w:rFonts w:ascii="仿宋" w:hAnsi="仿宋" w:eastAsia="仿宋"/>
          <w:color w:val="000000" w:themeColor="text1"/>
          <w:sz w:val="28"/>
          <w:szCs w:val="28"/>
          <w14:textFill>
            <w14:solidFill>
              <w14:schemeClr w14:val="tx1"/>
            </w14:solidFill>
          </w14:textFill>
        </w:rPr>
        <w:t>21</w:t>
      </w:r>
      <w:r>
        <w:rPr>
          <w:rFonts w:hint="eastAsia" w:ascii="仿宋" w:hAnsi="仿宋" w:eastAsia="仿宋"/>
          <w:color w:val="000000" w:themeColor="text1"/>
          <w:sz w:val="28"/>
          <w:szCs w:val="28"/>
          <w14:textFill>
            <w14:solidFill>
              <w14:schemeClr w14:val="tx1"/>
            </w14:solidFill>
          </w14:textFill>
        </w:rPr>
        <w:t>年-20</w:t>
      </w:r>
      <w:r>
        <w:rPr>
          <w:rFonts w:ascii="仿宋" w:hAnsi="仿宋" w:eastAsia="仿宋"/>
          <w:color w:val="000000" w:themeColor="text1"/>
          <w:sz w:val="28"/>
          <w:szCs w:val="28"/>
          <w14:textFill>
            <w14:solidFill>
              <w14:schemeClr w14:val="tx1"/>
            </w14:solidFill>
          </w14:textFill>
        </w:rPr>
        <w:t>25</w:t>
      </w:r>
      <w:r>
        <w:rPr>
          <w:rFonts w:hint="eastAsia" w:ascii="仿宋" w:hAnsi="仿宋" w:eastAsia="仿宋"/>
          <w:color w:val="000000" w:themeColor="text1"/>
          <w:sz w:val="28"/>
          <w:szCs w:val="28"/>
          <w14:textFill>
            <w14:solidFill>
              <w14:schemeClr w14:val="tx1"/>
            </w14:solidFill>
          </w14:textFill>
        </w:rPr>
        <w:t>年，远期为20</w:t>
      </w:r>
      <w:r>
        <w:rPr>
          <w:rFonts w:ascii="仿宋" w:hAnsi="仿宋" w:eastAsia="仿宋"/>
          <w:color w:val="000000" w:themeColor="text1"/>
          <w:sz w:val="28"/>
          <w:szCs w:val="28"/>
          <w14:textFill>
            <w14:solidFill>
              <w14:schemeClr w14:val="tx1"/>
            </w14:solidFill>
          </w14:textFill>
        </w:rPr>
        <w:t>26</w:t>
      </w:r>
      <w:r>
        <w:rPr>
          <w:rFonts w:hint="eastAsia" w:ascii="仿宋" w:hAnsi="仿宋" w:eastAsia="仿宋"/>
          <w:color w:val="000000" w:themeColor="text1"/>
          <w:sz w:val="28"/>
          <w:szCs w:val="28"/>
          <w14:textFill>
            <w14:solidFill>
              <w14:schemeClr w14:val="tx1"/>
            </w14:solidFill>
          </w14:textFill>
        </w:rPr>
        <w:t>年-2035年。</w:t>
      </w:r>
    </w:p>
    <w:bookmarkEnd w:id="1"/>
    <w:p>
      <w:pPr>
        <w:pStyle w:val="4"/>
        <w:spacing w:line="360" w:lineRule="auto"/>
      </w:pPr>
      <w:bookmarkStart w:id="6" w:name="_Hlk142467768"/>
      <w:r>
        <w:rPr>
          <w:rFonts w:hint="eastAsia"/>
        </w:rPr>
        <w:t>4、规划对象</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规划对象</w:t>
      </w:r>
      <w:r>
        <w:rPr>
          <w:rFonts w:ascii="仿宋" w:hAnsi="仿宋" w:eastAsia="仿宋"/>
          <w:color w:val="000000" w:themeColor="text1"/>
          <w:sz w:val="28"/>
          <w:szCs w:val="28"/>
          <w14:textFill>
            <w14:solidFill>
              <w14:schemeClr w14:val="tx1"/>
            </w14:solidFill>
          </w14:textFill>
        </w:rPr>
        <w:t>覆盖依托商业空间开展的各类消费活动，既包括零售、</w:t>
      </w:r>
      <w:bookmarkStart w:id="7" w:name="_Hlk142467743"/>
      <w:r>
        <w:rPr>
          <w:rFonts w:ascii="仿宋" w:hAnsi="仿宋" w:eastAsia="仿宋"/>
          <w:color w:val="000000" w:themeColor="text1"/>
          <w:sz w:val="28"/>
          <w:szCs w:val="28"/>
          <w14:textFill>
            <w14:solidFill>
              <w14:schemeClr w14:val="tx1"/>
            </w14:solidFill>
          </w14:textFill>
        </w:rPr>
        <w:t>批发、餐饮、生活服务等传统商业功能业态，也包括文化、旅游、体育、健康养老、信息、金融等消费内容。同时将首发经济、夜间经济等新兴消费模式与空间纳入研究范畴，指导商贸物流、商业数字化等配套支撑体系的规划建设。</w:t>
      </w:r>
      <w:bookmarkEnd w:id="7"/>
    </w:p>
    <w:bookmarkEnd w:id="6"/>
    <w:p>
      <w:pPr>
        <w:pStyle w:val="2"/>
        <w:spacing w:line="360" w:lineRule="auto"/>
      </w:pPr>
      <w:r>
        <w:rPr>
          <w:rFonts w:hint="eastAsia"/>
        </w:rPr>
        <w:t>三、规划原则</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1、以人为本、需求导向。</w:t>
      </w:r>
      <w:r>
        <w:rPr>
          <w:rFonts w:hint="eastAsia" w:ascii="仿宋" w:hAnsi="仿宋" w:eastAsia="仿宋"/>
          <w:color w:val="000000" w:themeColor="text1"/>
          <w:sz w:val="28"/>
          <w:szCs w:val="28"/>
          <w14:textFill>
            <w14:solidFill>
              <w14:schemeClr w14:val="tx1"/>
            </w14:solidFill>
          </w14:textFill>
        </w:rPr>
        <w:t>顺应苏州市消费升级趋势，增强商业供给结构对需求变化的适应性和灵活性，提供新业态下的新空间和新场景，完善商业空间的建设，满足不同群体消费者多层次、多样化消费需求。</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2、体系完善，科学布局。</w:t>
      </w:r>
      <w:r>
        <w:rPr>
          <w:rFonts w:hint="eastAsia" w:ascii="仿宋" w:hAnsi="仿宋" w:eastAsia="仿宋"/>
          <w:color w:val="000000" w:themeColor="text1"/>
          <w:sz w:val="28"/>
          <w:szCs w:val="28"/>
          <w14:textFill>
            <w14:solidFill>
              <w14:schemeClr w14:val="tx1"/>
            </w14:solidFill>
          </w14:textFill>
        </w:rPr>
        <w:t>构建与苏州市国土空间结构和商业辐射能力相适应的多元融合、统筹城乡的商业空间体系，有机组织市域商业空间网络。结合古城、新区、市镇、景区等不同区域特点，科学匹配商业设施。</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3</w:t>
      </w:r>
      <w:r>
        <w:rPr>
          <w:rFonts w:hint="eastAsia" w:ascii="仿宋" w:hAnsi="仿宋" w:eastAsia="仿宋"/>
          <w:b/>
          <w:color w:val="000000" w:themeColor="text1"/>
          <w:sz w:val="28"/>
          <w:szCs w:val="28"/>
          <w14:textFill>
            <w14:solidFill>
              <w14:schemeClr w14:val="tx1"/>
            </w14:solidFill>
          </w14:textFill>
        </w:rPr>
        <w:t>、品质提升，特色彰显。</w:t>
      </w:r>
      <w:r>
        <w:rPr>
          <w:rFonts w:ascii="仿宋" w:hAnsi="仿宋" w:eastAsia="仿宋"/>
          <w:color w:val="000000" w:themeColor="text1"/>
          <w:sz w:val="28"/>
          <w:szCs w:val="28"/>
          <w14:textFill>
            <w14:solidFill>
              <w14:schemeClr w14:val="tx1"/>
            </w14:solidFill>
          </w14:textFill>
        </w:rPr>
        <w:t>针对性改造存量商业空间，积极探索新型商业形式。</w:t>
      </w:r>
      <w:r>
        <w:rPr>
          <w:rFonts w:hint="eastAsia" w:ascii="仿宋" w:hAnsi="仿宋" w:eastAsia="仿宋"/>
          <w:color w:val="000000" w:themeColor="text1"/>
          <w:sz w:val="28"/>
          <w:szCs w:val="28"/>
          <w14:textFill>
            <w14:solidFill>
              <w14:schemeClr w14:val="tx1"/>
            </w14:solidFill>
          </w14:textFill>
        </w:rPr>
        <w:t>做大做强国际消费集聚区，突出文化嵌入，充分彰显苏州商业空间“双面绣”的文化特色，打造地标性商业空间</w:t>
      </w:r>
      <w:r>
        <w:rPr>
          <w:rFonts w:ascii="仿宋" w:hAnsi="仿宋" w:eastAsia="仿宋"/>
          <w:color w:val="000000" w:themeColor="text1"/>
          <w:sz w:val="28"/>
          <w:szCs w:val="28"/>
          <w14:textFill>
            <w14:solidFill>
              <w14:schemeClr w14:val="tx1"/>
            </w14:solidFill>
          </w14:textFill>
        </w:rPr>
        <w:t>。</w:t>
      </w:r>
    </w:p>
    <w:p>
      <w:pPr>
        <w:ind w:firstLine="560"/>
        <w:rPr>
          <w:rFonts w:ascii="仿宋" w:hAnsi="仿宋" w:eastAsia="仿宋"/>
          <w:bCs/>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4、市场主导，创新转型。</w:t>
      </w:r>
      <w:r>
        <w:rPr>
          <w:rFonts w:hint="eastAsia" w:ascii="仿宋" w:hAnsi="仿宋" w:eastAsia="仿宋"/>
          <w:color w:val="000000" w:themeColor="text1"/>
          <w:sz w:val="28"/>
          <w:szCs w:val="28"/>
          <w14:textFill>
            <w14:solidFill>
              <w14:schemeClr w14:val="tx1"/>
            </w14:solidFill>
          </w14:textFill>
        </w:rPr>
        <w:t>坚持市场思维，激发市场主体的创新活力，增强内生动力。创新消费模式，优化消费环境，</w:t>
      </w:r>
      <w:r>
        <w:rPr>
          <w:rFonts w:ascii="仿宋" w:hAnsi="仿宋" w:eastAsia="仿宋"/>
          <w:color w:val="000000" w:themeColor="text1"/>
          <w:sz w:val="28"/>
          <w:szCs w:val="28"/>
          <w14:textFill>
            <w14:solidFill>
              <w14:schemeClr w14:val="tx1"/>
            </w14:solidFill>
          </w14:textFill>
        </w:rPr>
        <w:t>推进数字化改造，加大移动互联网、物联网、大数据等信息技术应用，促进线上线下深度融合。</w:t>
      </w:r>
    </w:p>
    <w:p>
      <w:pPr>
        <w:pStyle w:val="2"/>
        <w:spacing w:line="360" w:lineRule="auto"/>
      </w:pPr>
      <w:r>
        <w:rPr>
          <w:rFonts w:hint="eastAsia"/>
        </w:rPr>
        <w:t>四、主要内容</w:t>
      </w:r>
    </w:p>
    <w:p>
      <w:pPr>
        <w:pStyle w:val="3"/>
        <w:spacing w:line="360" w:lineRule="auto"/>
      </w:pPr>
      <w:r>
        <w:rPr>
          <w:rFonts w:hint="eastAsia"/>
        </w:rPr>
        <w:t>（一）发展目标</w:t>
      </w:r>
    </w:p>
    <w:p>
      <w:pPr>
        <w:pStyle w:val="3"/>
        <w:spacing w:line="360" w:lineRule="auto"/>
      </w:pPr>
      <w:r>
        <w:rPr>
          <w:rFonts w:hint="eastAsia"/>
        </w:rPr>
        <w:t>1、近期发展目标</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以满足人民美好生活向往为出发点和落脚点，坚持扩大内需的战略基点，加快推动消费提质扩容，力争至2</w:t>
      </w:r>
      <w:r>
        <w:rPr>
          <w:rFonts w:ascii="仿宋" w:hAnsi="仿宋" w:eastAsia="仿宋"/>
          <w:color w:val="000000" w:themeColor="text1"/>
          <w:sz w:val="28"/>
          <w:szCs w:val="28"/>
          <w14:textFill>
            <w14:solidFill>
              <w14:schemeClr w14:val="tx1"/>
            </w14:solidFill>
          </w14:textFill>
        </w:rPr>
        <w:t>025</w:t>
      </w:r>
      <w:r>
        <w:rPr>
          <w:rFonts w:hint="eastAsia" w:ascii="仿宋" w:hAnsi="仿宋" w:eastAsia="仿宋"/>
          <w:color w:val="000000" w:themeColor="text1"/>
          <w:sz w:val="28"/>
          <w:szCs w:val="28"/>
          <w14:textFill>
            <w14:solidFill>
              <w14:schemeClr w14:val="tx1"/>
            </w14:solidFill>
          </w14:textFill>
        </w:rPr>
        <w:t>年基本构建层级清晰、布局协调、功能完善、品质精良的城市商业空间体系，</w:t>
      </w:r>
      <w:r>
        <w:rPr>
          <w:rFonts w:hint="eastAsia" w:ascii="仿宋" w:hAnsi="仿宋" w:eastAsia="仿宋"/>
          <w:b/>
          <w:color w:val="000000" w:themeColor="text1"/>
          <w:sz w:val="28"/>
          <w:szCs w:val="28"/>
          <w14:textFill>
            <w14:solidFill>
              <w14:schemeClr w14:val="tx1"/>
            </w14:solidFill>
          </w14:textFill>
        </w:rPr>
        <w:t>城市消费繁荣度、商业活跃度、到达便利度和消费政策引领度显著提升，培育创建国际消费中心城市取得新突破，成为服务华东、辐射全国，具有较强竞争力和美誉度的国际商贸城市。</w:t>
      </w:r>
    </w:p>
    <w:p>
      <w:pPr>
        <w:pStyle w:val="4"/>
        <w:spacing w:line="360" w:lineRule="auto"/>
      </w:pPr>
      <w:r>
        <w:rPr>
          <w:rFonts w:hint="eastAsia"/>
        </w:rPr>
        <w:t>2、远期发展目标</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提供高度匹配苏州建设现代化国际大都市、美丽幸福新天堂发展愿景的体系健全、布局精准、业态先进、品质卓越的商业体系，集聚全球优质消费品和商贸主体，推动服务供给提质扩容，打造世界级文旅消费名片，构建充分体现中国特色、时代特征、苏州特点的商业文明，将苏州打造成为</w:t>
      </w:r>
      <w:r>
        <w:rPr>
          <w:rFonts w:hint="eastAsia" w:ascii="仿宋" w:hAnsi="仿宋" w:eastAsia="仿宋"/>
          <w:b/>
          <w:color w:val="000000" w:themeColor="text1"/>
          <w:sz w:val="28"/>
          <w:szCs w:val="28"/>
          <w14:textFill>
            <w14:solidFill>
              <w14:schemeClr w14:val="tx1"/>
            </w14:solidFill>
          </w14:textFill>
        </w:rPr>
        <w:t>国际化商务服务中心、枢纽型商贸流通中心、品质型体验消费中心和智慧型商业创新中心</w:t>
      </w:r>
      <w:r>
        <w:rPr>
          <w:rFonts w:hint="eastAsia" w:ascii="仿宋" w:hAnsi="仿宋" w:eastAsia="仿宋"/>
          <w:color w:val="000000" w:themeColor="text1"/>
          <w:sz w:val="28"/>
          <w:szCs w:val="28"/>
          <w14:textFill>
            <w14:solidFill>
              <w14:schemeClr w14:val="tx1"/>
            </w14:solidFill>
          </w14:textFill>
        </w:rPr>
        <w:t>，全面建设成为</w:t>
      </w:r>
      <w:r>
        <w:rPr>
          <w:rFonts w:hint="eastAsia" w:ascii="仿宋" w:hAnsi="仿宋" w:eastAsia="仿宋"/>
          <w:b/>
          <w:color w:val="000000" w:themeColor="text1"/>
          <w:sz w:val="28"/>
          <w:szCs w:val="28"/>
          <w14:textFill>
            <w14:solidFill>
              <w14:schemeClr w14:val="tx1"/>
            </w14:solidFill>
          </w14:textFill>
        </w:rPr>
        <w:t>国际国内知名、长三角内具有重要影响力和独具魅力的国际消费中心城市和具有全球吸引力的乐购天堂。</w:t>
      </w:r>
    </w:p>
    <w:p>
      <w:pPr>
        <w:pStyle w:val="3"/>
        <w:spacing w:line="360" w:lineRule="auto"/>
      </w:pPr>
      <w:r>
        <w:rPr>
          <w:rFonts w:hint="eastAsia"/>
        </w:rPr>
        <w:t>（二）空间布局</w:t>
      </w:r>
    </w:p>
    <w:p>
      <w:pPr>
        <w:pStyle w:val="4"/>
        <w:spacing w:line="360" w:lineRule="auto"/>
      </w:pPr>
      <w:r>
        <w:rPr>
          <w:rFonts w:hint="eastAsia"/>
        </w:rPr>
        <w:t>1、商业空间体系框架</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对应</w:t>
      </w:r>
      <w:r>
        <w:rPr>
          <w:rFonts w:hint="eastAsia" w:ascii="仿宋" w:hAnsi="仿宋" w:eastAsia="仿宋"/>
          <w:color w:val="000000" w:themeColor="text1"/>
          <w:sz w:val="28"/>
          <w:szCs w:val="28"/>
          <w14:textFill>
            <w14:solidFill>
              <w14:schemeClr w14:val="tx1"/>
            </w14:solidFill>
          </w14:textFill>
        </w:rPr>
        <w:t>国土空间</w:t>
      </w:r>
      <w:r>
        <w:rPr>
          <w:rFonts w:ascii="仿宋" w:hAnsi="仿宋" w:eastAsia="仿宋"/>
          <w:color w:val="000000" w:themeColor="text1"/>
          <w:sz w:val="28"/>
          <w:szCs w:val="28"/>
          <w14:textFill>
            <w14:solidFill>
              <w14:schemeClr w14:val="tx1"/>
            </w14:solidFill>
          </w14:textFill>
        </w:rPr>
        <w:t>规划确定的城镇空间体系和公共中心体系，匹配</w:t>
      </w:r>
      <w:r>
        <w:rPr>
          <w:rFonts w:hint="eastAsia" w:ascii="仿宋" w:hAnsi="仿宋" w:eastAsia="仿宋"/>
          <w:color w:val="000000" w:themeColor="text1"/>
          <w:sz w:val="28"/>
          <w:szCs w:val="28"/>
          <w14:textFill>
            <w14:solidFill>
              <w14:schemeClr w14:val="tx1"/>
            </w14:solidFill>
          </w14:textFill>
        </w:rPr>
        <w:t>培育创建</w:t>
      </w:r>
      <w:r>
        <w:rPr>
          <w:rFonts w:ascii="仿宋" w:hAnsi="仿宋" w:eastAsia="仿宋"/>
          <w:color w:val="000000" w:themeColor="text1"/>
          <w:sz w:val="28"/>
          <w:szCs w:val="28"/>
          <w14:textFill>
            <w14:solidFill>
              <w14:schemeClr w14:val="tx1"/>
            </w14:solidFill>
          </w14:textFill>
        </w:rPr>
        <w:t>国际消费中心城市的总体发展目标，在全市构建</w:t>
      </w:r>
      <w:r>
        <w:rPr>
          <w:rFonts w:ascii="仿宋" w:hAnsi="仿宋" w:eastAsia="仿宋"/>
          <w:b/>
          <w:bCs/>
          <w:color w:val="000000" w:themeColor="text1"/>
          <w:sz w:val="28"/>
          <w:szCs w:val="28"/>
          <w14:textFill>
            <w14:solidFill>
              <w14:schemeClr w14:val="tx1"/>
            </w14:solidFill>
          </w14:textFill>
        </w:rPr>
        <w:t>“442”的商业空间体系</w:t>
      </w:r>
      <w:r>
        <w:rPr>
          <w:rFonts w:ascii="仿宋" w:hAnsi="仿宋" w:eastAsia="仿宋"/>
          <w:color w:val="000000" w:themeColor="text1"/>
          <w:sz w:val="28"/>
          <w:szCs w:val="28"/>
          <w14:textFill>
            <w14:solidFill>
              <w14:schemeClr w14:val="tx1"/>
            </w14:solidFill>
          </w14:textFill>
        </w:rPr>
        <w:t>，包括由</w:t>
      </w:r>
      <w:r>
        <w:rPr>
          <w:rFonts w:ascii="仿宋" w:hAnsi="仿宋" w:eastAsia="仿宋"/>
          <w:b/>
          <w:bCs/>
          <w:color w:val="000000" w:themeColor="text1"/>
          <w:sz w:val="28"/>
          <w:szCs w:val="28"/>
          <w14:textFill>
            <w14:solidFill>
              <w14:schemeClr w14:val="tx1"/>
            </w14:solidFill>
          </w14:textFill>
        </w:rPr>
        <w:t>“国际消费集聚区、</w:t>
      </w:r>
      <w:r>
        <w:rPr>
          <w:rFonts w:hint="eastAsia" w:ascii="仿宋" w:hAnsi="仿宋" w:eastAsia="仿宋"/>
          <w:b/>
          <w:bCs/>
          <w:color w:val="000000" w:themeColor="text1"/>
          <w:sz w:val="28"/>
          <w:szCs w:val="28"/>
          <w14:textFill>
            <w14:solidFill>
              <w14:schemeClr w14:val="tx1"/>
            </w14:solidFill>
          </w14:textFill>
        </w:rPr>
        <w:t>城市消费中心</w:t>
      </w:r>
      <w:r>
        <w:rPr>
          <w:rFonts w:ascii="仿宋" w:hAnsi="仿宋" w:eastAsia="仿宋"/>
          <w:b/>
          <w:bCs/>
          <w:color w:val="000000" w:themeColor="text1"/>
          <w:sz w:val="28"/>
          <w:szCs w:val="28"/>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区域消费中心</w:t>
      </w:r>
      <w:r>
        <w:rPr>
          <w:rFonts w:ascii="仿宋" w:hAnsi="仿宋" w:eastAsia="仿宋"/>
          <w:b/>
          <w:bCs/>
          <w:color w:val="000000" w:themeColor="text1"/>
          <w:sz w:val="28"/>
          <w:szCs w:val="28"/>
          <w14:textFill>
            <w14:solidFill>
              <w14:schemeClr w14:val="tx1"/>
            </w14:solidFill>
          </w14:textFill>
        </w:rPr>
        <w:t>、社区</w:t>
      </w:r>
      <w:r>
        <w:rPr>
          <w:rFonts w:hint="eastAsia" w:ascii="仿宋" w:hAnsi="仿宋" w:eastAsia="仿宋"/>
          <w:b/>
          <w:bCs/>
          <w:color w:val="000000" w:themeColor="text1"/>
          <w:sz w:val="28"/>
          <w:szCs w:val="28"/>
          <w14:textFill>
            <w14:solidFill>
              <w14:schemeClr w14:val="tx1"/>
            </w14:solidFill>
          </w14:textFill>
        </w:rPr>
        <w:t>生活消费圈</w:t>
      </w:r>
      <w:r>
        <w:rPr>
          <w:rFonts w:ascii="仿宋" w:hAnsi="仿宋" w:eastAsia="仿宋"/>
          <w:b/>
          <w:bCs/>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构成的4级商业</w:t>
      </w:r>
      <w:r>
        <w:rPr>
          <w:rFonts w:hint="eastAsia" w:ascii="仿宋" w:hAnsi="仿宋" w:eastAsia="仿宋"/>
          <w:color w:val="000000" w:themeColor="text1"/>
          <w:sz w:val="28"/>
          <w:szCs w:val="28"/>
          <w14:textFill>
            <w14:solidFill>
              <w14:schemeClr w14:val="tx1"/>
            </w14:solidFill>
          </w14:textFill>
        </w:rPr>
        <w:t>消费中心</w:t>
      </w:r>
      <w:r>
        <w:rPr>
          <w:rFonts w:ascii="仿宋" w:hAnsi="仿宋" w:eastAsia="仿宋"/>
          <w:color w:val="000000" w:themeColor="text1"/>
          <w:sz w:val="28"/>
          <w:szCs w:val="28"/>
          <w14:textFill>
            <w14:solidFill>
              <w14:schemeClr w14:val="tx1"/>
            </w14:solidFill>
          </w14:textFill>
        </w:rPr>
        <w:t>，</w:t>
      </w:r>
      <w:r>
        <w:rPr>
          <w:rFonts w:ascii="仿宋" w:hAnsi="仿宋" w:eastAsia="仿宋"/>
          <w:b/>
          <w:bCs/>
          <w:color w:val="000000" w:themeColor="text1"/>
          <w:sz w:val="28"/>
          <w:szCs w:val="28"/>
          <w14:textFill>
            <w14:solidFill>
              <w14:schemeClr w14:val="tx1"/>
            </w14:solidFill>
          </w14:textFill>
        </w:rPr>
        <w:t>“特色商业街区、夜间经济集聚区、</w:t>
      </w:r>
      <w:r>
        <w:rPr>
          <w:rFonts w:hint="eastAsia" w:ascii="仿宋" w:hAnsi="仿宋" w:eastAsia="仿宋"/>
          <w:b/>
          <w:bCs/>
          <w:color w:val="000000" w:themeColor="text1"/>
          <w:sz w:val="28"/>
          <w:szCs w:val="28"/>
          <w14:textFill>
            <w14:solidFill>
              <w14:schemeClr w14:val="tx1"/>
            </w14:solidFill>
          </w14:textFill>
        </w:rPr>
        <w:t>首店</w:t>
      </w:r>
      <w:r>
        <w:rPr>
          <w:rFonts w:ascii="仿宋" w:hAnsi="仿宋" w:eastAsia="仿宋"/>
          <w:b/>
          <w:bCs/>
          <w:color w:val="000000" w:themeColor="text1"/>
          <w:sz w:val="28"/>
          <w:szCs w:val="28"/>
          <w14:textFill>
            <w14:solidFill>
              <w14:schemeClr w14:val="tx1"/>
            </w14:solidFill>
          </w14:textFill>
        </w:rPr>
        <w:t>首发经济示范区、</w:t>
      </w:r>
      <w:r>
        <w:rPr>
          <w:rFonts w:hint="eastAsia" w:ascii="仿宋" w:hAnsi="仿宋" w:eastAsia="仿宋"/>
          <w:b/>
          <w:bCs/>
          <w:color w:val="000000" w:themeColor="text1"/>
          <w:sz w:val="28"/>
          <w:szCs w:val="28"/>
          <w14:textFill>
            <w14:solidFill>
              <w14:schemeClr w14:val="tx1"/>
            </w14:solidFill>
          </w14:textFill>
        </w:rPr>
        <w:t>商品交易市场</w:t>
      </w:r>
      <w:r>
        <w:rPr>
          <w:rFonts w:ascii="仿宋" w:hAnsi="仿宋" w:eastAsia="仿宋"/>
          <w:b/>
          <w:bCs/>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构成的4个特色商业功能区，以及以</w:t>
      </w:r>
      <w:r>
        <w:rPr>
          <w:rFonts w:ascii="仿宋" w:hAnsi="仿宋" w:eastAsia="仿宋"/>
          <w:b/>
          <w:bCs/>
          <w:color w:val="000000" w:themeColor="text1"/>
          <w:sz w:val="28"/>
          <w:szCs w:val="28"/>
          <w14:textFill>
            <w14:solidFill>
              <w14:schemeClr w14:val="tx1"/>
            </w14:solidFill>
          </w14:textFill>
        </w:rPr>
        <w:t>“商贸物流体系</w:t>
      </w:r>
      <w:r>
        <w:rPr>
          <w:rFonts w:hint="eastAsia" w:ascii="仿宋" w:hAnsi="仿宋" w:eastAsia="仿宋"/>
          <w:b/>
          <w:bCs/>
          <w:color w:val="000000" w:themeColor="text1"/>
          <w:sz w:val="28"/>
          <w:szCs w:val="28"/>
          <w14:textFill>
            <w14:solidFill>
              <w14:schemeClr w14:val="tx1"/>
            </w14:solidFill>
          </w14:textFill>
        </w:rPr>
        <w:t>和</w:t>
      </w:r>
      <w:r>
        <w:rPr>
          <w:rFonts w:ascii="仿宋" w:hAnsi="仿宋" w:eastAsia="仿宋"/>
          <w:b/>
          <w:bCs/>
          <w:color w:val="000000" w:themeColor="text1"/>
          <w:sz w:val="28"/>
          <w:szCs w:val="28"/>
          <w14:textFill>
            <w14:solidFill>
              <w14:schemeClr w14:val="tx1"/>
            </w14:solidFill>
          </w14:textFill>
        </w:rPr>
        <w:t>商业数字化体系”</w:t>
      </w:r>
      <w:r>
        <w:rPr>
          <w:rFonts w:ascii="仿宋" w:hAnsi="仿宋" w:eastAsia="仿宋"/>
          <w:color w:val="000000" w:themeColor="text1"/>
          <w:sz w:val="28"/>
          <w:szCs w:val="28"/>
          <w14:textFill>
            <w14:solidFill>
              <w14:schemeClr w14:val="tx1"/>
            </w14:solidFill>
          </w14:textFill>
        </w:rPr>
        <w:t>为主的 2个配套支撑体系。</w:t>
      </w:r>
    </w:p>
    <w:p>
      <w:pPr>
        <w:pStyle w:val="4"/>
        <w:spacing w:line="360" w:lineRule="auto"/>
      </w:pPr>
      <w:r>
        <w:rPr>
          <w:rFonts w:hint="eastAsia"/>
        </w:rPr>
        <w:t>2、国际消费集聚区</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国际消费</w:t>
      </w:r>
      <w:r>
        <w:rPr>
          <w:rFonts w:hint="eastAsia" w:ascii="仿宋" w:hAnsi="仿宋" w:eastAsia="仿宋"/>
          <w:color w:val="000000" w:themeColor="text1"/>
          <w:sz w:val="28"/>
          <w:szCs w:val="28"/>
          <w14:textFill>
            <w14:solidFill>
              <w14:schemeClr w14:val="tx1"/>
            </w14:solidFill>
          </w14:textFill>
        </w:rPr>
        <w:t>集聚</w:t>
      </w:r>
      <w:r>
        <w:rPr>
          <w:rFonts w:ascii="仿宋" w:hAnsi="仿宋" w:eastAsia="仿宋"/>
          <w:color w:val="000000" w:themeColor="text1"/>
          <w:sz w:val="28"/>
          <w:szCs w:val="28"/>
          <w14:textFill>
            <w14:solidFill>
              <w14:schemeClr w14:val="tx1"/>
            </w14:solidFill>
          </w14:textFill>
        </w:rPr>
        <w:t>区是苏州培育国际消费中心城市的核心承载区，面向国内和国外的广域性消费人群，吸引国内外高端商业品牌和资源集聚，提供国际化、高端化的购物、文化、旅游、金融商务、休闲娱乐、酒店会展等综合消费服务的区域。</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本次规划共划定了</w:t>
      </w:r>
      <w:r>
        <w:rPr>
          <w:rFonts w:ascii="仿宋" w:hAnsi="仿宋" w:eastAsia="仿宋"/>
          <w:b/>
          <w:color w:val="000000" w:themeColor="text1"/>
          <w:sz w:val="28"/>
          <w:szCs w:val="28"/>
          <w14:textFill>
            <w14:solidFill>
              <w14:schemeClr w14:val="tx1"/>
            </w14:solidFill>
          </w14:textFill>
        </w:rPr>
        <w:t>两个国际消费</w:t>
      </w:r>
      <w:r>
        <w:rPr>
          <w:rFonts w:hint="eastAsia" w:ascii="仿宋" w:hAnsi="仿宋" w:eastAsia="仿宋"/>
          <w:b/>
          <w:color w:val="000000" w:themeColor="text1"/>
          <w:sz w:val="28"/>
          <w:szCs w:val="28"/>
          <w14:textFill>
            <w14:solidFill>
              <w14:schemeClr w14:val="tx1"/>
            </w14:solidFill>
          </w14:textFill>
        </w:rPr>
        <w:t>集聚</w:t>
      </w:r>
      <w:r>
        <w:rPr>
          <w:rFonts w:ascii="仿宋" w:hAnsi="仿宋" w:eastAsia="仿宋"/>
          <w:b/>
          <w:color w:val="000000" w:themeColor="text1"/>
          <w:sz w:val="28"/>
          <w:szCs w:val="28"/>
          <w14:textFill>
            <w14:solidFill>
              <w14:schemeClr w14:val="tx1"/>
            </w14:solidFill>
          </w14:textFill>
        </w:rPr>
        <w:t>区</w:t>
      </w:r>
      <w:r>
        <w:rPr>
          <w:rFonts w:ascii="仿宋" w:hAnsi="仿宋" w:eastAsia="仿宋"/>
          <w:color w:val="000000" w:themeColor="text1"/>
          <w:sz w:val="28"/>
          <w:szCs w:val="28"/>
          <w14:textFill>
            <w14:solidFill>
              <w14:schemeClr w14:val="tx1"/>
            </w14:solidFill>
          </w14:textFill>
        </w:rPr>
        <w:t>，</w:t>
      </w:r>
      <w:r>
        <w:rPr>
          <w:rFonts w:ascii="仿宋" w:hAnsi="仿宋" w:eastAsia="仿宋"/>
          <w:b/>
          <w:color w:val="000000" w:themeColor="text1"/>
          <w:sz w:val="28"/>
          <w:szCs w:val="28"/>
          <w14:textFill>
            <w14:solidFill>
              <w14:schemeClr w14:val="tx1"/>
            </w14:solidFill>
          </w14:textFill>
        </w:rPr>
        <w:t>环金鸡湖国际消费</w:t>
      </w:r>
      <w:r>
        <w:rPr>
          <w:rFonts w:hint="eastAsia" w:ascii="仿宋" w:hAnsi="仿宋" w:eastAsia="仿宋"/>
          <w:b/>
          <w:color w:val="000000" w:themeColor="text1"/>
          <w:sz w:val="28"/>
          <w:szCs w:val="28"/>
          <w14:textFill>
            <w14:solidFill>
              <w14:schemeClr w14:val="tx1"/>
            </w14:solidFill>
          </w14:textFill>
        </w:rPr>
        <w:t>集聚</w:t>
      </w:r>
      <w:r>
        <w:rPr>
          <w:rFonts w:ascii="仿宋" w:hAnsi="仿宋" w:eastAsia="仿宋"/>
          <w:b/>
          <w:color w:val="000000" w:themeColor="text1"/>
          <w:sz w:val="28"/>
          <w:szCs w:val="28"/>
          <w14:textFill>
            <w14:solidFill>
              <w14:schemeClr w14:val="tx1"/>
            </w14:solidFill>
          </w14:textFill>
        </w:rPr>
        <w:t>区</w:t>
      </w:r>
      <w:r>
        <w:rPr>
          <w:rFonts w:hint="eastAsia" w:ascii="仿宋" w:hAnsi="仿宋" w:eastAsia="仿宋"/>
          <w:b/>
          <w:color w:val="000000" w:themeColor="text1"/>
          <w:sz w:val="28"/>
          <w:szCs w:val="28"/>
          <w14:textFill>
            <w14:solidFill>
              <w14:schemeClr w14:val="tx1"/>
            </w14:solidFill>
          </w14:textFill>
        </w:rPr>
        <w:t>和</w:t>
      </w:r>
      <w:r>
        <w:rPr>
          <w:rFonts w:ascii="仿宋" w:hAnsi="仿宋" w:eastAsia="仿宋"/>
          <w:b/>
          <w:color w:val="000000" w:themeColor="text1"/>
          <w:sz w:val="28"/>
          <w:szCs w:val="28"/>
          <w14:textFill>
            <w14:solidFill>
              <w14:schemeClr w14:val="tx1"/>
            </w14:solidFill>
          </w14:textFill>
        </w:rPr>
        <w:t>古城国际消费</w:t>
      </w:r>
      <w:r>
        <w:rPr>
          <w:rFonts w:hint="eastAsia" w:ascii="仿宋" w:hAnsi="仿宋" w:eastAsia="仿宋"/>
          <w:b/>
          <w:color w:val="000000" w:themeColor="text1"/>
          <w:sz w:val="28"/>
          <w:szCs w:val="28"/>
          <w14:textFill>
            <w14:solidFill>
              <w14:schemeClr w14:val="tx1"/>
            </w14:solidFill>
          </w14:textFill>
        </w:rPr>
        <w:t>集聚</w:t>
      </w:r>
      <w:r>
        <w:rPr>
          <w:rFonts w:ascii="仿宋" w:hAnsi="仿宋" w:eastAsia="仿宋"/>
          <w:b/>
          <w:color w:val="000000" w:themeColor="text1"/>
          <w:sz w:val="28"/>
          <w:szCs w:val="28"/>
          <w14:textFill>
            <w14:solidFill>
              <w14:schemeClr w14:val="tx1"/>
            </w14:solidFill>
          </w14:textFill>
        </w:rPr>
        <w:t>区</w:t>
      </w:r>
      <w:r>
        <w:rPr>
          <w:rFonts w:hint="eastAsia" w:ascii="仿宋" w:hAnsi="仿宋" w:eastAsia="仿宋"/>
          <w:color w:val="000000" w:themeColor="text1"/>
          <w:sz w:val="28"/>
          <w:szCs w:val="28"/>
          <w14:textFill>
            <w14:solidFill>
              <w14:schemeClr w14:val="tx1"/>
            </w14:solidFill>
          </w14:textFill>
        </w:rPr>
        <w:t>。</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环金鸡湖国际消费集聚区</w:t>
      </w:r>
      <w:r>
        <w:rPr>
          <w:rFonts w:hint="eastAsia" w:ascii="仿宋" w:hAnsi="仿宋" w:eastAsia="仿宋"/>
          <w:color w:val="000000" w:themeColor="text1"/>
          <w:sz w:val="28"/>
          <w:szCs w:val="28"/>
          <w14:textFill>
            <w14:solidFill>
              <w14:schemeClr w14:val="tx1"/>
            </w14:solidFill>
          </w14:textFill>
        </w:rPr>
        <w:t>围绕金鸡湖，依托湖西、湖东两大商业中心和李公堤休闲商业街、月光码头滨水商业街区、中环广场、圆融时代广场购物街区、比斯特苏州购物村、阳澄湖半岛等特色街区，打造多元融合、潮奢汇聚、全民共享的国际消费必达地。</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古城国际消费集聚区</w:t>
      </w:r>
      <w:r>
        <w:rPr>
          <w:rFonts w:hint="eastAsia" w:ascii="仿宋" w:hAnsi="仿宋" w:eastAsia="仿宋"/>
          <w:color w:val="000000" w:themeColor="text1"/>
          <w:sz w:val="28"/>
          <w:szCs w:val="28"/>
          <w14:textFill>
            <w14:solidFill>
              <w14:schemeClr w14:val="tx1"/>
            </w14:solidFill>
          </w14:textFill>
        </w:rPr>
        <w:t>聚焦古城区，依托观前、石路、南门三大商业中心和平江路历史文化特色街、山塘历史文化街区、太监弄—碧凤坊美食特色街、环宇荟、仁恒仓街、十全街休闲商业街等特色街区，</w:t>
      </w:r>
      <w:r>
        <w:rPr>
          <w:rFonts w:ascii="仿宋" w:hAnsi="仿宋" w:eastAsia="仿宋"/>
          <w:color w:val="000000" w:themeColor="text1"/>
          <w:sz w:val="28"/>
          <w:szCs w:val="28"/>
          <w14:textFill>
            <w14:solidFill>
              <w14:schemeClr w14:val="tx1"/>
            </w14:solidFill>
          </w14:textFill>
        </w:rPr>
        <w:t>打造苏州向世界展示天堂之美的魅力窗口</w:t>
      </w:r>
      <w:r>
        <w:rPr>
          <w:rFonts w:hint="eastAsia" w:ascii="仿宋" w:hAnsi="仿宋" w:eastAsia="仿宋"/>
          <w:color w:val="000000" w:themeColor="text1"/>
          <w:sz w:val="28"/>
          <w:szCs w:val="28"/>
          <w14:textFill>
            <w14:solidFill>
              <w14:schemeClr w14:val="tx1"/>
            </w14:solidFill>
          </w14:textFill>
        </w:rPr>
        <w:t>。</w:t>
      </w:r>
    </w:p>
    <w:p>
      <w:pPr>
        <w:pStyle w:val="4"/>
        <w:spacing w:line="360" w:lineRule="auto"/>
      </w:pPr>
      <w:r>
        <w:rPr>
          <w:rFonts w:hint="eastAsia"/>
        </w:rPr>
        <w:t>3、城市消费中心</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城市消费中心重点面向全市及长三角城市群消费人群，与现代化国际大都市相适应，集聚高端购物、餐饮美食、商务休闲、文化娱乐等功能，提供综合消费服务，突出商业实力、特色消费活力和广泛影响力的综合型商业功能区。</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本次规划共确定了</w:t>
      </w:r>
      <w:r>
        <w:rPr>
          <w:rFonts w:ascii="仿宋" w:hAnsi="仿宋" w:eastAsia="仿宋"/>
          <w:color w:val="000000" w:themeColor="text1"/>
          <w:sz w:val="28"/>
          <w:szCs w:val="28"/>
          <w14:textFill>
            <w14:solidFill>
              <w14:schemeClr w14:val="tx1"/>
            </w14:solidFill>
          </w14:textFill>
        </w:rPr>
        <w:t>15</w:t>
      </w:r>
      <w:r>
        <w:rPr>
          <w:rFonts w:hint="eastAsia" w:ascii="仿宋" w:hAnsi="仿宋" w:eastAsia="仿宋"/>
          <w:color w:val="000000" w:themeColor="text1"/>
          <w:sz w:val="28"/>
          <w:szCs w:val="28"/>
          <w14:textFill>
            <w14:solidFill>
              <w14:schemeClr w14:val="tx1"/>
            </w14:solidFill>
          </w14:textFill>
        </w:rPr>
        <w:t>个城市消费中心，其中，</w:t>
      </w:r>
      <w:r>
        <w:rPr>
          <w:rFonts w:hint="eastAsia" w:ascii="仿宋" w:hAnsi="仿宋" w:eastAsia="仿宋"/>
          <w:b/>
          <w:bCs/>
          <w:color w:val="000000" w:themeColor="text1"/>
          <w:sz w:val="28"/>
          <w:szCs w:val="28"/>
          <w14:textFill>
            <w14:solidFill>
              <w14:schemeClr w14:val="tx1"/>
            </w14:solidFill>
          </w14:textFill>
        </w:rPr>
        <w:t>更新提升</w:t>
      </w:r>
      <w:r>
        <w:rPr>
          <w:rFonts w:hint="eastAsia" w:ascii="仿宋" w:hAnsi="仿宋" w:eastAsia="仿宋"/>
          <w:color w:val="000000" w:themeColor="text1"/>
          <w:sz w:val="28"/>
          <w:szCs w:val="28"/>
          <w14:textFill>
            <w14:solidFill>
              <w14:schemeClr w14:val="tx1"/>
            </w14:solidFill>
          </w14:textFill>
        </w:rPr>
        <w:t>城市消费中心</w:t>
      </w:r>
      <w:r>
        <w:rPr>
          <w:rFonts w:ascii="仿宋" w:hAnsi="仿宋" w:eastAsia="仿宋"/>
          <w:color w:val="000000" w:themeColor="text1"/>
          <w:sz w:val="28"/>
          <w:szCs w:val="28"/>
          <w14:textFill>
            <w14:solidFill>
              <w14:schemeClr w14:val="tx1"/>
            </w14:solidFill>
          </w14:textFill>
        </w:rPr>
        <w:t>10</w:t>
      </w:r>
      <w:r>
        <w:rPr>
          <w:rFonts w:hint="eastAsia" w:ascii="仿宋" w:hAnsi="仿宋" w:eastAsia="仿宋"/>
          <w:color w:val="000000" w:themeColor="text1"/>
          <w:sz w:val="28"/>
          <w:szCs w:val="28"/>
          <w14:textFill>
            <w14:solidFill>
              <w14:schemeClr w14:val="tx1"/>
            </w14:solidFill>
          </w14:textFill>
        </w:rPr>
        <w:t>个，包括高新区狮山片区城市消费中心、吴江汾湖城市消费中心、吴江盛泽城市消费中心、吴中城区城市消费中心、相城元和城市消费中心等；</w:t>
      </w:r>
      <w:r>
        <w:rPr>
          <w:rFonts w:hint="eastAsia" w:ascii="仿宋" w:hAnsi="仿宋" w:eastAsia="仿宋"/>
          <w:b/>
          <w:bCs/>
          <w:color w:val="000000" w:themeColor="text1"/>
          <w:sz w:val="28"/>
          <w:szCs w:val="28"/>
          <w14:textFill>
            <w14:solidFill>
              <w14:schemeClr w14:val="tx1"/>
            </w14:solidFill>
          </w14:textFill>
        </w:rPr>
        <w:t>新增培育</w:t>
      </w:r>
      <w:r>
        <w:rPr>
          <w:rFonts w:hint="eastAsia" w:ascii="仿宋" w:hAnsi="仿宋" w:eastAsia="仿宋"/>
          <w:color w:val="000000" w:themeColor="text1"/>
          <w:sz w:val="28"/>
          <w:szCs w:val="28"/>
          <w14:textFill>
            <w14:solidFill>
              <w14:schemeClr w14:val="tx1"/>
            </w14:solidFill>
          </w14:textFill>
        </w:rPr>
        <w:t>城市消费中心</w:t>
      </w:r>
      <w:r>
        <w:rPr>
          <w:rFonts w:ascii="仿宋" w:hAnsi="仿宋" w:eastAsia="仿宋"/>
          <w:color w:val="000000" w:themeColor="text1"/>
          <w:sz w:val="28"/>
          <w:szCs w:val="28"/>
          <w14:textFill>
            <w14:solidFill>
              <w14:schemeClr w14:val="tx1"/>
            </w14:solidFill>
          </w14:textFill>
        </w:rPr>
        <w:t>5</w:t>
      </w:r>
      <w:r>
        <w:rPr>
          <w:rFonts w:hint="eastAsia" w:ascii="仿宋" w:hAnsi="仿宋" w:eastAsia="仿宋"/>
          <w:color w:val="000000" w:themeColor="text1"/>
          <w:sz w:val="28"/>
          <w:szCs w:val="28"/>
          <w14:textFill>
            <w14:solidFill>
              <w14:schemeClr w14:val="tx1"/>
            </w14:solidFill>
          </w14:textFill>
        </w:rPr>
        <w:t>个，包括太湖新城城市消费中心、高铁新城城市消费中心、高新区科技城城市消费中心、园区月亮湾城市消费中心和太仓娄江新城城市消费中心。</w:t>
      </w:r>
    </w:p>
    <w:p>
      <w:pPr>
        <w:pStyle w:val="4"/>
        <w:spacing w:line="360" w:lineRule="auto"/>
      </w:pPr>
      <w:r>
        <w:rPr>
          <w:rFonts w:hint="eastAsia"/>
        </w:rPr>
        <w:t>4、区域消费中心</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区域消费中心重点面向本地区消费人群，以满足区域内购物、餐饮、休闲、娱乐和商务活动等综合消费为主要功能，形成规模中度集聚、行业业态较为齐全的商业功能区。</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本次规划共确定了</w:t>
      </w:r>
      <w:r>
        <w:rPr>
          <w:rFonts w:ascii="仿宋" w:hAnsi="仿宋" w:eastAsia="仿宋"/>
          <w:color w:val="000000" w:themeColor="text1"/>
          <w:sz w:val="28"/>
          <w:szCs w:val="28"/>
          <w14:textFill>
            <w14:solidFill>
              <w14:schemeClr w14:val="tx1"/>
            </w14:solidFill>
          </w14:textFill>
        </w:rPr>
        <w:t>83</w:t>
      </w:r>
      <w:r>
        <w:rPr>
          <w:rFonts w:hint="eastAsia" w:ascii="仿宋" w:hAnsi="仿宋" w:eastAsia="仿宋"/>
          <w:color w:val="000000" w:themeColor="text1"/>
          <w:sz w:val="28"/>
          <w:szCs w:val="28"/>
          <w14:textFill>
            <w14:solidFill>
              <w14:schemeClr w14:val="tx1"/>
            </w14:solidFill>
          </w14:textFill>
        </w:rPr>
        <w:t>个区域消费中心，其中，</w:t>
      </w:r>
      <w:r>
        <w:rPr>
          <w:rFonts w:hint="eastAsia" w:ascii="仿宋" w:hAnsi="仿宋" w:eastAsia="仿宋"/>
          <w:b/>
          <w:bCs/>
          <w:color w:val="000000" w:themeColor="text1"/>
          <w:sz w:val="28"/>
          <w:szCs w:val="28"/>
          <w14:textFill>
            <w14:solidFill>
              <w14:schemeClr w14:val="tx1"/>
            </w14:solidFill>
          </w14:textFill>
        </w:rPr>
        <w:t>更新提升</w:t>
      </w:r>
      <w:r>
        <w:rPr>
          <w:rFonts w:hint="eastAsia" w:ascii="仿宋" w:hAnsi="仿宋" w:eastAsia="仿宋"/>
          <w:color w:val="000000" w:themeColor="text1"/>
          <w:sz w:val="28"/>
          <w:szCs w:val="28"/>
          <w14:textFill>
            <w14:solidFill>
              <w14:schemeClr w14:val="tx1"/>
            </w14:solidFill>
          </w14:textFill>
        </w:rPr>
        <w:t>区域消费中心</w:t>
      </w:r>
      <w:r>
        <w:rPr>
          <w:rFonts w:ascii="仿宋" w:hAnsi="仿宋" w:eastAsia="仿宋"/>
          <w:color w:val="000000" w:themeColor="text1"/>
          <w:sz w:val="28"/>
          <w:szCs w:val="28"/>
          <w14:textFill>
            <w14:solidFill>
              <w14:schemeClr w14:val="tx1"/>
            </w14:solidFill>
          </w14:textFill>
        </w:rPr>
        <w:t>52</w:t>
      </w:r>
      <w:r>
        <w:rPr>
          <w:rFonts w:hint="eastAsia" w:ascii="仿宋" w:hAnsi="仿宋" w:eastAsia="仿宋"/>
          <w:color w:val="000000" w:themeColor="text1"/>
          <w:sz w:val="28"/>
          <w:szCs w:val="28"/>
          <w14:textFill>
            <w14:solidFill>
              <w14:schemeClr w14:val="tx1"/>
            </w14:solidFill>
          </w14:textFill>
        </w:rPr>
        <w:t>个，包括平江新城区域消费中心、沧浪新城区域消费中心、金阊新城区域消费中心、胜浦区域消费中心、青剑湖区域消费中心等；</w:t>
      </w:r>
      <w:r>
        <w:rPr>
          <w:rFonts w:hint="eastAsia" w:ascii="仿宋" w:hAnsi="仿宋" w:eastAsia="仿宋"/>
          <w:b/>
          <w:bCs/>
          <w:color w:val="000000" w:themeColor="text1"/>
          <w:sz w:val="28"/>
          <w:szCs w:val="28"/>
          <w14:textFill>
            <w14:solidFill>
              <w14:schemeClr w14:val="tx1"/>
            </w14:solidFill>
          </w14:textFill>
        </w:rPr>
        <w:t>新增培育</w:t>
      </w:r>
      <w:r>
        <w:rPr>
          <w:rFonts w:hint="eastAsia" w:ascii="仿宋" w:hAnsi="仿宋" w:eastAsia="仿宋"/>
          <w:color w:val="000000" w:themeColor="text1"/>
          <w:sz w:val="28"/>
          <w:szCs w:val="28"/>
          <w14:textFill>
            <w14:solidFill>
              <w14:schemeClr w14:val="tx1"/>
            </w14:solidFill>
          </w14:textFill>
        </w:rPr>
        <w:t>区域消费中心</w:t>
      </w:r>
      <w:r>
        <w:rPr>
          <w:rFonts w:ascii="仿宋" w:hAnsi="仿宋" w:eastAsia="仿宋"/>
          <w:color w:val="000000" w:themeColor="text1"/>
          <w:sz w:val="28"/>
          <w:szCs w:val="28"/>
          <w14:textFill>
            <w14:solidFill>
              <w14:schemeClr w14:val="tx1"/>
            </w14:solidFill>
          </w14:textFill>
        </w:rPr>
        <w:t>31</w:t>
      </w:r>
      <w:r>
        <w:rPr>
          <w:rFonts w:hint="eastAsia" w:ascii="仿宋" w:hAnsi="仿宋" w:eastAsia="仿宋"/>
          <w:color w:val="000000" w:themeColor="text1"/>
          <w:sz w:val="28"/>
          <w:szCs w:val="28"/>
          <w14:textFill>
            <w14:solidFill>
              <w14:schemeClr w14:val="tx1"/>
            </w14:solidFill>
          </w14:textFill>
        </w:rPr>
        <w:t>个，包括工业园区国际商务区区域消费中心、高新区马涧区域消费中心、吴中度假区区域消费中心、相城漕湖区域消费中心、吴江南部新城区域消费中心等。</w:t>
      </w:r>
    </w:p>
    <w:p>
      <w:pPr>
        <w:pStyle w:val="4"/>
        <w:spacing w:line="360" w:lineRule="auto"/>
      </w:pPr>
      <w:r>
        <w:rPr>
          <w:rFonts w:hint="eastAsia"/>
        </w:rPr>
        <w:t>5、社区生活消费圈</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社区生活消费圈以“1</w:t>
      </w:r>
      <w:r>
        <w:rPr>
          <w:rFonts w:ascii="仿宋" w:hAnsi="仿宋" w:eastAsia="仿宋"/>
          <w:color w:val="000000" w:themeColor="text1"/>
          <w:sz w:val="28"/>
          <w:szCs w:val="28"/>
          <w14:textFill>
            <w14:solidFill>
              <w14:schemeClr w14:val="tx1"/>
            </w14:solidFill>
          </w14:textFill>
        </w:rPr>
        <w:t>5</w:t>
      </w:r>
      <w:r>
        <w:rPr>
          <w:rFonts w:hint="eastAsia" w:ascii="仿宋" w:hAnsi="仿宋" w:eastAsia="仿宋"/>
          <w:color w:val="000000" w:themeColor="text1"/>
          <w:sz w:val="28"/>
          <w:szCs w:val="28"/>
          <w14:textFill>
            <w14:solidFill>
              <w14:schemeClr w14:val="tx1"/>
            </w14:solidFill>
          </w14:textFill>
        </w:rPr>
        <w:t>分钟社区生活圈”为基本服务单元进行配置，主要服务于本社区居民，以便民利民、满足和促进居民综合消费为目标。在配齐配优配强基本保障类业态的基础上，发展品质提升类业态和智慧升级类业态，全面提升社区生活消费的品质化和便利性。</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城镇地区的社区生活消费圈</w:t>
      </w:r>
      <w:r>
        <w:rPr>
          <w:rFonts w:ascii="仿宋" w:hAnsi="仿宋" w:eastAsia="仿宋"/>
          <w:color w:val="000000" w:themeColor="text1"/>
          <w:sz w:val="28"/>
          <w:szCs w:val="28"/>
          <w14:textFill>
            <w14:solidFill>
              <w14:schemeClr w14:val="tx1"/>
            </w14:solidFill>
          </w14:textFill>
        </w:rPr>
        <w:t>可分为“社区级”和“邻里</w:t>
      </w:r>
      <w:r>
        <w:rPr>
          <w:rFonts w:hint="eastAsia" w:ascii="仿宋" w:hAnsi="仿宋" w:eastAsia="仿宋"/>
          <w:color w:val="000000" w:themeColor="text1"/>
          <w:sz w:val="28"/>
          <w:szCs w:val="28"/>
          <w14:textFill>
            <w14:solidFill>
              <w14:schemeClr w14:val="tx1"/>
            </w14:solidFill>
          </w14:textFill>
        </w:rPr>
        <w:t>级</w:t>
      </w:r>
      <w:r>
        <w:rPr>
          <w:rFonts w:ascii="仿宋" w:hAnsi="仿宋" w:eastAsia="仿宋"/>
          <w:color w:val="000000" w:themeColor="text1"/>
          <w:sz w:val="28"/>
          <w:szCs w:val="28"/>
          <w14:textFill>
            <w14:solidFill>
              <w14:schemeClr w14:val="tx1"/>
            </w14:solidFill>
          </w14:textFill>
        </w:rPr>
        <w:t>”两类。社区级应步行15分钟可达，满足日常多元化的生活消费需求，功能相对完善且有一定针对性，服务半径约 800-1500米，服务人口3-5万人。邻里</w:t>
      </w:r>
      <w:r>
        <w:rPr>
          <w:rFonts w:hint="eastAsia" w:ascii="仿宋" w:hAnsi="仿宋" w:eastAsia="仿宋"/>
          <w:color w:val="000000" w:themeColor="text1"/>
          <w:sz w:val="28"/>
          <w:szCs w:val="28"/>
          <w14:textFill>
            <w14:solidFill>
              <w14:schemeClr w14:val="tx1"/>
            </w14:solidFill>
          </w14:textFill>
        </w:rPr>
        <w:t>级</w:t>
      </w:r>
      <w:r>
        <w:rPr>
          <w:rFonts w:ascii="仿宋" w:hAnsi="仿宋" w:eastAsia="仿宋"/>
          <w:color w:val="000000" w:themeColor="text1"/>
          <w:sz w:val="28"/>
          <w:szCs w:val="28"/>
          <w14:textFill>
            <w14:solidFill>
              <w14:schemeClr w14:val="tx1"/>
            </w14:solidFill>
          </w14:textFill>
        </w:rPr>
        <w:t xml:space="preserve">应步行5分钟可达，优先保障居民基本生活需求，包括菜场、早餐网点、药房、洗衣房等，主要服务就近居民，服务半径不超过500米。 </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t>乡村地区的</w:t>
      </w:r>
      <w:r>
        <w:rPr>
          <w:rFonts w:hint="eastAsia" w:ascii="仿宋" w:hAnsi="仿宋" w:eastAsia="仿宋"/>
          <w:b/>
          <w:bCs/>
          <w:color w:val="000000" w:themeColor="text1"/>
          <w:sz w:val="28"/>
          <w:szCs w:val="28"/>
          <w14:textFill>
            <w14:solidFill>
              <w14:schemeClr w14:val="tx1"/>
            </w14:solidFill>
          </w14:textFill>
        </w:rPr>
        <w:t>社区生活消费圈</w:t>
      </w:r>
      <w:r>
        <w:rPr>
          <w:rFonts w:ascii="仿宋" w:hAnsi="仿宋" w:eastAsia="仿宋"/>
          <w:color w:val="000000" w:themeColor="text1"/>
          <w:sz w:val="28"/>
          <w:szCs w:val="28"/>
          <w14:textFill>
            <w14:solidFill>
              <w14:schemeClr w14:val="tx1"/>
            </w14:solidFill>
          </w14:textFill>
        </w:rPr>
        <w:t>以行政村为单位设置，以周边乡村居民基本生活服务保障为主，兼顾生产服务需求，可包括便利店、杂货店、药店、理发店、餐厅、金融服务、维修点、末端配送、农产品销售展示中心等。</w:t>
      </w:r>
    </w:p>
    <w:p>
      <w:pPr>
        <w:pStyle w:val="4"/>
        <w:spacing w:line="360" w:lineRule="auto"/>
      </w:pPr>
      <w:r>
        <w:rPr>
          <w:rFonts w:hint="eastAsia"/>
        </w:rPr>
        <w:t>6、特色商业功能区</w:t>
      </w:r>
    </w:p>
    <w:p>
      <w:pPr>
        <w:ind w:firstLine="281" w:firstLineChars="100"/>
        <w:rPr>
          <w:b/>
          <w:sz w:val="28"/>
          <w:szCs w:val="32"/>
        </w:rPr>
      </w:pPr>
      <w:r>
        <w:rPr>
          <w:rFonts w:hint="eastAsia"/>
          <w:b/>
          <w:sz w:val="28"/>
          <w:szCs w:val="32"/>
        </w:rPr>
        <w:t>（1）特色商业街区</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特色商业街区是指满足人们个性化、差异化、专业性等特色消费需求，由某一特色吸引力衍生出众多规模不一、特色鲜明的商业及服务设施，以带状街道形态为主线，呈网状辐射，依托主街、支马路形成连绵的商业功能片区，统一管理并具有一定规模的区域性商业集群。 </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本次规划共确定了1</w:t>
      </w:r>
      <w:r>
        <w:rPr>
          <w:rFonts w:ascii="仿宋" w:hAnsi="仿宋" w:eastAsia="仿宋"/>
          <w:color w:val="000000" w:themeColor="text1"/>
          <w:sz w:val="28"/>
          <w:szCs w:val="28"/>
          <w14:textFill>
            <w14:solidFill>
              <w14:schemeClr w14:val="tx1"/>
            </w14:solidFill>
          </w14:textFill>
        </w:rPr>
        <w:t>34</w:t>
      </w:r>
      <w:r>
        <w:rPr>
          <w:rFonts w:hint="eastAsia" w:ascii="仿宋" w:hAnsi="仿宋" w:eastAsia="仿宋"/>
          <w:color w:val="000000" w:themeColor="text1"/>
          <w:sz w:val="28"/>
          <w:szCs w:val="28"/>
          <w14:textFill>
            <w14:solidFill>
              <w14:schemeClr w14:val="tx1"/>
            </w14:solidFill>
          </w14:textFill>
        </w:rPr>
        <w:t>条特色商业街区，其中保留提升1</w:t>
      </w:r>
      <w:r>
        <w:rPr>
          <w:rFonts w:ascii="仿宋" w:hAnsi="仿宋" w:eastAsia="仿宋"/>
          <w:color w:val="000000" w:themeColor="text1"/>
          <w:sz w:val="28"/>
          <w:szCs w:val="28"/>
          <w14:textFill>
            <w14:solidFill>
              <w14:schemeClr w14:val="tx1"/>
            </w14:solidFill>
          </w14:textFill>
        </w:rPr>
        <w:t>00</w:t>
      </w:r>
      <w:r>
        <w:rPr>
          <w:rFonts w:hint="eastAsia" w:ascii="仿宋" w:hAnsi="仿宋" w:eastAsia="仿宋"/>
          <w:color w:val="000000" w:themeColor="text1"/>
          <w:sz w:val="28"/>
          <w:szCs w:val="28"/>
          <w14:textFill>
            <w14:solidFill>
              <w14:schemeClr w14:val="tx1"/>
            </w14:solidFill>
          </w14:textFill>
        </w:rPr>
        <w:t>条，包括姑苏区平江路历史文化特色街、吴中区木渎山塘街、高新区淮海街商业街、工业园区李公堤休闲商业街、相城区蠡口国际家具城商业街、吴江区震泽镇宝塔街区、昆山市人民路综合商业街、太仓市双凤一品羊肉美食街、常熟市尚湖水街、张家港市杨舍老街等；培育发展3</w:t>
      </w:r>
      <w:r>
        <w:rPr>
          <w:rFonts w:ascii="仿宋" w:hAnsi="仿宋" w:eastAsia="仿宋"/>
          <w:color w:val="000000" w:themeColor="text1"/>
          <w:sz w:val="28"/>
          <w:szCs w:val="28"/>
          <w14:textFill>
            <w14:solidFill>
              <w14:schemeClr w14:val="tx1"/>
            </w14:solidFill>
          </w14:textFill>
        </w:rPr>
        <w:t>4</w:t>
      </w:r>
      <w:r>
        <w:rPr>
          <w:rFonts w:hint="eastAsia" w:ascii="仿宋" w:hAnsi="仿宋" w:eastAsia="仿宋"/>
          <w:color w:val="000000" w:themeColor="text1"/>
          <w:sz w:val="28"/>
          <w:szCs w:val="28"/>
          <w14:textFill>
            <w14:solidFill>
              <w14:schemeClr w14:val="tx1"/>
            </w14:solidFill>
          </w14:textFill>
        </w:rPr>
        <w:t>条，包括姑苏区虎丘婚纱城、高新区浒关大码头、工业园区阳澄湖半岛特色商业街等。</w:t>
      </w:r>
    </w:p>
    <w:p>
      <w:pPr>
        <w:ind w:firstLine="560"/>
        <w:rPr>
          <w:b/>
          <w:sz w:val="28"/>
          <w:szCs w:val="32"/>
        </w:rPr>
      </w:pPr>
      <w:r>
        <w:rPr>
          <w:rFonts w:hint="eastAsia"/>
          <w:b/>
          <w:sz w:val="28"/>
          <w:szCs w:val="32"/>
        </w:rPr>
        <w:t>（2）夜间经济集聚区</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夜间经济集聚区指在晚7时至次日6时的时间段内，依托公共空间或街道在零售、餐饮、休闲娱乐等各类夜间经营活动领域具有一定活跃度的特色功能片区。 </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本次规划打造“2+7+N”的夜间经济空间布局体系。其中包含2个世界级夜生活体验区，</w:t>
      </w:r>
      <w:r>
        <w:rPr>
          <w:rFonts w:hint="eastAsia" w:ascii="仿宋" w:hAnsi="仿宋" w:eastAsia="仿宋"/>
          <w:color w:val="000000" w:themeColor="text1"/>
          <w:sz w:val="28"/>
          <w:szCs w:val="28"/>
          <w14:textFill>
            <w14:solidFill>
              <w14:schemeClr w14:val="tx1"/>
            </w14:solidFill>
          </w14:textFill>
        </w:rPr>
        <w:t>依托</w:t>
      </w:r>
      <w:r>
        <w:rPr>
          <w:rFonts w:ascii="仿宋" w:hAnsi="仿宋" w:eastAsia="仿宋"/>
          <w:color w:val="000000" w:themeColor="text1"/>
          <w:sz w:val="28"/>
          <w:szCs w:val="28"/>
          <w14:textFill>
            <w14:solidFill>
              <w14:schemeClr w14:val="tx1"/>
            </w14:solidFill>
          </w14:textFill>
        </w:rPr>
        <w:t>环金鸡湖国际消费</w:t>
      </w:r>
      <w:r>
        <w:rPr>
          <w:rFonts w:hint="eastAsia" w:ascii="仿宋" w:hAnsi="仿宋" w:eastAsia="仿宋"/>
          <w:color w:val="000000" w:themeColor="text1"/>
          <w:sz w:val="28"/>
          <w:szCs w:val="28"/>
          <w14:textFill>
            <w14:solidFill>
              <w14:schemeClr w14:val="tx1"/>
            </w14:solidFill>
          </w14:textFill>
        </w:rPr>
        <w:t>集聚</w:t>
      </w:r>
      <w:r>
        <w:rPr>
          <w:rFonts w:ascii="仿宋" w:hAnsi="仿宋" w:eastAsia="仿宋"/>
          <w:color w:val="000000" w:themeColor="text1"/>
          <w:sz w:val="28"/>
          <w:szCs w:val="28"/>
          <w14:textFill>
            <w14:solidFill>
              <w14:schemeClr w14:val="tx1"/>
            </w14:solidFill>
          </w14:textFill>
        </w:rPr>
        <w:t>区</w:t>
      </w:r>
      <w:r>
        <w:rPr>
          <w:rFonts w:hint="eastAsia" w:ascii="仿宋" w:hAnsi="仿宋" w:eastAsia="仿宋"/>
          <w:color w:val="000000" w:themeColor="text1"/>
          <w:sz w:val="28"/>
          <w:szCs w:val="28"/>
          <w14:textFill>
            <w14:solidFill>
              <w14:schemeClr w14:val="tx1"/>
            </w14:solidFill>
          </w14:textFill>
        </w:rPr>
        <w:t>和</w:t>
      </w:r>
      <w:r>
        <w:rPr>
          <w:rFonts w:ascii="仿宋" w:hAnsi="仿宋" w:eastAsia="仿宋"/>
          <w:color w:val="000000" w:themeColor="text1"/>
          <w:sz w:val="28"/>
          <w:szCs w:val="28"/>
          <w14:textFill>
            <w14:solidFill>
              <w14:schemeClr w14:val="tx1"/>
            </w14:solidFill>
          </w14:textFill>
        </w:rPr>
        <w:t>古城国际消费</w:t>
      </w:r>
      <w:r>
        <w:rPr>
          <w:rFonts w:hint="eastAsia" w:ascii="仿宋" w:hAnsi="仿宋" w:eastAsia="仿宋"/>
          <w:color w:val="000000" w:themeColor="text1"/>
          <w:sz w:val="28"/>
          <w:szCs w:val="28"/>
          <w14:textFill>
            <w14:solidFill>
              <w14:schemeClr w14:val="tx1"/>
            </w14:solidFill>
          </w14:textFill>
        </w:rPr>
        <w:t>集聚</w:t>
      </w:r>
      <w:r>
        <w:rPr>
          <w:rFonts w:ascii="仿宋" w:hAnsi="仿宋" w:eastAsia="仿宋"/>
          <w:color w:val="000000" w:themeColor="text1"/>
          <w:sz w:val="28"/>
          <w:szCs w:val="28"/>
          <w14:textFill>
            <w14:solidFill>
              <w14:schemeClr w14:val="tx1"/>
            </w14:solidFill>
          </w14:textFill>
        </w:rPr>
        <w:t>区，分别打造滨水夜经济活力</w:t>
      </w:r>
      <w:r>
        <w:rPr>
          <w:rFonts w:hint="eastAsia" w:ascii="仿宋" w:hAnsi="仿宋" w:eastAsia="仿宋"/>
          <w:color w:val="000000" w:themeColor="text1"/>
          <w:sz w:val="28"/>
          <w:szCs w:val="28"/>
          <w14:textFill>
            <w14:solidFill>
              <w14:schemeClr w14:val="tx1"/>
            </w14:solidFill>
          </w14:textFill>
        </w:rPr>
        <w:t>圈</w:t>
      </w:r>
      <w:r>
        <w:rPr>
          <w:rFonts w:ascii="仿宋" w:hAnsi="仿宋" w:eastAsia="仿宋"/>
          <w:color w:val="000000" w:themeColor="text1"/>
          <w:sz w:val="28"/>
          <w:szCs w:val="28"/>
          <w14:textFill>
            <w14:solidFill>
              <w14:schemeClr w14:val="tx1"/>
            </w14:solidFill>
          </w14:textFill>
        </w:rPr>
        <w:t>和都市夜生活核心活力</w:t>
      </w:r>
      <w:r>
        <w:rPr>
          <w:rFonts w:hint="eastAsia" w:ascii="仿宋" w:hAnsi="仿宋" w:eastAsia="仿宋"/>
          <w:color w:val="000000" w:themeColor="text1"/>
          <w:sz w:val="28"/>
          <w:szCs w:val="28"/>
          <w14:textFill>
            <w14:solidFill>
              <w14:schemeClr w14:val="tx1"/>
            </w14:solidFill>
          </w14:textFill>
        </w:rPr>
        <w:t>区</w:t>
      </w:r>
      <w:r>
        <w:rPr>
          <w:rFonts w:ascii="仿宋" w:hAnsi="仿宋" w:eastAsia="仿宋"/>
          <w:color w:val="000000" w:themeColor="text1"/>
          <w:sz w:val="28"/>
          <w:szCs w:val="28"/>
          <w14:textFill>
            <w14:solidFill>
              <w14:schemeClr w14:val="tx1"/>
            </w14:solidFill>
          </w14:textFill>
        </w:rPr>
        <w:t>，集中承载</w:t>
      </w:r>
      <w:r>
        <w:rPr>
          <w:rFonts w:hint="eastAsia" w:ascii="仿宋" w:hAnsi="仿宋" w:eastAsia="仿宋"/>
          <w:color w:val="000000" w:themeColor="text1"/>
          <w:sz w:val="28"/>
          <w:szCs w:val="28"/>
          <w14:textFill>
            <w14:solidFill>
              <w14:schemeClr w14:val="tx1"/>
            </w14:solidFill>
          </w14:textFill>
        </w:rPr>
        <w:t>区域</w:t>
      </w:r>
      <w:r>
        <w:rPr>
          <w:rFonts w:ascii="仿宋" w:hAnsi="仿宋" w:eastAsia="仿宋"/>
          <w:color w:val="000000" w:themeColor="text1"/>
          <w:sz w:val="28"/>
          <w:szCs w:val="28"/>
          <w14:textFill>
            <w14:solidFill>
              <w14:schemeClr w14:val="tx1"/>
            </w14:solidFill>
          </w14:textFill>
        </w:rPr>
        <w:t>24小时城市金融、文化、创新、游憩等核心功能，展现城市夜间特色与魅力。积极打造7个具有标志性、体验丰富、包容多元、与时俱进的地标性夜生活集聚区。在各区</w:t>
      </w:r>
      <w:r>
        <w:rPr>
          <w:rFonts w:hint="eastAsia" w:ascii="仿宋" w:hAnsi="仿宋" w:eastAsia="仿宋"/>
          <w:color w:val="000000" w:themeColor="text1"/>
          <w:sz w:val="28"/>
          <w:szCs w:val="28"/>
          <w14:textFill>
            <w14:solidFill>
              <w14:schemeClr w14:val="tx1"/>
            </w14:solidFill>
          </w14:textFill>
        </w:rPr>
        <w:t>市</w:t>
      </w:r>
      <w:r>
        <w:rPr>
          <w:rFonts w:ascii="仿宋" w:hAnsi="仿宋" w:eastAsia="仿宋"/>
          <w:color w:val="000000" w:themeColor="text1"/>
          <w:sz w:val="28"/>
          <w:szCs w:val="28"/>
          <w14:textFill>
            <w14:solidFill>
              <w14:schemeClr w14:val="tx1"/>
            </w14:solidFill>
          </w14:textFill>
        </w:rPr>
        <w:t>培育打造N个主题化、特色化、差异化的标志性夜市和具有吸引力的夜间经济特色示范项目。</w:t>
      </w:r>
    </w:p>
    <w:p>
      <w:pPr>
        <w:ind w:firstLine="560"/>
        <w:rPr>
          <w:b/>
          <w:sz w:val="28"/>
          <w:szCs w:val="32"/>
        </w:rPr>
      </w:pPr>
      <w:r>
        <w:rPr>
          <w:rFonts w:hint="eastAsia"/>
          <w:b/>
          <w:sz w:val="28"/>
          <w:szCs w:val="32"/>
        </w:rPr>
        <w:t>（3）首发首店经济集聚区</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首发</w:t>
      </w:r>
      <w:r>
        <w:rPr>
          <w:rFonts w:hint="eastAsia" w:ascii="仿宋" w:hAnsi="仿宋" w:eastAsia="仿宋"/>
          <w:color w:val="000000" w:themeColor="text1"/>
          <w:sz w:val="28"/>
          <w:szCs w:val="28"/>
          <w14:textFill>
            <w14:solidFill>
              <w14:schemeClr w14:val="tx1"/>
            </w14:solidFill>
          </w14:textFill>
        </w:rPr>
        <w:t>首店</w:t>
      </w:r>
      <w:r>
        <w:rPr>
          <w:rFonts w:ascii="仿宋" w:hAnsi="仿宋" w:eastAsia="仿宋"/>
          <w:color w:val="000000" w:themeColor="text1"/>
          <w:sz w:val="28"/>
          <w:szCs w:val="28"/>
          <w14:textFill>
            <w14:solidFill>
              <w14:schemeClr w14:val="tx1"/>
            </w14:solidFill>
          </w14:textFill>
        </w:rPr>
        <w:t>经济</w:t>
      </w:r>
      <w:r>
        <w:rPr>
          <w:rFonts w:hint="eastAsia" w:ascii="仿宋" w:hAnsi="仿宋" w:eastAsia="仿宋"/>
          <w:color w:val="000000" w:themeColor="text1"/>
          <w:sz w:val="28"/>
          <w:szCs w:val="28"/>
          <w14:textFill>
            <w14:solidFill>
              <w14:schemeClr w14:val="tx1"/>
            </w14:solidFill>
          </w14:textFill>
        </w:rPr>
        <w:t>集聚</w:t>
      </w:r>
      <w:r>
        <w:rPr>
          <w:rFonts w:ascii="仿宋" w:hAnsi="仿宋" w:eastAsia="仿宋"/>
          <w:color w:val="000000" w:themeColor="text1"/>
          <w:sz w:val="28"/>
          <w:szCs w:val="28"/>
          <w14:textFill>
            <w14:solidFill>
              <w14:schemeClr w14:val="tx1"/>
            </w14:solidFill>
          </w14:textFill>
        </w:rPr>
        <w:t xml:space="preserve">区是品牌集聚度高、时尚消引领性强、首发平台影响力大、首发活动密集且稳定持续的特色功能片区。 </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优先依托国际消费集聚区和</w:t>
      </w:r>
      <w:r>
        <w:rPr>
          <w:rFonts w:hint="eastAsia" w:ascii="仿宋" w:hAnsi="仿宋" w:eastAsia="仿宋"/>
          <w:color w:val="000000" w:themeColor="text1"/>
          <w:sz w:val="28"/>
          <w:szCs w:val="28"/>
          <w14:textFill>
            <w14:solidFill>
              <w14:schemeClr w14:val="tx1"/>
            </w14:solidFill>
          </w14:textFill>
        </w:rPr>
        <w:t>重要城市消费中心</w:t>
      </w:r>
      <w:r>
        <w:rPr>
          <w:rFonts w:ascii="仿宋" w:hAnsi="仿宋" w:eastAsia="仿宋"/>
          <w:color w:val="000000" w:themeColor="text1"/>
          <w:sz w:val="28"/>
          <w:szCs w:val="28"/>
          <w14:textFill>
            <w14:solidFill>
              <w14:schemeClr w14:val="tx1"/>
            </w14:solidFill>
          </w14:textFill>
        </w:rPr>
        <w:t>，选取体现</w:t>
      </w:r>
      <w:r>
        <w:rPr>
          <w:rFonts w:hint="eastAsia" w:ascii="仿宋" w:hAnsi="仿宋" w:eastAsia="仿宋"/>
          <w:color w:val="000000" w:themeColor="text1"/>
          <w:sz w:val="28"/>
          <w:szCs w:val="28"/>
          <w14:textFill>
            <w14:solidFill>
              <w14:schemeClr w14:val="tx1"/>
            </w14:solidFill>
          </w14:textFill>
        </w:rPr>
        <w:t>苏州</w:t>
      </w:r>
      <w:r>
        <w:rPr>
          <w:rFonts w:ascii="仿宋" w:hAnsi="仿宋" w:eastAsia="仿宋"/>
          <w:color w:val="000000" w:themeColor="text1"/>
          <w:sz w:val="28"/>
          <w:szCs w:val="28"/>
          <w14:textFill>
            <w14:solidFill>
              <w14:schemeClr w14:val="tx1"/>
            </w14:solidFill>
          </w14:textFill>
        </w:rPr>
        <w:t>消费文化特质的空间节点，如</w:t>
      </w:r>
      <w:r>
        <w:rPr>
          <w:rFonts w:hint="eastAsia" w:ascii="仿宋" w:hAnsi="仿宋" w:eastAsia="仿宋"/>
          <w:color w:val="000000" w:themeColor="text1"/>
          <w:sz w:val="28"/>
          <w:szCs w:val="28"/>
          <w14:textFill>
            <w14:solidFill>
              <w14:schemeClr w14:val="tx1"/>
            </w14:solidFill>
          </w14:textFill>
        </w:rPr>
        <w:t>苏州中心、月光码头、中环广场、华贸中心、观前街、平江路、山塘街</w:t>
      </w:r>
      <w:r>
        <w:rPr>
          <w:rFonts w:ascii="仿宋" w:hAnsi="仿宋" w:eastAsia="仿宋"/>
          <w:color w:val="000000" w:themeColor="text1"/>
          <w:sz w:val="28"/>
          <w:szCs w:val="28"/>
          <w14:textFill>
            <w14:solidFill>
              <w14:schemeClr w14:val="tx1"/>
            </w14:solidFill>
          </w14:textFill>
        </w:rPr>
        <w:t>等区域，打造全球新品首发地标。</w:t>
      </w:r>
    </w:p>
    <w:p>
      <w:pPr>
        <w:ind w:firstLine="560"/>
        <w:rPr>
          <w:b/>
          <w:sz w:val="28"/>
          <w:szCs w:val="32"/>
        </w:rPr>
      </w:pPr>
      <w:r>
        <w:rPr>
          <w:rFonts w:hint="eastAsia"/>
          <w:b/>
          <w:sz w:val="28"/>
          <w:szCs w:val="32"/>
        </w:rPr>
        <w:t>（4）商品交易市场</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商品交易市场包括大型商品交易市场、农产品交易市场、二手车交易市场等，规划构建形成覆盖全市、辐射长三角的商品交易市场体系。</w:t>
      </w:r>
    </w:p>
    <w:p>
      <w:pPr>
        <w:pStyle w:val="4"/>
        <w:spacing w:line="360" w:lineRule="auto"/>
        <w:ind w:firstLine="562"/>
      </w:pPr>
      <w:r>
        <w:rPr>
          <w:rFonts w:hint="eastAsia"/>
        </w:rPr>
        <w:t>7、配套支撑系统</w:t>
      </w:r>
    </w:p>
    <w:p>
      <w:pPr>
        <w:ind w:firstLine="560"/>
        <w:rPr>
          <w:b/>
          <w:sz w:val="28"/>
          <w:szCs w:val="32"/>
        </w:rPr>
      </w:pPr>
      <w:r>
        <w:rPr>
          <w:rFonts w:hint="eastAsia"/>
          <w:b/>
          <w:sz w:val="28"/>
          <w:szCs w:val="32"/>
        </w:rPr>
        <w:t>（1）商贸物流体系</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加快完善商贸物流网络，推动区域物流一体化发展，构建城乡高效配送体系，推进商贸物流标准化建设，</w:t>
      </w:r>
      <w:r>
        <w:rPr>
          <w:rFonts w:hint="eastAsia" w:ascii="仿宋" w:hAnsi="仿宋" w:eastAsia="仿宋"/>
          <w:color w:val="000000" w:themeColor="text1"/>
          <w:sz w:val="28"/>
          <w:szCs w:val="28"/>
          <w14:textFill>
            <w14:solidFill>
              <w14:schemeClr w14:val="tx1"/>
            </w14:solidFill>
          </w14:textFill>
        </w:rPr>
        <w:t>构建“功能匹配、布局合理、集约高效、绿色智能”的商贸物流服务体系。</w:t>
      </w:r>
      <w:r>
        <w:rPr>
          <w:rFonts w:ascii="仿宋" w:hAnsi="仿宋" w:eastAsia="仿宋"/>
          <w:color w:val="000000" w:themeColor="text1"/>
          <w:sz w:val="28"/>
          <w:szCs w:val="28"/>
          <w14:textFill>
            <w14:solidFill>
              <w14:schemeClr w14:val="tx1"/>
            </w14:solidFill>
          </w14:textFill>
        </w:rPr>
        <w:t>在全市范围内加快布局</w:t>
      </w:r>
      <w:r>
        <w:rPr>
          <w:rFonts w:hint="eastAsia" w:ascii="仿宋" w:hAnsi="仿宋" w:eastAsia="仿宋"/>
          <w:color w:val="000000" w:themeColor="text1"/>
          <w:sz w:val="28"/>
          <w:szCs w:val="28"/>
          <w14:textFill>
            <w14:solidFill>
              <w14:schemeClr w14:val="tx1"/>
            </w14:solidFill>
          </w14:textFill>
        </w:rPr>
        <w:t>“物流枢纽节点+物流配送中心+末端配送网点”的城市商贸物流三级网络体系</w:t>
      </w:r>
      <w:r>
        <w:rPr>
          <w:rFonts w:ascii="仿宋" w:hAnsi="仿宋" w:eastAsia="仿宋"/>
          <w:color w:val="000000" w:themeColor="text1"/>
          <w:sz w:val="28"/>
          <w:szCs w:val="28"/>
          <w14:textFill>
            <w14:solidFill>
              <w14:schemeClr w14:val="tx1"/>
            </w14:solidFill>
          </w14:textFill>
        </w:rPr>
        <w:t>，保障空间供给与实施落地。</w:t>
      </w:r>
    </w:p>
    <w:p>
      <w:pPr>
        <w:ind w:firstLine="560"/>
        <w:rPr>
          <w:b/>
          <w:sz w:val="28"/>
          <w:szCs w:val="32"/>
        </w:rPr>
      </w:pPr>
      <w:r>
        <w:rPr>
          <w:rFonts w:hint="eastAsia"/>
          <w:b/>
          <w:sz w:val="28"/>
          <w:szCs w:val="32"/>
        </w:rPr>
        <w:t>（2）商业数字化体系</w:t>
      </w:r>
    </w:p>
    <w:p>
      <w:pPr>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推进传统商业数字化创新，鼓励建设一批智慧购物示范场景</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鼓励线上平台与实体商业深度合作，打造智能化、定制化、体验式商业新业态新模式。加快推进数字化示范区、数字商圈商街、智慧早餐网点、智慧菜场、直播电商高地等</w:t>
      </w:r>
      <w:r>
        <w:rPr>
          <w:rFonts w:hint="eastAsia" w:ascii="仿宋" w:hAnsi="仿宋" w:eastAsia="仿宋"/>
          <w:color w:val="000000" w:themeColor="text1"/>
          <w:sz w:val="28"/>
          <w:szCs w:val="28"/>
          <w14:textFill>
            <w14:solidFill>
              <w14:schemeClr w14:val="tx1"/>
            </w14:solidFill>
          </w14:textFill>
        </w:rPr>
        <w:t>实施建设。</w:t>
      </w:r>
      <w:r>
        <w:rPr>
          <w:rFonts w:ascii="仿宋" w:hAnsi="仿宋" w:eastAsia="仿宋"/>
          <w:color w:val="000000" w:themeColor="text1"/>
          <w:sz w:val="28"/>
          <w:szCs w:val="28"/>
          <w14:textFill>
            <w14:solidFill>
              <w14:schemeClr w14:val="tx1"/>
            </w14:solidFill>
          </w14:textFill>
        </w:rPr>
        <w:t>加快智慧零售终端建设，落实智能快件箱、智能取餐柜、智能售货机、智能回收站等各类设施规划布局。</w:t>
      </w:r>
    </w:p>
    <w:p>
      <w:pPr>
        <w:pStyle w:val="3"/>
        <w:spacing w:line="360" w:lineRule="auto"/>
        <w:ind w:firstLine="562"/>
      </w:pPr>
      <w:r>
        <w:rPr>
          <w:rFonts w:hint="eastAsia"/>
        </w:rPr>
        <w:t>（三）近期实施计划</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推进消费地标打造</w:t>
      </w:r>
      <w:r>
        <w:rPr>
          <w:rFonts w:hint="eastAsia" w:ascii="仿宋" w:hAnsi="仿宋" w:eastAsia="仿宋"/>
          <w:bCs/>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重点聚焦国际消费集聚区，着力构建云集国际国内精品、引领时尚消费潮流、吸引全球消费客群的国际消费中心城市核心承载区。</w:t>
      </w:r>
      <w:r>
        <w:rPr>
          <w:rFonts w:hint="eastAsia" w:ascii="仿宋" w:hAnsi="仿宋" w:eastAsia="仿宋"/>
          <w:color w:val="000000" w:themeColor="text1"/>
          <w:sz w:val="28"/>
          <w:szCs w:val="28"/>
          <w14:textFill>
            <w14:solidFill>
              <w14:schemeClr w14:val="tx1"/>
            </w14:solidFill>
          </w14:textFill>
        </w:rPr>
        <w:t>近期重点更新建设工业园区湖滨楼-湖滨新天地，姑苏区泰华商场、仁恒仓街等商业载体，提升</w:t>
      </w:r>
      <w:r>
        <w:rPr>
          <w:rFonts w:ascii="仿宋" w:hAnsi="仿宋" w:eastAsia="仿宋"/>
          <w:color w:val="000000" w:themeColor="text1"/>
          <w:sz w:val="28"/>
          <w:szCs w:val="28"/>
          <w14:textFill>
            <w14:solidFill>
              <w14:schemeClr w14:val="tx1"/>
            </w14:solidFill>
          </w14:textFill>
        </w:rPr>
        <w:t>环金鸡湖</w:t>
      </w:r>
      <w:r>
        <w:rPr>
          <w:rFonts w:hint="eastAsia" w:ascii="仿宋" w:hAnsi="仿宋" w:eastAsia="仿宋"/>
          <w:color w:val="000000" w:themeColor="text1"/>
          <w:sz w:val="28"/>
          <w:szCs w:val="28"/>
          <w14:textFill>
            <w14:solidFill>
              <w14:schemeClr w14:val="tx1"/>
            </w14:solidFill>
          </w14:textFill>
        </w:rPr>
        <w:t>和</w:t>
      </w:r>
      <w:r>
        <w:rPr>
          <w:rFonts w:ascii="仿宋" w:hAnsi="仿宋" w:eastAsia="仿宋"/>
          <w:color w:val="000000" w:themeColor="text1"/>
          <w:sz w:val="28"/>
          <w:szCs w:val="28"/>
          <w14:textFill>
            <w14:solidFill>
              <w14:schemeClr w14:val="tx1"/>
            </w14:solidFill>
          </w14:textFill>
        </w:rPr>
        <w:t>古城国际消费</w:t>
      </w:r>
      <w:r>
        <w:rPr>
          <w:rFonts w:hint="eastAsia" w:ascii="仿宋" w:hAnsi="仿宋" w:eastAsia="仿宋"/>
          <w:color w:val="000000" w:themeColor="text1"/>
          <w:sz w:val="28"/>
          <w:szCs w:val="28"/>
          <w14:textFill>
            <w14:solidFill>
              <w14:schemeClr w14:val="tx1"/>
            </w14:solidFill>
          </w14:textFill>
        </w:rPr>
        <w:t>集聚</w:t>
      </w:r>
      <w:r>
        <w:rPr>
          <w:rFonts w:ascii="仿宋" w:hAnsi="仿宋" w:eastAsia="仿宋"/>
          <w:color w:val="000000" w:themeColor="text1"/>
          <w:sz w:val="28"/>
          <w:szCs w:val="28"/>
          <w14:textFill>
            <w14:solidFill>
              <w14:schemeClr w14:val="tx1"/>
            </w14:solidFill>
          </w14:textFill>
        </w:rPr>
        <w:t>区</w:t>
      </w:r>
      <w:r>
        <w:rPr>
          <w:rFonts w:hint="eastAsia" w:ascii="仿宋" w:hAnsi="仿宋" w:eastAsia="仿宋"/>
          <w:color w:val="000000" w:themeColor="text1"/>
          <w:sz w:val="28"/>
          <w:szCs w:val="28"/>
          <w14:textFill>
            <w14:solidFill>
              <w14:schemeClr w14:val="tx1"/>
            </w14:solidFill>
          </w14:textFill>
        </w:rPr>
        <w:t>城市活力。</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完善消费中心建设</w:t>
      </w:r>
      <w:r>
        <w:rPr>
          <w:rFonts w:hint="eastAsia" w:ascii="仿宋" w:hAnsi="仿宋" w:eastAsia="仿宋"/>
          <w:bCs/>
          <w:color w:val="000000" w:themeColor="text1"/>
          <w:sz w:val="28"/>
          <w:szCs w:val="28"/>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完善城市消费中心和区域消费中商业载体建设，提升各级各类消费中心服务能级和水平。近期重点推动高新区绿宝三期、雪世界商业综合体，相城天街商业中心、大悦城、乡镇商贸中心，吴江区七都市集、苏州湾运动街区，张家港大南万悦商业广场，常熟市琴湖片区、滨江新城商业中心，昆山市阳光新生活广场等商业载体建设。</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夯实基础民生保障</w:t>
      </w:r>
      <w:r>
        <w:rPr>
          <w:rFonts w:hint="eastAsia" w:ascii="仿宋" w:hAnsi="仿宋" w:eastAsia="仿宋"/>
          <w:bCs/>
          <w:color w:val="000000" w:themeColor="text1"/>
          <w:sz w:val="28"/>
          <w:szCs w:val="28"/>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填补大型商业服务覆盖盲区，建设一批布局合理、业态齐全、功能完善的社区生活消费圈。近期重点推进高新区丰茂里、星悦里，相城区水韵花都美好荟，常熟市碧溪东北片区、科技城片区等社区级商业中心建设。完善主副食品供应链体系，增补农产品批发市场及集贸市场。近期重点建设张家港香山农副产品批发市场，常熟滨江中心、虹桥等集贸市场。</w:t>
      </w:r>
    </w:p>
    <w:p>
      <w:pPr>
        <w:ind w:firstLine="560"/>
        <w:rPr>
          <w:rFonts w:ascii="仿宋" w:hAnsi="仿宋" w:eastAsia="仿宋"/>
          <w:color w:val="000000" w:themeColor="text1"/>
          <w:sz w:val="28"/>
          <w:szCs w:val="28"/>
          <w14:textFill>
            <w14:solidFill>
              <w14:schemeClr w14:val="tx1"/>
            </w14:solidFill>
          </w14:textFill>
        </w:rPr>
        <w:sectPr>
          <w:pgSz w:w="11906" w:h="16838"/>
          <w:pgMar w:top="1440" w:right="1797" w:bottom="1440" w:left="1797" w:header="851" w:footer="992" w:gutter="0"/>
          <w:pgNumType w:start="1"/>
          <w:cols w:space="425" w:num="1"/>
          <w:docGrid w:type="lines" w:linePitch="312" w:charSpace="0"/>
        </w:sectPr>
      </w:pPr>
      <w:r>
        <w:rPr>
          <w:rFonts w:hint="eastAsia" w:ascii="仿宋" w:hAnsi="仿宋" w:eastAsia="仿宋"/>
          <w:b/>
          <w:color w:val="000000" w:themeColor="text1"/>
          <w:sz w:val="28"/>
          <w:szCs w:val="28"/>
          <w14:textFill>
            <w14:solidFill>
              <w14:schemeClr w14:val="tx1"/>
            </w14:solidFill>
          </w14:textFill>
        </w:rPr>
        <w:t>创新新经济新消费</w:t>
      </w:r>
      <w:r>
        <w:rPr>
          <w:rFonts w:hint="eastAsia" w:ascii="仿宋" w:hAnsi="仿宋" w:eastAsia="仿宋"/>
          <w:bCs/>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做强首发</w:t>
      </w:r>
      <w:r>
        <w:rPr>
          <w:rFonts w:hint="eastAsia" w:ascii="仿宋" w:hAnsi="仿宋" w:eastAsia="仿宋"/>
          <w:color w:val="000000" w:themeColor="text1"/>
          <w:sz w:val="28"/>
          <w:szCs w:val="28"/>
          <w14:textFill>
            <w14:solidFill>
              <w14:schemeClr w14:val="tx1"/>
            </w14:solidFill>
          </w14:textFill>
        </w:rPr>
        <w:t>首店</w:t>
      </w:r>
      <w:r>
        <w:rPr>
          <w:rFonts w:ascii="仿宋" w:hAnsi="仿宋" w:eastAsia="仿宋"/>
          <w:color w:val="000000" w:themeColor="text1"/>
          <w:sz w:val="28"/>
          <w:szCs w:val="28"/>
          <w14:textFill>
            <w14:solidFill>
              <w14:schemeClr w14:val="tx1"/>
            </w14:solidFill>
          </w14:textFill>
        </w:rPr>
        <w:t>经济，推动“全球新品首发地示范区”建设。聚焦品牌经济，促进知名商圈的本土品牌竞争活力增强和进口品牌集聚。</w:t>
      </w:r>
      <w:r>
        <w:rPr>
          <w:rFonts w:hint="eastAsia" w:ascii="仿宋" w:hAnsi="仿宋" w:eastAsia="仿宋"/>
          <w:color w:val="000000" w:themeColor="text1"/>
          <w:sz w:val="28"/>
          <w:szCs w:val="28"/>
          <w14:textFill>
            <w14:solidFill>
              <w14:schemeClr w14:val="tx1"/>
            </w14:solidFill>
          </w14:textFill>
        </w:rPr>
        <w:t>近期重点推进相城荟品仓城市奥莱苏州首店建设，进一步鼓励支持苏州中心、苏州大悦城等载体以首店“流量”撬动消费“增量”。</w:t>
      </w:r>
      <w:r>
        <w:rPr>
          <w:rFonts w:ascii="仿宋" w:hAnsi="仿宋" w:eastAsia="仿宋"/>
          <w:color w:val="000000" w:themeColor="text1"/>
          <w:sz w:val="28"/>
          <w:szCs w:val="28"/>
          <w14:textFill>
            <w14:solidFill>
              <w14:schemeClr w14:val="tx1"/>
            </w14:solidFill>
          </w14:textFill>
        </w:rPr>
        <w:t>提升夜间经济活力，推动地标性夜生活集聚区、限时步行街的打造，持续办好</w:t>
      </w:r>
      <w:r>
        <w:rPr>
          <w:rFonts w:hint="eastAsia" w:ascii="仿宋" w:hAnsi="仿宋" w:eastAsia="仿宋"/>
          <w:color w:val="000000" w:themeColor="text1"/>
          <w:sz w:val="28"/>
          <w:szCs w:val="28"/>
          <w14:textFill>
            <w14:solidFill>
              <w14:schemeClr w14:val="tx1"/>
            </w14:solidFill>
          </w14:textFill>
        </w:rPr>
        <w:t>苏州</w:t>
      </w:r>
      <w:r>
        <w:rPr>
          <w:rFonts w:ascii="仿宋" w:hAnsi="仿宋" w:eastAsia="仿宋"/>
          <w:color w:val="000000" w:themeColor="text1"/>
          <w:sz w:val="28"/>
          <w:szCs w:val="28"/>
          <w14:textFill>
            <w14:solidFill>
              <w14:schemeClr w14:val="tx1"/>
            </w14:solidFill>
          </w14:textFill>
        </w:rPr>
        <w:t>夜生活节等活动。</w:t>
      </w:r>
    </w:p>
    <w:p>
      <w:pPr>
        <w:pStyle w:val="2"/>
        <w:spacing w:line="360" w:lineRule="auto"/>
        <w:ind w:firstLine="602"/>
      </w:pPr>
      <w:r>
        <w:rPr>
          <w:rFonts w:hint="eastAsia"/>
        </w:rPr>
        <w:t>附图</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（1）国际消费集聚区规划布局图</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（2）城市消费中心规划布局图</w:t>
      </w:r>
    </w:p>
    <w:p>
      <w:pPr>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（3）区域消费中心规划布局图</w:t>
      </w:r>
    </w:p>
    <w:bookmarkEnd w:id="2"/>
    <w:p>
      <w:pPr>
        <w:ind w:firstLine="560"/>
        <w:rPr>
          <w:rFonts w:ascii="仿宋" w:hAnsi="仿宋" w:eastAsia="仿宋"/>
          <w:color w:val="000000" w:themeColor="text1"/>
          <w:sz w:val="28"/>
          <w:szCs w:val="28"/>
          <w14:textFill>
            <w14:solidFill>
              <w14:schemeClr w14:val="tx1"/>
            </w14:solidFill>
          </w14:textFill>
        </w:rPr>
      </w:pPr>
    </w:p>
    <w:p>
      <w:pPr>
        <w:ind w:firstLine="420"/>
        <w:sectPr>
          <w:pgSz w:w="11906" w:h="16838"/>
          <w:pgMar w:top="1440" w:right="1797" w:bottom="1440" w:left="1797" w:header="851" w:footer="992" w:gutter="0"/>
          <w:cols w:space="425" w:num="1"/>
          <w:docGrid w:type="lines" w:linePitch="312" w:charSpace="0"/>
        </w:sectPr>
      </w:pPr>
    </w:p>
    <w:p>
      <w:pPr>
        <w:sectPr>
          <w:pgSz w:w="11906" w:h="16838"/>
          <w:pgMar w:top="1440" w:right="1797" w:bottom="1440" w:left="1797" w:header="851" w:footer="992" w:gutter="0"/>
          <w:cols w:space="425" w:num="1"/>
          <w:docGrid w:type="lines" w:linePitch="312" w:charSpace="0"/>
        </w:sectPr>
      </w:pPr>
      <w:r>
        <w:drawing>
          <wp:inline distT="0" distB="0" distL="0" distR="0">
            <wp:extent cx="5295900" cy="7585075"/>
            <wp:effectExtent l="0" t="0" r="0" b="0"/>
            <wp:docPr id="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true" noChangeArrowheads="true"/>
                    </pic:cNvPicPr>
                  </pic:nvPicPr>
                  <pic:blipFill>
                    <a:blip r:embed="rId7" cstate="print">
                      <a:extLst>
                        <a:ext uri="{28A0092B-C50C-407E-A947-70E740481C1C}">
                          <a14:useLocalDpi xmlns:a14="http://schemas.microsoft.com/office/drawing/2010/main" val="false"/>
                        </a:ext>
                      </a:extLst>
                    </a:blip>
                    <a:srcRect l="3119" t="2817" r="3487" b="2645"/>
                    <a:stretch>
                      <a:fillRect/>
                    </a:stretch>
                  </pic:blipFill>
                  <pic:spPr>
                    <a:xfrm>
                      <a:off x="0" y="0"/>
                      <a:ext cx="5299476" cy="7590343"/>
                    </a:xfrm>
                    <a:prstGeom prst="rect">
                      <a:avLst/>
                    </a:prstGeom>
                    <a:noFill/>
                    <a:ln>
                      <a:noFill/>
                    </a:ln>
                  </pic:spPr>
                </pic:pic>
              </a:graphicData>
            </a:graphic>
          </wp:inline>
        </w:drawing>
      </w:r>
    </w:p>
    <w:p>
      <w:pPr>
        <w:sectPr>
          <w:pgSz w:w="11906" w:h="16838"/>
          <w:pgMar w:top="1440" w:right="1797" w:bottom="1440" w:left="1797" w:header="851" w:footer="992" w:gutter="0"/>
          <w:cols w:space="425" w:num="1"/>
          <w:docGrid w:type="lines" w:linePitch="312" w:charSpace="0"/>
        </w:sectPr>
      </w:pPr>
      <w:r>
        <w:drawing>
          <wp:inline distT="0" distB="0" distL="0" distR="0">
            <wp:extent cx="5229225" cy="7474585"/>
            <wp:effectExtent l="0" t="0" r="0" b="0"/>
            <wp:docPr id="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true" noChangeArrowheads="true"/>
                    </pic:cNvPicPr>
                  </pic:nvPicPr>
                  <pic:blipFill>
                    <a:blip r:embed="rId8" cstate="print">
                      <a:extLst>
                        <a:ext uri="{28A0092B-C50C-407E-A947-70E740481C1C}">
                          <a14:useLocalDpi xmlns:a14="http://schemas.microsoft.com/office/drawing/2010/main" val="false"/>
                        </a:ext>
                      </a:extLst>
                    </a:blip>
                    <a:srcRect l="3249" t="2805" r="3452" b="2943"/>
                    <a:stretch>
                      <a:fillRect/>
                    </a:stretch>
                  </pic:blipFill>
                  <pic:spPr>
                    <a:xfrm>
                      <a:off x="0" y="0"/>
                      <a:ext cx="5229971" cy="7475723"/>
                    </a:xfrm>
                    <a:prstGeom prst="rect">
                      <a:avLst/>
                    </a:prstGeom>
                    <a:noFill/>
                    <a:ln>
                      <a:noFill/>
                    </a:ln>
                  </pic:spPr>
                </pic:pic>
              </a:graphicData>
            </a:graphic>
          </wp:inline>
        </w:drawing>
      </w:r>
    </w:p>
    <w:p>
      <w:r>
        <w:drawing>
          <wp:inline distT="0" distB="0" distL="0" distR="0">
            <wp:extent cx="5229225" cy="7494270"/>
            <wp:effectExtent l="0" t="0" r="0" b="0"/>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noChangeArrowheads="true"/>
                    </pic:cNvPicPr>
                  </pic:nvPicPr>
                  <pic:blipFill>
                    <a:blip r:embed="rId9" cstate="print">
                      <a:extLst>
                        <a:ext uri="{28A0092B-C50C-407E-A947-70E740481C1C}">
                          <a14:useLocalDpi xmlns:a14="http://schemas.microsoft.com/office/drawing/2010/main" val="false"/>
                        </a:ext>
                      </a:extLst>
                    </a:blip>
                    <a:srcRect l="3249" t="2678" r="3452" b="2814"/>
                    <a:stretch>
                      <a:fillRect/>
                    </a:stretch>
                  </pic:blipFill>
                  <pic:spPr>
                    <a:xfrm>
                      <a:off x="0" y="0"/>
                      <a:ext cx="5234342" cy="7502220"/>
                    </a:xfrm>
                    <a:prstGeom prst="rect">
                      <a:avLst/>
                    </a:prstGeom>
                    <a:noFill/>
                    <a:ln>
                      <a:noFill/>
                    </a:ln>
                  </pic:spPr>
                </pic:pic>
              </a:graphicData>
            </a:graphic>
          </wp:inline>
        </w:drawing>
      </w:r>
    </w:p>
    <w:sectPr>
      <w:pgSz w:w="11906" w:h="16838"/>
      <w:pgMar w:top="1440" w:right="1797" w:bottom="1440" w:left="179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Nimbus Roman No9 L">
    <w:panose1 w:val="00000000000000000000"/>
    <w:charset w:val="00"/>
    <w:family w:val="auto"/>
    <w:pitch w:val="default"/>
    <w:sig w:usb0="00000000" w:usb1="00000000" w:usb2="00000000" w:usb3="00000000" w:csb0="00000000" w:csb1="0000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7393010"/>
      <w:docPartObj>
        <w:docPartGallery w:val="AutoText"/>
      </w:docPartObj>
    </w:sdt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true"/>
  <w:bordersDoNotSurroundFooter w:val="true"/>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925"/>
    <w:rsid w:val="001D7FFA"/>
    <w:rsid w:val="002937CF"/>
    <w:rsid w:val="003A1FE5"/>
    <w:rsid w:val="00525DF1"/>
    <w:rsid w:val="00592D0E"/>
    <w:rsid w:val="00AD4059"/>
    <w:rsid w:val="00BC11CA"/>
    <w:rsid w:val="00E44925"/>
    <w:rsid w:val="00F45E64"/>
    <w:rsid w:val="F8FB2F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360" w:lineRule="auto"/>
      <w:jc w:val="both"/>
    </w:pPr>
    <w:rPr>
      <w:rFonts w:asciiTheme="minorHAnsi" w:hAnsiTheme="minorHAnsi" w:eastAsiaTheme="minorEastAsia" w:cstheme="minorBidi"/>
      <w:snapToGrid w:val="0"/>
      <w:kern w:val="0"/>
      <w:sz w:val="21"/>
      <w:szCs w:val="22"/>
      <w:lang w:val="en-US" w:eastAsia="zh-CN" w:bidi="ar-SA"/>
    </w:rPr>
  </w:style>
  <w:style w:type="paragraph" w:styleId="2">
    <w:name w:val="heading 1"/>
    <w:basedOn w:val="1"/>
    <w:next w:val="1"/>
    <w:link w:val="10"/>
    <w:qFormat/>
    <w:uiPriority w:val="9"/>
    <w:pPr>
      <w:keepNext/>
      <w:keepLines/>
      <w:spacing w:line="578" w:lineRule="auto"/>
      <w:outlineLvl w:val="0"/>
    </w:pPr>
    <w:rPr>
      <w:rFonts w:eastAsia="黑体"/>
      <w:b/>
      <w:bCs/>
      <w:kern w:val="44"/>
      <w:sz w:val="32"/>
      <w:szCs w:val="44"/>
    </w:rPr>
  </w:style>
  <w:style w:type="paragraph" w:styleId="3">
    <w:name w:val="heading 2"/>
    <w:basedOn w:val="1"/>
    <w:next w:val="1"/>
    <w:link w:val="11"/>
    <w:unhideWhenUsed/>
    <w:qFormat/>
    <w:uiPriority w:val="9"/>
    <w:pPr>
      <w:keepNext/>
      <w:keepLines/>
      <w:spacing w:line="416" w:lineRule="auto"/>
      <w:outlineLvl w:val="1"/>
    </w:pPr>
    <w:rPr>
      <w:rFonts w:asciiTheme="majorHAnsi" w:hAnsiTheme="majorHAnsi" w:eastAsiaTheme="majorEastAsia" w:cstheme="majorBidi"/>
      <w:b/>
      <w:bCs/>
      <w:sz w:val="28"/>
      <w:szCs w:val="32"/>
    </w:rPr>
  </w:style>
  <w:style w:type="paragraph" w:styleId="4">
    <w:name w:val="heading 3"/>
    <w:basedOn w:val="1"/>
    <w:next w:val="1"/>
    <w:link w:val="12"/>
    <w:unhideWhenUsed/>
    <w:qFormat/>
    <w:uiPriority w:val="9"/>
    <w:pPr>
      <w:keepNext/>
      <w:keepLines/>
      <w:spacing w:line="416" w:lineRule="auto"/>
      <w:outlineLvl w:val="2"/>
    </w:pPr>
    <w:rPr>
      <w:b/>
      <w:bCs/>
      <w:sz w:val="28"/>
      <w:szCs w:val="32"/>
    </w:rPr>
  </w:style>
  <w:style w:type="paragraph" w:styleId="5">
    <w:name w:val="heading 4"/>
    <w:basedOn w:val="1"/>
    <w:next w:val="1"/>
    <w:link w:val="1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5"/>
    <w:unhideWhenUsed/>
    <w:qFormat/>
    <w:uiPriority w:val="99"/>
    <w:pPr>
      <w:tabs>
        <w:tab w:val="center" w:pos="4153"/>
        <w:tab w:val="right" w:pos="8306"/>
      </w:tabs>
      <w:spacing w:line="240" w:lineRule="auto"/>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pacing w:line="240" w:lineRule="auto"/>
      <w:jc w:val="center"/>
    </w:pPr>
    <w:rPr>
      <w:sz w:val="18"/>
      <w:szCs w:val="18"/>
    </w:rPr>
  </w:style>
  <w:style w:type="character" w:customStyle="1" w:styleId="10">
    <w:name w:val="标题 1 字符"/>
    <w:basedOn w:val="9"/>
    <w:link w:val="2"/>
    <w:qFormat/>
    <w:uiPriority w:val="9"/>
    <w:rPr>
      <w:rFonts w:eastAsia="黑体"/>
      <w:b/>
      <w:bCs/>
      <w:snapToGrid w:val="0"/>
      <w:kern w:val="44"/>
      <w:sz w:val="32"/>
      <w:szCs w:val="44"/>
    </w:rPr>
  </w:style>
  <w:style w:type="character" w:customStyle="1" w:styleId="11">
    <w:name w:val="标题 2 字符"/>
    <w:basedOn w:val="9"/>
    <w:link w:val="3"/>
    <w:qFormat/>
    <w:uiPriority w:val="9"/>
    <w:rPr>
      <w:rFonts w:asciiTheme="majorHAnsi" w:hAnsiTheme="majorHAnsi" w:eastAsiaTheme="majorEastAsia" w:cstheme="majorBidi"/>
      <w:b/>
      <w:bCs/>
      <w:snapToGrid w:val="0"/>
      <w:kern w:val="0"/>
      <w:sz w:val="28"/>
      <w:szCs w:val="32"/>
    </w:rPr>
  </w:style>
  <w:style w:type="character" w:customStyle="1" w:styleId="12">
    <w:name w:val="标题 3 字符"/>
    <w:basedOn w:val="9"/>
    <w:link w:val="4"/>
    <w:qFormat/>
    <w:uiPriority w:val="9"/>
    <w:rPr>
      <w:b/>
      <w:bCs/>
      <w:snapToGrid w:val="0"/>
      <w:kern w:val="0"/>
      <w:sz w:val="28"/>
      <w:szCs w:val="32"/>
    </w:rPr>
  </w:style>
  <w:style w:type="character" w:customStyle="1" w:styleId="13">
    <w:name w:val="标题 4 字符"/>
    <w:basedOn w:val="9"/>
    <w:link w:val="5"/>
    <w:qFormat/>
    <w:uiPriority w:val="9"/>
    <w:rPr>
      <w:rFonts w:asciiTheme="majorHAnsi" w:hAnsiTheme="majorHAnsi" w:eastAsiaTheme="majorEastAsia" w:cstheme="majorBidi"/>
      <w:b/>
      <w:bCs/>
      <w:snapToGrid w:val="0"/>
      <w:kern w:val="0"/>
      <w:sz w:val="28"/>
      <w:szCs w:val="28"/>
    </w:rPr>
  </w:style>
  <w:style w:type="character" w:customStyle="1" w:styleId="14">
    <w:name w:val="页眉 字符"/>
    <w:basedOn w:val="9"/>
    <w:link w:val="7"/>
    <w:qFormat/>
    <w:uiPriority w:val="99"/>
    <w:rPr>
      <w:snapToGrid w:val="0"/>
      <w:kern w:val="0"/>
      <w:sz w:val="18"/>
      <w:szCs w:val="18"/>
    </w:rPr>
  </w:style>
  <w:style w:type="character" w:customStyle="1" w:styleId="15">
    <w:name w:val="页脚 字符"/>
    <w:basedOn w:val="9"/>
    <w:link w:val="6"/>
    <w:qFormat/>
    <w:uiPriority w:val="99"/>
    <w:rPr>
      <w:snapToGrid w:val="0"/>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799</Words>
  <Characters>4557</Characters>
  <Lines>37</Lines>
  <Paragraphs>10</Paragraphs>
  <TotalTime>0</TotalTime>
  <ScaleCrop>false</ScaleCrop>
  <LinksUpToDate>false</LinksUpToDate>
  <CharactersWithSpaces>5346</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2023-08-09T10:44:00Z</dcterms:created>
  <dc:creator>Admin</dc:creator>
  <cp:lastModifiedBy>市商务局</cp:lastModifiedBy>
  <dcterms:modified xsi:type="dcterms:W3CDTF">2023-08-10T10:25:37Z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