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w:t>
      </w:r>
      <w:r>
        <w:rPr>
          <w:rFonts w:ascii="Times New Roman" w:hAnsi="Times New Roman" w:eastAsia="方正小标宋_GBK" w:cs="Times New Roman"/>
          <w:spacing w:val="-4"/>
          <w:sz w:val="44"/>
          <w:szCs w:val="44"/>
        </w:rPr>
        <w:t>关于进一步加强全市老年人体育工作的意见（送审稿）</w:t>
      </w:r>
      <w:r>
        <w:rPr>
          <w:rFonts w:ascii="Times New Roman" w:hAnsi="Times New Roman" w:eastAsia="方正小标宋_GBK" w:cs="Times New Roman"/>
          <w:bCs/>
          <w:sz w:val="44"/>
          <w:szCs w:val="44"/>
        </w:rPr>
        <w:t>》起草情况说明</w:t>
      </w:r>
    </w:p>
    <w:p>
      <w:pPr>
        <w:spacing w:line="600" w:lineRule="exact"/>
        <w:ind w:firstLine="645"/>
        <w:rPr>
          <w:rFonts w:ascii="Times New Roman" w:hAnsi="Times New Roman" w:eastAsia="黑体" w:cs="Times New Roman"/>
          <w:bCs/>
          <w:sz w:val="32"/>
          <w:szCs w:val="32"/>
        </w:rPr>
      </w:pPr>
    </w:p>
    <w:p>
      <w:pPr>
        <w:spacing w:line="600" w:lineRule="exact"/>
        <w:ind w:firstLine="645"/>
        <w:rPr>
          <w:rFonts w:ascii="Times New Roman" w:hAnsi="Times New Roman" w:eastAsia="黑体" w:cs="Times New Roman"/>
          <w:bCs/>
          <w:sz w:val="32"/>
          <w:szCs w:val="32"/>
        </w:rPr>
      </w:pPr>
      <w:r>
        <w:rPr>
          <w:rFonts w:ascii="Times New Roman" w:hAnsi="Times New Roman" w:eastAsia="黑体" w:cs="Times New Roman"/>
          <w:bCs/>
          <w:sz w:val="32"/>
          <w:szCs w:val="32"/>
        </w:rPr>
        <w:t>一、起草背景和过程</w:t>
      </w:r>
    </w:p>
    <w:p>
      <w:pPr>
        <w:spacing w:line="600" w:lineRule="exact"/>
        <w:rPr>
          <w:rFonts w:ascii="Times New Roman" w:hAnsi="Times New Roman" w:eastAsia="仿宋_GB2312" w:cs="Times New Roman"/>
          <w:sz w:val="32"/>
          <w:szCs w:val="32"/>
          <w:lang w:val="en"/>
        </w:rPr>
      </w:pPr>
      <w:r>
        <w:rPr>
          <w:rFonts w:ascii="Times New Roman" w:hAnsi="Times New Roman" w:eastAsia="仿宋_GB2312" w:cs="Times New Roman"/>
          <w:sz w:val="32"/>
          <w:szCs w:val="32"/>
        </w:rPr>
        <w:t xml:space="preserve">    2022年12月18日，江苏省人民政府办公厅印发了《省政府办公厅关于进一步加强全省老年人体育工作的意见》（</w:t>
      </w:r>
      <w:bookmarkStart w:id="0" w:name="txtLaiWenHao"/>
      <w:r>
        <w:rPr>
          <w:rFonts w:ascii="Times New Roman" w:hAnsi="Times New Roman" w:eastAsia="仿宋_GB2312" w:cs="Times New Roman"/>
          <w:sz w:val="32"/>
          <w:szCs w:val="32"/>
        </w:rPr>
        <w:t>苏政办发〔2022〕84号</w:t>
      </w:r>
      <w:bookmarkEnd w:id="0"/>
      <w:r>
        <w:rPr>
          <w:rFonts w:ascii="Times New Roman" w:hAnsi="Times New Roman" w:eastAsia="仿宋_GB2312" w:cs="Times New Roman"/>
          <w:sz w:val="32"/>
          <w:szCs w:val="32"/>
        </w:rPr>
        <w:t>）。12月20日，根据查颖冬副市长批示要求，</w:t>
      </w:r>
      <w:r>
        <w:rPr>
          <w:rFonts w:ascii="Times New Roman" w:hAnsi="Times New Roman" w:eastAsia="仿宋_GB2312" w:cs="Times New Roman"/>
          <w:sz w:val="32"/>
          <w:szCs w:val="32"/>
          <w:lang w:val="en"/>
        </w:rPr>
        <w:t>市体育局</w:t>
      </w:r>
      <w:r>
        <w:rPr>
          <w:rFonts w:ascii="Times New Roman" w:hAnsi="Times New Roman" w:eastAsia="仿宋_GB2312" w:cs="Times New Roman"/>
          <w:sz w:val="32"/>
          <w:szCs w:val="32"/>
        </w:rPr>
        <w:t>在认真学习研究省相关政策文件的基础上，</w:t>
      </w:r>
      <w:r>
        <w:rPr>
          <w:rFonts w:ascii="Times New Roman" w:hAnsi="Times New Roman" w:eastAsia="仿宋_GB2312" w:cs="Times New Roman"/>
          <w:sz w:val="32"/>
          <w:szCs w:val="32"/>
          <w:lang w:val="en"/>
        </w:rPr>
        <w:t>抓紧组织工作方案起草。</w:t>
      </w:r>
      <w:r>
        <w:rPr>
          <w:rFonts w:ascii="Times New Roman" w:hAnsi="Times New Roman" w:eastAsia="仿宋_GB2312" w:cs="Times New Roman"/>
          <w:sz w:val="32"/>
          <w:szCs w:val="32"/>
        </w:rPr>
        <w:t>2023年1月完成初稿，2月1日将《关于进一步加强全市老年人体育工作的意见（征求意见稿）》抄送至市民政局、市卫健委等有关部门。起草过程中，市体育局多次</w:t>
      </w:r>
      <w:r>
        <w:rPr>
          <w:rFonts w:hint="eastAsia" w:ascii="Times New Roman" w:hAnsi="Times New Roman" w:eastAsia="仿宋_GB2312" w:cs="Times New Roman"/>
          <w:sz w:val="32"/>
          <w:szCs w:val="32"/>
          <w:lang w:eastAsia="zh-CN"/>
        </w:rPr>
        <w:t>向</w:t>
      </w:r>
      <w:r>
        <w:rPr>
          <w:rFonts w:ascii="Times New Roman" w:hAnsi="Times New Roman" w:eastAsia="仿宋_GB2312" w:cs="Times New Roman"/>
          <w:sz w:val="32"/>
          <w:szCs w:val="32"/>
        </w:rPr>
        <w:t>体育系统，各县级市、区体育部门，市有关部门征求意见，形成《关于进一步加强全市老年人体育工作的意见（送审稿）》（以下简称：意见）。</w:t>
      </w:r>
    </w:p>
    <w:p>
      <w:pPr>
        <w:spacing w:line="600" w:lineRule="exact"/>
        <w:ind w:firstLine="645"/>
        <w:rPr>
          <w:rFonts w:ascii="Times New Roman" w:hAnsi="Times New Roman" w:eastAsia="黑体" w:cs="Times New Roman"/>
          <w:bCs/>
          <w:sz w:val="32"/>
          <w:szCs w:val="32"/>
        </w:rPr>
      </w:pPr>
      <w:r>
        <w:rPr>
          <w:rFonts w:ascii="Times New Roman" w:hAnsi="Times New Roman" w:eastAsia="黑体" w:cs="Times New Roman"/>
          <w:bCs/>
          <w:sz w:val="32"/>
          <w:szCs w:val="32"/>
        </w:rPr>
        <w:t>二、起草思路</w:t>
      </w:r>
    </w:p>
    <w:p>
      <w:pPr>
        <w:widowControl/>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意见》围绕省办公厅《意见》中的八项主题展开起草工作，即明确总体要求、加强场地设施建设、健全老年体育组织、开展体育赛事活动、推广科学健身指导、推进数字化建设、动员社会力量参与和强化保障措施，并结合《全民健身条例》《苏州市构建更高水平的全民健身公共服务体系工作方案》等依据，结合苏州实际，进行《意见》的起草。</w:t>
      </w:r>
    </w:p>
    <w:p>
      <w:pPr>
        <w:spacing w:line="600" w:lineRule="exact"/>
        <w:ind w:firstLine="645"/>
        <w:rPr>
          <w:rFonts w:ascii="Times New Roman" w:hAnsi="Times New Roman" w:eastAsia="黑体" w:cs="Times New Roman"/>
          <w:bCs/>
          <w:sz w:val="32"/>
          <w:szCs w:val="32"/>
        </w:rPr>
      </w:pPr>
      <w:r>
        <w:rPr>
          <w:rFonts w:ascii="Times New Roman" w:hAnsi="Times New Roman" w:eastAsia="黑体" w:cs="Times New Roman"/>
          <w:bCs/>
          <w:sz w:val="32"/>
          <w:szCs w:val="32"/>
        </w:rPr>
        <w:t>三、主要内容</w:t>
      </w:r>
    </w:p>
    <w:p>
      <w:pPr>
        <w:tabs>
          <w:tab w:val="left" w:pos="6315"/>
        </w:tabs>
        <w:spacing w:line="600" w:lineRule="exact"/>
        <w:ind w:firstLine="640" w:firstLineChars="200"/>
        <w:rPr>
          <w:rFonts w:ascii="Times New Roman" w:hAnsi="Times New Roman" w:eastAsia="仿宋_GB2312" w:cs="Times New Roman"/>
          <w:sz w:val="36"/>
          <w:szCs w:val="36"/>
          <w:lang w:val="en"/>
        </w:rPr>
      </w:pPr>
      <w:r>
        <w:rPr>
          <w:rFonts w:ascii="Times New Roman" w:hAnsi="Times New Roman" w:eastAsia="仿宋_GB2312" w:cs="Times New Roman"/>
          <w:sz w:val="32"/>
          <w:szCs w:val="32"/>
          <w:lang w:val="en"/>
        </w:rPr>
        <w:t>《意见》主要</w:t>
      </w:r>
      <w:r>
        <w:rPr>
          <w:rFonts w:ascii="Times New Roman" w:hAnsi="Times New Roman" w:eastAsia="仿宋_GB2312" w:cs="Times New Roman"/>
          <w:sz w:val="32"/>
          <w:szCs w:val="32"/>
        </w:rPr>
        <w:t>从</w:t>
      </w:r>
      <w:r>
        <w:rPr>
          <w:rFonts w:ascii="Times New Roman" w:hAnsi="Times New Roman" w:eastAsia="仿宋_GB2312" w:cs="Times New Roman"/>
          <w:sz w:val="32"/>
          <w:szCs w:val="32"/>
          <w:lang w:val="en"/>
        </w:rPr>
        <w:t>思想引领、场地设施建设、赛事活动开展、组织协会建设、体育健身指导、完善保障措施六个方面提出要求。</w:t>
      </w:r>
    </w:p>
    <w:p>
      <w:pPr>
        <w:tabs>
          <w:tab w:val="left" w:pos="6315"/>
        </w:tabs>
        <w:spacing w:line="600" w:lineRule="exact"/>
        <w:ind w:firstLine="642"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第一自然段，说明了《意见》制订的目的和依据。</w:t>
      </w:r>
    </w:p>
    <w:p>
      <w:pPr>
        <w:tabs>
          <w:tab w:val="left" w:pos="6315"/>
        </w:tabs>
        <w:spacing w:line="600" w:lineRule="exact"/>
        <w:ind w:firstLine="642"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第一部分，强化思想引领，稳步推动老年人体育工作</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明确</w:t>
      </w:r>
      <w:r>
        <w:rPr>
          <w:rFonts w:hint="eastAsia" w:ascii="Times New Roman" w:hAnsi="Times New Roman" w:eastAsia="仿宋_GB2312" w:cs="Times New Roman"/>
          <w:sz w:val="32"/>
          <w:szCs w:val="32"/>
        </w:rPr>
        <w:t>指导思想</w:t>
      </w:r>
      <w:r>
        <w:rPr>
          <w:rFonts w:ascii="Times New Roman" w:hAnsi="Times New Roman" w:eastAsia="仿宋_GB2312" w:cs="Times New Roman"/>
          <w:sz w:val="32"/>
          <w:szCs w:val="32"/>
        </w:rPr>
        <w:t>。以习近平新时代中国特色社会主义思想为指导，深入学习贯彻习近平总书记关于老龄工作和体育工作的重要指示精神，深入实施全民健身国家战略和积极应对人口老龄化国家战略。</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构建服务体系。推动构建城乡均衡、服务便利、运行顺畅、保障有力的老年人体育公共服务体系，把老年人体育工作与实施民生幸福工程、与转变体育发展方式、与推进社会治理创新相结合，发挥体育健身在应对人口老龄化中的积极作用。</w:t>
      </w:r>
    </w:p>
    <w:p>
      <w:pPr>
        <w:spacing w:line="600" w:lineRule="exact"/>
        <w:ind w:firstLine="642"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第二部分，加强场地设施建设，着力保障老年人健身场地</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建好基础场地设施。重点完善老年人基础体育场地设施布局，保证新建居住区和社区人均室外体育用地面积≥0.3平方米、人均室内体育用地建筑面积≥0.1平方米，人均体育场地面积≥2.3平方米或逐年提升。重视盘活城市“金角银边”等土地资源。</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推动场地设施后期维护。加大对全民健身路径后期维护管理工作的监管。深入实施全民健身场地设施“补短板”行动计划，开展室外全民健身设施清查规范，用好管理信息平台，完善长效管护机制。</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做好体育场馆开放工作。动员企事业单位将所拥有的体育场所设施向周边老年人开放，已有的老年人体育健身场地设施不得擅自改变用途。做好中央和省公共体育场馆免费或低收费开放补助资金申报工作。</w:t>
      </w:r>
    </w:p>
    <w:p>
      <w:pPr>
        <w:tabs>
          <w:tab w:val="left" w:pos="6315"/>
        </w:tabs>
        <w:spacing w:line="600" w:lineRule="exact"/>
        <w:ind w:firstLine="642"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第三部分，开展体育赛事活动，不断丰富老年人体育活动模式</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构建多样化赛事体系。</w:t>
      </w:r>
      <w:r>
        <w:rPr>
          <w:rFonts w:ascii="Times New Roman" w:hAnsi="Times New Roman" w:eastAsia="仿宋_GB2312" w:cs="Times New Roman"/>
        </w:rPr>
        <w:t xml:space="preserve"> </w:t>
      </w:r>
      <w:r>
        <w:rPr>
          <w:rFonts w:ascii="Times New Roman" w:hAnsi="Times New Roman" w:eastAsia="仿宋_GB2312" w:cs="Times New Roman"/>
          <w:sz w:val="32"/>
          <w:szCs w:val="32"/>
        </w:rPr>
        <w:t>广泛开展镇（街道）、社区（村）运动会，推动县级市、区年度运动会全覆盖，推动“苏州假日体育”等特色体育赛事发展涵盖普惠老年群体。</w:t>
      </w:r>
    </w:p>
    <w:p>
      <w:pPr>
        <w:tabs>
          <w:tab w:val="left" w:pos="6315"/>
        </w:tabs>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构建特色活动体系。利用全民健身日等节假日因地制宜开展群众性文体活动。广泛普及广场舞等老年特色体育活动，打造具有苏州特色的赛事活动体系。</w:t>
      </w:r>
    </w:p>
    <w:p>
      <w:pPr>
        <w:spacing w:line="600" w:lineRule="exact"/>
        <w:ind w:firstLine="642"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第四部分，抓好协会组织建设，持续完善老年人体育组织架构</w:t>
      </w:r>
      <w:bookmarkStart w:id="1" w:name="_GoBack"/>
      <w:bookmarkEnd w:id="1"/>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健全老年人体育协会组织架构。鼓励发展多种类型的老年人体育组织。引导支持相关老年人体育协会完善组织架构建设，健全工作机构，鼓励开展老年人体育工作人员下沉基层宣传科学健身知识。</w:t>
      </w:r>
    </w:p>
    <w:p>
      <w:pPr>
        <w:tabs>
          <w:tab w:val="left" w:pos="6315"/>
        </w:tabs>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发挥老年人体育社会组织实效。引导更多的老年人投入到体育健身活动中来，加强对老年人体育协会的经费补贴和场地支持，帮助老年人体育组织实现有人员、有阵地、有经费。支持苏州市老年人体育协会开展各类活动。</w:t>
      </w:r>
    </w:p>
    <w:p>
      <w:pPr>
        <w:tabs>
          <w:tab w:val="left" w:pos="6315"/>
        </w:tabs>
        <w:spacing w:line="600" w:lineRule="exact"/>
        <w:ind w:firstLine="642"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第五部分，推进体育健身指导，切实加强老年人体卫融合工作</w:t>
      </w:r>
    </w:p>
    <w:p>
      <w:pPr>
        <w:tabs>
          <w:tab w:val="left" w:pos="6315"/>
        </w:tabs>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做好线上健身指导工作。持续用好“运动苏州”等线上推广平台。鼓励各类体育工作者引导老年人创编推广适合老年人参与的健身方法。探索线上健身、线上培训、线上赛事等新模式。</w:t>
      </w:r>
    </w:p>
    <w:p>
      <w:pPr>
        <w:tabs>
          <w:tab w:val="left" w:pos="6315"/>
        </w:tabs>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加强社会体育指导员队伍管理。鼓励更多适龄老年人加入社会体育指导员行列。发挥省社会体育指导员平台作用，推动指导员在线注册打卡。</w:t>
      </w:r>
    </w:p>
    <w:p>
      <w:pPr>
        <w:tabs>
          <w:tab w:val="left" w:pos="6315"/>
        </w:tabs>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推动体卫融合。持续开展国民体质监测项目，加强苏州市运动健康中心建设，鼓励有条件的基层医疗卫生机构设立运动健康干预门诊，结合家庭医生签约服务，推广健康生活方式，推广通过运动干预高血压等老年群体高发疾病。</w:t>
      </w:r>
    </w:p>
    <w:p>
      <w:pPr>
        <w:tabs>
          <w:tab w:val="left" w:pos="6315"/>
        </w:tabs>
        <w:spacing w:line="600" w:lineRule="exact"/>
        <w:ind w:firstLine="642"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第六部分，完善保障措施，不断巩固老年人体育工作成果</w:t>
      </w:r>
    </w:p>
    <w:p>
      <w:pPr>
        <w:tabs>
          <w:tab w:val="left" w:pos="6315"/>
        </w:tabs>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完善老年体育健身普惠供给。加强对老龄工作和老年人体育工作的统筹，将其纳入当地经济和社会发展总体规划，在财政、税收、场地等方面给予政策支持。鼓励各级政府将健身服务纳入“15分钟社区养老服务圈”，不断扩大面向老年人健身的普惠性供给。</w:t>
      </w:r>
    </w:p>
    <w:p>
      <w:pPr>
        <w:tabs>
          <w:tab w:val="left" w:pos="6315"/>
        </w:tabs>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探索“体育+”发展模式。推动体育与旅游、文化、医疗等多业态融合发展，满足老年人多层次需求。积极鼓励企事业单位捐赠活动经费或体育健身器材，打通社会资本参与渠道，健全投资体系。</w:t>
      </w:r>
    </w:p>
    <w:p>
      <w:pPr>
        <w:pStyle w:val="2"/>
        <w:spacing w:line="60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推进数字化建设。落实诸如智慧场馆等数字健身场地，安排体彩公益金用于数字化建设，加强对老年人的智能设备使用培训。</w:t>
      </w:r>
    </w:p>
    <w:p>
      <w:pPr>
        <w:pStyle w:val="2"/>
        <w:spacing w:line="600" w:lineRule="exact"/>
        <w:rPr>
          <w:rFonts w:ascii="Times New Roman" w:hAnsi="Times New Roman" w:eastAsia="仿宋_GB2312" w:cs="Times New Roman"/>
          <w:sz w:val="32"/>
          <w:szCs w:val="32"/>
        </w:rPr>
      </w:pPr>
      <w:r>
        <w:rPr>
          <w:rFonts w:ascii="Times New Roman" w:hAnsi="Times New Roman" w:eastAsia="仿宋_GB2312" w:cs="Times New Roman"/>
        </w:rPr>
        <w:t xml:space="preserve">  </w:t>
      </w:r>
      <w:r>
        <w:rPr>
          <w:rFonts w:ascii="Times New Roman" w:hAnsi="Times New Roman" w:eastAsia="仿宋_GB2312" w:cs="Times New Roman"/>
          <w:sz w:val="32"/>
          <w:szCs w:val="32"/>
        </w:rPr>
        <w:t>16</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完善其他保障措施。建立健全老年人体育需求清单，发挥老龄工作和全民健身联席会议平台作用，按照规定对老年人体育事业作出突出贡献的单位和个人予以表彰奖励。加大全民健身公益广告创作和投放力度，把体育健身纳入老年大学等老年教育范围内，在全社会营造关心老年人体育事业的浓厚氛围。</w:t>
      </w:r>
    </w:p>
    <w:sectPr>
      <w:footerReference r:id="rId3" w:type="default"/>
      <w:footerReference r:id="rId4" w:type="even"/>
      <w:pgSz w:w="11906" w:h="16838"/>
      <w:pgMar w:top="2098" w:right="1474" w:bottom="1984" w:left="1587"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88167"/>
      <w:docPartObj>
        <w:docPartGallery w:val="autotext"/>
      </w:docPartObj>
    </w:sdtPr>
    <w:sdtEndPr>
      <w:rPr>
        <w:rFonts w:ascii="Times New Roman" w:hAnsi="Times New Roman" w:cs="Times New Roman"/>
        <w:sz w:val="28"/>
        <w:szCs w:val="28"/>
      </w:rPr>
    </w:sdtEndPr>
    <w:sdtContent>
      <w:p>
        <w:pPr>
          <w:pStyle w:val="5"/>
          <w:ind w:right="360"/>
          <w:jc w:val="right"/>
          <w:rPr>
            <w:rFonts w:hint="eastAsia"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8176107"/>
      <w:docPartObj>
        <w:docPartGallery w:val="autotext"/>
      </w:docPartObj>
    </w:sdtPr>
    <w:sdtEndPr>
      <w:rPr>
        <w:rFonts w:ascii="Times New Roman" w:hAnsi="Times New Roman" w:cs="Times New Roman"/>
        <w:sz w:val="28"/>
        <w:szCs w:val="28"/>
      </w:rPr>
    </w:sdtEndPr>
    <w:sdtContent>
      <w:p>
        <w:pPr>
          <w:pStyle w:val="5"/>
          <w:ind w:firstLine="360" w:firstLineChars="200"/>
          <w:rPr>
            <w:rFonts w:hint="eastAsia"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05"/>
  <w:drawingGridVerticalSpacing w:val="156"/>
  <w:displayHorizontalDrawingGridEvery w:val="2"/>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zYWU0N2M4YTc0NTk1M2Q4YTNhZjlkMzQ5NWY4MTcifQ=="/>
  </w:docVars>
  <w:rsids>
    <w:rsidRoot w:val="00041B50"/>
    <w:rsid w:val="00021625"/>
    <w:rsid w:val="00041B50"/>
    <w:rsid w:val="00067231"/>
    <w:rsid w:val="000F3947"/>
    <w:rsid w:val="00106FCE"/>
    <w:rsid w:val="0012009F"/>
    <w:rsid w:val="00136939"/>
    <w:rsid w:val="00153DC3"/>
    <w:rsid w:val="00176939"/>
    <w:rsid w:val="001838DB"/>
    <w:rsid w:val="00183E2A"/>
    <w:rsid w:val="001877CD"/>
    <w:rsid w:val="001B0CC1"/>
    <w:rsid w:val="001C0570"/>
    <w:rsid w:val="001C2FB8"/>
    <w:rsid w:val="001F6056"/>
    <w:rsid w:val="00233893"/>
    <w:rsid w:val="002B32F8"/>
    <w:rsid w:val="002E29CD"/>
    <w:rsid w:val="003031A2"/>
    <w:rsid w:val="00303C97"/>
    <w:rsid w:val="003121B5"/>
    <w:rsid w:val="00343B5C"/>
    <w:rsid w:val="00354C55"/>
    <w:rsid w:val="00370633"/>
    <w:rsid w:val="003D2FC1"/>
    <w:rsid w:val="0041033A"/>
    <w:rsid w:val="00434EC3"/>
    <w:rsid w:val="00526B2B"/>
    <w:rsid w:val="00526D8B"/>
    <w:rsid w:val="0057736C"/>
    <w:rsid w:val="005B134D"/>
    <w:rsid w:val="006160C9"/>
    <w:rsid w:val="00616814"/>
    <w:rsid w:val="006374B2"/>
    <w:rsid w:val="00642F4D"/>
    <w:rsid w:val="00650844"/>
    <w:rsid w:val="0066070D"/>
    <w:rsid w:val="006639D0"/>
    <w:rsid w:val="006958A9"/>
    <w:rsid w:val="006A2363"/>
    <w:rsid w:val="006B59F8"/>
    <w:rsid w:val="006B6236"/>
    <w:rsid w:val="006F25BE"/>
    <w:rsid w:val="006F4CF2"/>
    <w:rsid w:val="0070253F"/>
    <w:rsid w:val="0072323B"/>
    <w:rsid w:val="00723BAA"/>
    <w:rsid w:val="007320ED"/>
    <w:rsid w:val="0074449A"/>
    <w:rsid w:val="007513F5"/>
    <w:rsid w:val="00770295"/>
    <w:rsid w:val="00782B27"/>
    <w:rsid w:val="007B6F63"/>
    <w:rsid w:val="007E4370"/>
    <w:rsid w:val="007F0DF4"/>
    <w:rsid w:val="00813575"/>
    <w:rsid w:val="00813B48"/>
    <w:rsid w:val="008604FC"/>
    <w:rsid w:val="0088229F"/>
    <w:rsid w:val="008A56A5"/>
    <w:rsid w:val="008A66A4"/>
    <w:rsid w:val="008C1828"/>
    <w:rsid w:val="008C43B8"/>
    <w:rsid w:val="008F38A9"/>
    <w:rsid w:val="00923FF6"/>
    <w:rsid w:val="009539F6"/>
    <w:rsid w:val="00960B6C"/>
    <w:rsid w:val="00962008"/>
    <w:rsid w:val="0096623A"/>
    <w:rsid w:val="009748E2"/>
    <w:rsid w:val="00996B5E"/>
    <w:rsid w:val="009A168D"/>
    <w:rsid w:val="009A3190"/>
    <w:rsid w:val="009E5F9C"/>
    <w:rsid w:val="009E60C1"/>
    <w:rsid w:val="009F0C28"/>
    <w:rsid w:val="00A1526D"/>
    <w:rsid w:val="00A36427"/>
    <w:rsid w:val="00A46904"/>
    <w:rsid w:val="00A6234E"/>
    <w:rsid w:val="00A63DE6"/>
    <w:rsid w:val="00A91A28"/>
    <w:rsid w:val="00AB6B1F"/>
    <w:rsid w:val="00AC1228"/>
    <w:rsid w:val="00B03B73"/>
    <w:rsid w:val="00B21895"/>
    <w:rsid w:val="00B26A21"/>
    <w:rsid w:val="00B5788F"/>
    <w:rsid w:val="00B67F74"/>
    <w:rsid w:val="00B77B18"/>
    <w:rsid w:val="00B82260"/>
    <w:rsid w:val="00B868C9"/>
    <w:rsid w:val="00B95462"/>
    <w:rsid w:val="00BE29B0"/>
    <w:rsid w:val="00C30BDA"/>
    <w:rsid w:val="00C55DA0"/>
    <w:rsid w:val="00CE7F17"/>
    <w:rsid w:val="00CF13C3"/>
    <w:rsid w:val="00D703B3"/>
    <w:rsid w:val="00D72298"/>
    <w:rsid w:val="00DA43D9"/>
    <w:rsid w:val="00DA74C9"/>
    <w:rsid w:val="00DB0DCC"/>
    <w:rsid w:val="00DB7A57"/>
    <w:rsid w:val="00DF2093"/>
    <w:rsid w:val="00E278B8"/>
    <w:rsid w:val="00E64855"/>
    <w:rsid w:val="00E672B9"/>
    <w:rsid w:val="00E81B96"/>
    <w:rsid w:val="00E864DF"/>
    <w:rsid w:val="00E92746"/>
    <w:rsid w:val="00EC0C6E"/>
    <w:rsid w:val="00EC1B15"/>
    <w:rsid w:val="00EC3125"/>
    <w:rsid w:val="00EC6418"/>
    <w:rsid w:val="00F033AB"/>
    <w:rsid w:val="00F34CA4"/>
    <w:rsid w:val="00FA0E8F"/>
    <w:rsid w:val="148B7947"/>
    <w:rsid w:val="24556F7D"/>
    <w:rsid w:val="269F4FFE"/>
    <w:rsid w:val="356E74FF"/>
    <w:rsid w:val="3F674943"/>
    <w:rsid w:val="3FB92B62"/>
    <w:rsid w:val="5F7E4F00"/>
    <w:rsid w:val="5FF91E68"/>
    <w:rsid w:val="654BF1FA"/>
    <w:rsid w:val="6AFF51F1"/>
    <w:rsid w:val="6EBF8A97"/>
    <w:rsid w:val="6EF60B7B"/>
    <w:rsid w:val="77FD114E"/>
    <w:rsid w:val="795309A0"/>
    <w:rsid w:val="7FBE1E0E"/>
    <w:rsid w:val="7FFB649C"/>
    <w:rsid w:val="9AEF35EA"/>
    <w:rsid w:val="B5FC91FB"/>
    <w:rsid w:val="B9F7EC67"/>
    <w:rsid w:val="BB775343"/>
    <w:rsid w:val="BE3DE03A"/>
    <w:rsid w:val="CF5DCBA7"/>
    <w:rsid w:val="CF7D6756"/>
    <w:rsid w:val="DF5FE004"/>
    <w:rsid w:val="DFBA15CF"/>
    <w:rsid w:val="E5F35D61"/>
    <w:rsid w:val="EECF2FF7"/>
    <w:rsid w:val="EF32BAE6"/>
    <w:rsid w:val="F7FC55FD"/>
    <w:rsid w:val="FBE718A3"/>
    <w:rsid w:val="FFDE8342"/>
    <w:rsid w:val="FFDF60AD"/>
    <w:rsid w:val="FFF74C7D"/>
    <w:rsid w:val="FFFDD39E"/>
    <w:rsid w:val="FFFE9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4"/>
    <w:unhideWhenUsed/>
    <w:qFormat/>
    <w:uiPriority w:val="9"/>
    <w:pPr>
      <w:keepNext/>
      <w:keepLines/>
      <w:autoSpaceDE w:val="0"/>
      <w:autoSpaceDN w:val="0"/>
      <w:snapToGrid w:val="0"/>
      <w:spacing w:before="260" w:after="260" w:line="416" w:lineRule="atLeast"/>
      <w:ind w:firstLine="624"/>
      <w:outlineLvl w:val="1"/>
    </w:pPr>
    <w:rPr>
      <w:rFonts w:asciiTheme="majorHAnsi" w:hAnsiTheme="majorHAnsi" w:eastAsiaTheme="majorEastAsia" w:cstheme="majorBidi"/>
      <w:b/>
      <w:bCs/>
      <w:kern w:val="0"/>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styleId="11">
    <w:name w:val="No Spacing"/>
    <w:link w:val="12"/>
    <w:qFormat/>
    <w:uiPriority w:val="1"/>
    <w:rPr>
      <w:rFonts w:asciiTheme="minorHAnsi" w:hAnsiTheme="minorHAnsi" w:eastAsiaTheme="minorEastAsia" w:cstheme="minorBidi"/>
      <w:sz w:val="22"/>
      <w:szCs w:val="22"/>
      <w:lang w:val="en-US" w:eastAsia="zh-CN" w:bidi="ar-SA"/>
    </w:rPr>
  </w:style>
  <w:style w:type="character" w:customStyle="1" w:styleId="12">
    <w:name w:val="无间隔 字符"/>
    <w:basedOn w:val="8"/>
    <w:link w:val="11"/>
    <w:qFormat/>
    <w:uiPriority w:val="1"/>
    <w:rPr>
      <w:kern w:val="0"/>
      <w:sz w:val="22"/>
    </w:rPr>
  </w:style>
  <w:style w:type="paragraph" w:styleId="13">
    <w:name w:val="List Paragraph"/>
    <w:basedOn w:val="1"/>
    <w:unhideWhenUsed/>
    <w:qFormat/>
    <w:uiPriority w:val="99"/>
    <w:pPr>
      <w:ind w:firstLine="420" w:firstLineChars="200"/>
    </w:pPr>
  </w:style>
  <w:style w:type="character" w:customStyle="1" w:styleId="14">
    <w:name w:val="标题 2 字符"/>
    <w:basedOn w:val="8"/>
    <w:link w:val="3"/>
    <w:qFormat/>
    <w:uiPriority w:val="9"/>
    <w:rPr>
      <w:rFonts w:asciiTheme="majorHAnsi" w:hAnsiTheme="majorHAnsi" w:eastAsiaTheme="majorEastAsia" w:cstheme="majorBidi"/>
      <w:b/>
      <w:bCs/>
      <w:sz w:val="32"/>
      <w:szCs w:val="32"/>
    </w:rPr>
  </w:style>
  <w:style w:type="character" w:customStyle="1" w:styleId="15">
    <w:name w:val="批注框文本 字符"/>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330</Words>
  <Characters>1885</Characters>
  <Lines>15</Lines>
  <Paragraphs>4</Paragraphs>
  <TotalTime>0</TotalTime>
  <ScaleCrop>false</ScaleCrop>
  <LinksUpToDate>false</LinksUpToDate>
  <CharactersWithSpaces>2211</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2021-07-28T06:12:00Z</dcterms:created>
  <dc:creator>陈俊</dc:creator>
  <cp:lastModifiedBy>sugon</cp:lastModifiedBy>
  <dcterms:modified xsi:type="dcterms:W3CDTF">2023-03-09T10:38:27Z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355DCC40FB104CBBAC556E0829554C12</vt:lpwstr>
  </property>
</Properties>
</file>