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80" w:lineRule="exact"/>
        <w:rPr>
          <w:rFonts w:hint="eastAsia" w:ascii="黑体" w:hAnsi="黑体" w:eastAsia="黑体" w:cs="黑体"/>
          <w:snapToGrid w:val="0"/>
          <w:spacing w:val="-4"/>
          <w:kern w:val="0"/>
          <w:sz w:val="32"/>
          <w:szCs w:val="32"/>
          <w:lang w:val="en-US" w:eastAsia="zh-CN"/>
        </w:rPr>
      </w:pPr>
      <w:bookmarkStart w:id="0" w:name="_GoBack"/>
      <w:bookmarkEnd w:id="0"/>
    </w:p>
    <w:p>
      <w:pPr>
        <w:overflowPunct w:val="0"/>
        <w:adjustRightInd w:val="0"/>
        <w:snapToGrid w:val="0"/>
        <w:spacing w:line="580" w:lineRule="exact"/>
        <w:jc w:val="center"/>
        <w:rPr>
          <w:rFonts w:hint="eastAsia" w:eastAsia="方正小标宋简体"/>
          <w:snapToGrid w:val="0"/>
          <w:spacing w:val="-4"/>
          <w:kern w:val="0"/>
          <w:sz w:val="44"/>
          <w:szCs w:val="44"/>
          <w:shd w:val="clear" w:color="auto" w:fill="FFFFFF"/>
          <w:lang w:bidi="ar"/>
        </w:rPr>
      </w:pPr>
      <w:r>
        <w:rPr>
          <w:rFonts w:hint="eastAsia" w:hAnsi="方正小标宋简体" w:eastAsia="方正小标宋简体"/>
          <w:snapToGrid w:val="0"/>
          <w:spacing w:val="-4"/>
          <w:kern w:val="0"/>
          <w:sz w:val="44"/>
          <w:szCs w:val="44"/>
          <w:shd w:val="clear" w:color="auto" w:fill="FFFFFF"/>
          <w:lang w:bidi="ar"/>
        </w:rPr>
        <w:t>关于促进全民阅读推进书香社会建设的决定</w:t>
      </w:r>
    </w:p>
    <w:p>
      <w:pPr>
        <w:overflowPunct w:val="0"/>
        <w:adjustRightInd w:val="0"/>
        <w:snapToGrid w:val="0"/>
        <w:spacing w:before="100" w:beforeAutospacing="1" w:after="100" w:afterAutospacing="1" w:line="580" w:lineRule="exact"/>
        <w:jc w:val="center"/>
        <w:rPr>
          <w:rFonts w:hint="eastAsia" w:ascii="楷体_GB2312" w:hAnsi="楷体_GB2312" w:eastAsia="楷体_GB2312" w:cs="楷体_GB2312"/>
          <w:snapToGrid w:val="0"/>
          <w:spacing w:val="-4"/>
          <w:kern w:val="0"/>
          <w:sz w:val="32"/>
          <w:szCs w:val="32"/>
          <w:shd w:val="clear" w:color="auto" w:fill="FFFFFF"/>
          <w:lang w:bidi="ar"/>
        </w:rPr>
      </w:pPr>
      <w:r>
        <w:rPr>
          <w:rFonts w:hint="eastAsia" w:ascii="楷体_GB2312" w:hAnsi="楷体_GB2312" w:eastAsia="楷体_GB2312" w:cs="楷体_GB2312"/>
          <w:snapToGrid w:val="0"/>
          <w:spacing w:val="-4"/>
          <w:kern w:val="0"/>
          <w:sz w:val="32"/>
          <w:szCs w:val="32"/>
          <w:shd w:val="clear" w:color="auto" w:fill="FFFFFF"/>
          <w:lang w:bidi="ar"/>
        </w:rPr>
        <w:t>（</w:t>
      </w:r>
      <w:r>
        <w:rPr>
          <w:rFonts w:hint="eastAsia" w:ascii="楷体_GB2312" w:hAnsi="楷体_GB2312" w:eastAsia="楷体_GB2312" w:cs="楷体_GB2312"/>
          <w:snapToGrid w:val="0"/>
          <w:spacing w:val="-4"/>
          <w:kern w:val="0"/>
          <w:sz w:val="32"/>
          <w:szCs w:val="32"/>
          <w:shd w:val="clear" w:color="auto" w:fill="FFFFFF"/>
          <w:lang w:val="en-US" w:eastAsia="zh-CN" w:bidi="ar"/>
        </w:rPr>
        <w:t>征求意见稿</w:t>
      </w:r>
      <w:r>
        <w:rPr>
          <w:rFonts w:hint="eastAsia" w:ascii="楷体_GB2312" w:hAnsi="楷体_GB2312" w:eastAsia="楷体_GB2312" w:cs="楷体_GB2312"/>
          <w:snapToGrid w:val="0"/>
          <w:spacing w:val="-4"/>
          <w:kern w:val="0"/>
          <w:sz w:val="32"/>
          <w:szCs w:val="32"/>
          <w:shd w:val="clear" w:color="auto" w:fill="FFFFFF"/>
          <w:lang w:bidi="ar"/>
        </w:rPr>
        <w:t>）</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为促进全民阅读，提高公民文化素质和社会文明程度，以高质量全民阅读推进书香社会建设，根据有关法律法规，结合本市实际，作出如下决定：</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一、【原则】</w:t>
      </w:r>
      <w:r>
        <w:rPr>
          <w:rFonts w:hint="eastAsia" w:hAnsi="仿宋_GB2312" w:eastAsia="仿宋_GB2312"/>
          <w:snapToGrid w:val="0"/>
          <w:spacing w:val="-4"/>
          <w:kern w:val="0"/>
          <w:sz w:val="32"/>
          <w:szCs w:val="32"/>
          <w:shd w:val="clear" w:color="auto" w:fill="FFFFFF"/>
          <w:lang w:bidi="ar"/>
        </w:rPr>
        <w:t>全民阅读工作应当坚持以人民为中心，以社会主义核心价值观为引领，遵循政府引导、社会支持，公益普惠、</w:t>
      </w:r>
      <w:r>
        <w:rPr>
          <w:rFonts w:hint="eastAsia" w:hAnsi="仿宋_GB2312" w:eastAsia="仿宋_GB2312"/>
          <w:snapToGrid w:val="0"/>
          <w:spacing w:val="-4"/>
          <w:kern w:val="0"/>
          <w:sz w:val="32"/>
          <w:szCs w:val="32"/>
          <w:shd w:val="clear" w:color="auto" w:fill="FFFFFF"/>
          <w:lang w:val="en-US" w:eastAsia="zh-CN" w:bidi="ar"/>
        </w:rPr>
        <w:t>共建</w:t>
      </w:r>
      <w:r>
        <w:rPr>
          <w:rFonts w:hint="eastAsia" w:hAnsi="仿宋_GB2312" w:eastAsia="仿宋_GB2312"/>
          <w:snapToGrid w:val="0"/>
          <w:spacing w:val="-4"/>
          <w:kern w:val="0"/>
          <w:sz w:val="32"/>
          <w:szCs w:val="32"/>
          <w:shd w:val="clear" w:color="auto" w:fill="FFFFFF"/>
          <w:lang w:bidi="ar"/>
        </w:rPr>
        <w:t>共享，城乡一体、优质均衡的原则，传承中华优秀传统文化，赓续苏州千年书香文脉，建设新时代书香典范城市，助推苏州经济社会高质量发展。</w:t>
      </w:r>
    </w:p>
    <w:p>
      <w:pPr>
        <w:overflowPunct w:val="0"/>
        <w:adjustRightInd w:val="0"/>
        <w:snapToGrid w:val="0"/>
        <w:spacing w:line="580" w:lineRule="exact"/>
        <w:ind w:firstLine="624" w:firstLineChars="200"/>
        <w:rPr>
          <w:rFonts w:hint="eastAsia" w:hAnsi="仿宋_GB2312"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二、【布局定位】</w:t>
      </w:r>
      <w:r>
        <w:rPr>
          <w:rFonts w:hint="eastAsia" w:hAnsi="仿宋_GB2312" w:eastAsia="仿宋_GB2312"/>
          <w:snapToGrid w:val="0"/>
          <w:spacing w:val="-4"/>
          <w:kern w:val="0"/>
          <w:sz w:val="32"/>
          <w:szCs w:val="32"/>
          <w:shd w:val="clear" w:color="auto" w:fill="FFFFFF"/>
          <w:lang w:bidi="ar"/>
        </w:rPr>
        <w:t>市、县级市（区）人民政府应当把全民阅读作为高质量发展和社会主义精神文明建设</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bidi="ar"/>
        </w:rPr>
        <w:t>现代公共文化服务体系建设的内容，将全民阅读纳入国民经济和社会发展规划，公共阅读设施建设纳入城乡建设规划，工作经费纳入本级财政预算。</w:t>
      </w:r>
    </w:p>
    <w:p>
      <w:pPr>
        <w:overflowPunct w:val="0"/>
        <w:adjustRightInd w:val="0"/>
        <w:snapToGrid w:val="0"/>
        <w:spacing w:line="580" w:lineRule="exact"/>
        <w:ind w:firstLine="624" w:firstLineChars="200"/>
        <w:rPr>
          <w:rFonts w:hint="default" w:hAnsi="仿宋_GB2312" w:eastAsia="仿宋_GB2312"/>
          <w:snapToGrid w:val="0"/>
          <w:spacing w:val="-4"/>
          <w:kern w:val="0"/>
          <w:sz w:val="32"/>
          <w:szCs w:val="32"/>
          <w:shd w:val="clear" w:color="auto" w:fill="FFFFFF"/>
          <w:lang w:val="en-US" w:eastAsia="zh-CN" w:bidi="ar"/>
        </w:rPr>
      </w:pPr>
      <w:r>
        <w:rPr>
          <w:rFonts w:hint="eastAsia" w:hAnsi="仿宋_GB2312" w:eastAsia="仿宋_GB2312"/>
          <w:snapToGrid w:val="0"/>
          <w:spacing w:val="-4"/>
          <w:kern w:val="0"/>
          <w:sz w:val="32"/>
          <w:szCs w:val="32"/>
          <w:shd w:val="clear" w:color="auto" w:fill="FFFFFF"/>
          <w:lang w:val="en-US" w:eastAsia="zh-CN" w:bidi="ar"/>
        </w:rPr>
        <w:t>公共阅读资源和服务应当按照行政区常住人口配置提供。</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三、【</w:t>
      </w:r>
      <w:r>
        <w:rPr>
          <w:rFonts w:hint="eastAsia" w:hAnsi="黑体" w:eastAsia="黑体"/>
          <w:snapToGrid w:val="0"/>
          <w:spacing w:val="-4"/>
          <w:kern w:val="0"/>
          <w:sz w:val="32"/>
          <w:szCs w:val="32"/>
          <w:shd w:val="clear" w:color="auto" w:fill="FFFFFF"/>
          <w:lang w:val="en-US" w:eastAsia="zh-CN" w:bidi="ar"/>
        </w:rPr>
        <w:t>协调</w:t>
      </w:r>
      <w:r>
        <w:rPr>
          <w:rFonts w:hint="eastAsia" w:hAnsi="黑体" w:eastAsia="黑体"/>
          <w:snapToGrid w:val="0"/>
          <w:spacing w:val="-4"/>
          <w:kern w:val="0"/>
          <w:sz w:val="32"/>
          <w:szCs w:val="32"/>
          <w:shd w:val="clear" w:color="auto" w:fill="FFFFFF"/>
          <w:lang w:bidi="ar"/>
        </w:rPr>
        <w:t>机制】</w:t>
      </w:r>
      <w:r>
        <w:rPr>
          <w:rFonts w:hint="eastAsia" w:hAnsi="仿宋_GB2312" w:eastAsia="仿宋_GB2312"/>
          <w:snapToGrid w:val="0"/>
          <w:spacing w:val="-4"/>
          <w:kern w:val="0"/>
          <w:sz w:val="32"/>
          <w:szCs w:val="32"/>
          <w:shd w:val="clear" w:color="auto" w:fill="FFFFFF"/>
          <w:lang w:bidi="ar"/>
        </w:rPr>
        <w:t>市、县级市（区）人民政府应当建立新闻出版行政部门牵头的全民阅读工作协调机制，指导、协调和推进本行政区域内全民阅读工作。</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各级新闻出版、教育、科技、民政、司法、财政、资源规划、城乡建设、农业农村、文化、城市管理等职能部门，按照各自职责共同做好全民阅读促进工作。</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四、【</w:t>
      </w:r>
      <w:r>
        <w:rPr>
          <w:rFonts w:hint="eastAsia" w:hAnsi="黑体" w:eastAsia="黑体"/>
          <w:snapToGrid w:val="0"/>
          <w:spacing w:val="-4"/>
          <w:kern w:val="0"/>
          <w:sz w:val="32"/>
          <w:szCs w:val="32"/>
          <w:shd w:val="clear" w:color="auto" w:fill="FFFFFF"/>
          <w:lang w:val="en-US" w:eastAsia="zh-CN" w:bidi="ar"/>
        </w:rPr>
        <w:t>协同参与</w:t>
      </w:r>
      <w:r>
        <w:rPr>
          <w:rFonts w:hint="eastAsia" w:hAnsi="黑体" w:eastAsia="黑体"/>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各级机关和国有企事业单位应当发挥全民阅读示范作用，结合自身特点和条件，设立图书馆、阅览室等阅读设施，提供多种阅读载体，引领开展全民阅读活动。</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24" w:firstLineChars="200"/>
        <w:textAlignment w:val="auto"/>
        <w:rPr>
          <w:rFonts w:hint="eastAsia" w:hAnsi="仿宋_GB2312"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各级工会、共青团、妇联、文联、科协、</w:t>
      </w:r>
      <w:r>
        <w:rPr>
          <w:rFonts w:hint="eastAsia" w:hAnsi="仿宋_GB2312" w:eastAsia="仿宋_GB2312"/>
          <w:snapToGrid w:val="0"/>
          <w:spacing w:val="-4"/>
          <w:kern w:val="0"/>
          <w:sz w:val="32"/>
          <w:szCs w:val="32"/>
          <w:shd w:val="clear" w:color="auto" w:fill="FFFFFF"/>
          <w:lang w:val="en-US" w:eastAsia="zh-CN" w:bidi="ar"/>
        </w:rPr>
        <w:t>残联、</w:t>
      </w:r>
      <w:r>
        <w:rPr>
          <w:rFonts w:hint="eastAsia" w:hAnsi="仿宋_GB2312" w:eastAsia="仿宋_GB2312"/>
          <w:snapToGrid w:val="0"/>
          <w:spacing w:val="-4"/>
          <w:kern w:val="0"/>
          <w:sz w:val="32"/>
          <w:szCs w:val="32"/>
          <w:shd w:val="clear" w:color="auto" w:fill="FFFFFF"/>
          <w:lang w:bidi="ar"/>
        </w:rPr>
        <w:t>社科联等群团组织应当结合各自工作和服务对象的特点，开展全民阅读促进工作。</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24" w:firstLineChars="200"/>
        <w:textAlignment w:val="auto"/>
        <w:rPr>
          <w:rFonts w:hint="default" w:hAnsi="仿宋_GB2312" w:eastAsia="仿宋_GB2312"/>
          <w:snapToGrid w:val="0"/>
          <w:spacing w:val="-4"/>
          <w:kern w:val="0"/>
          <w:sz w:val="32"/>
          <w:szCs w:val="32"/>
          <w:shd w:val="clear" w:color="auto" w:fill="FFFFFF"/>
          <w:lang w:val="en-US" w:eastAsia="zh-CN" w:bidi="ar"/>
        </w:rPr>
      </w:pPr>
      <w:r>
        <w:rPr>
          <w:rFonts w:hint="eastAsia" w:hAnsi="仿宋_GB2312" w:eastAsia="仿宋_GB2312"/>
          <w:snapToGrid w:val="0"/>
          <w:spacing w:val="-4"/>
          <w:kern w:val="0"/>
          <w:sz w:val="32"/>
          <w:szCs w:val="32"/>
          <w:shd w:val="clear" w:color="auto" w:fill="FFFFFF"/>
          <w:lang w:val="en-US" w:eastAsia="zh-CN" w:bidi="ar"/>
        </w:rPr>
        <w:t>在苏州各类高校、科研院所应当发挥全民阅读参与主体作用。</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24" w:firstLineChars="200"/>
        <w:textAlignment w:val="auto"/>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五、【公共阅读设施】</w:t>
      </w:r>
      <w:r>
        <w:rPr>
          <w:rFonts w:hint="eastAsia" w:hAnsi="仿宋_GB2312" w:eastAsia="仿宋_GB2312"/>
          <w:snapToGrid w:val="0"/>
          <w:spacing w:val="-4"/>
          <w:kern w:val="0"/>
          <w:sz w:val="32"/>
          <w:szCs w:val="32"/>
          <w:shd w:val="clear" w:color="auto" w:fill="FFFFFF"/>
          <w:lang w:bidi="ar"/>
        </w:rPr>
        <w:t>市、县级市（区）人民政府应当根据人口分布和服务</w:t>
      </w:r>
      <w:r>
        <w:rPr>
          <w:rFonts w:hint="eastAsia" w:hAnsi="仿宋_GB2312" w:eastAsia="仿宋_GB2312"/>
          <w:snapToGrid w:val="0"/>
          <w:spacing w:val="-4"/>
          <w:kern w:val="0"/>
          <w:sz w:val="32"/>
          <w:szCs w:val="32"/>
          <w:shd w:val="clear" w:color="auto" w:fill="FFFFFF"/>
          <w:lang w:val="en-US" w:eastAsia="zh-CN" w:bidi="ar"/>
        </w:rPr>
        <w:t>半径</w:t>
      </w:r>
      <w:r>
        <w:rPr>
          <w:rFonts w:hint="eastAsia" w:hAnsi="仿宋_GB2312" w:eastAsia="仿宋_GB2312"/>
          <w:snapToGrid w:val="0"/>
          <w:spacing w:val="-4"/>
          <w:kern w:val="0"/>
          <w:sz w:val="32"/>
          <w:szCs w:val="32"/>
          <w:shd w:val="clear" w:color="auto" w:fill="FFFFFF"/>
          <w:lang w:bidi="ar"/>
        </w:rPr>
        <w:t>，科学合理设置公共图书馆、社区（农家）书屋、</w:t>
      </w:r>
      <w:r>
        <w:rPr>
          <w:rFonts w:hint="eastAsia" w:hAnsi="仿宋_GB2312" w:eastAsia="仿宋_GB2312"/>
          <w:snapToGrid w:val="0"/>
          <w:spacing w:val="-4"/>
          <w:kern w:val="0"/>
          <w:sz w:val="32"/>
          <w:szCs w:val="32"/>
          <w:shd w:val="clear" w:color="auto" w:fill="FFFFFF"/>
          <w:lang w:val="en-US" w:eastAsia="zh-CN" w:bidi="ar"/>
        </w:rPr>
        <w:t>职工书屋、</w:t>
      </w:r>
      <w:r>
        <w:rPr>
          <w:rFonts w:hint="eastAsia" w:hAnsi="仿宋_GB2312" w:eastAsia="仿宋_GB2312"/>
          <w:snapToGrid w:val="0"/>
          <w:spacing w:val="-4"/>
          <w:kern w:val="0"/>
          <w:sz w:val="32"/>
          <w:szCs w:val="32"/>
          <w:shd w:val="clear" w:color="auto" w:fill="FFFFFF"/>
          <w:lang w:bidi="ar"/>
        </w:rPr>
        <w:t>数字阅读终端等公共阅读服务场所及设施，拓展</w:t>
      </w:r>
      <w:r>
        <w:rPr>
          <w:rFonts w:hint="eastAsia" w:eastAsia="仿宋_GB2312"/>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阅读</w:t>
      </w:r>
      <w:r>
        <w:rPr>
          <w:rFonts w:hint="eastAsia" w:eastAsia="仿宋_GB2312"/>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阅读</w:t>
      </w:r>
      <w:r>
        <w:rPr>
          <w:rFonts w:hint="eastAsia" w:eastAsia="仿宋_GB2312"/>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多元场景业态，形成场馆服务、流动服务和数字服务相结合的全民阅读设施网络。</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24" w:firstLineChars="200"/>
        <w:textAlignment w:val="auto"/>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推进</w:t>
      </w:r>
      <w:r>
        <w:rPr>
          <w:rFonts w:hint="eastAsia" w:hAnsi="仿宋_GB2312" w:eastAsia="仿宋_GB2312"/>
          <w:snapToGrid w:val="0"/>
          <w:spacing w:val="-4"/>
          <w:kern w:val="0"/>
          <w:sz w:val="32"/>
          <w:szCs w:val="32"/>
          <w:shd w:val="clear" w:color="auto" w:fill="FFFFFF"/>
          <w:lang w:val="en-US" w:eastAsia="zh-CN" w:bidi="ar"/>
        </w:rPr>
        <w:t>面向全社会开放的</w:t>
      </w:r>
      <w:r>
        <w:rPr>
          <w:rFonts w:hint="eastAsia" w:hAnsi="仿宋_GB2312" w:eastAsia="仿宋_GB2312"/>
          <w:snapToGrid w:val="0"/>
          <w:spacing w:val="-4"/>
          <w:kern w:val="0"/>
          <w:sz w:val="32"/>
          <w:szCs w:val="32"/>
          <w:shd w:val="clear" w:color="auto" w:fill="FFFFFF"/>
          <w:lang w:bidi="ar"/>
        </w:rPr>
        <w:t>特色化城市书房建设，</w:t>
      </w:r>
      <w:r>
        <w:rPr>
          <w:rFonts w:hint="eastAsia" w:hAnsi="仿宋_GB2312" w:eastAsia="仿宋_GB2312"/>
          <w:snapToGrid w:val="0"/>
          <w:spacing w:val="-4"/>
          <w:kern w:val="0"/>
          <w:sz w:val="32"/>
          <w:szCs w:val="32"/>
          <w:shd w:val="clear" w:color="auto" w:fill="FFFFFF"/>
          <w:lang w:val="en-US" w:eastAsia="zh-CN" w:bidi="ar"/>
        </w:rPr>
        <w:t>实施标准化认证管理</w:t>
      </w:r>
      <w:r>
        <w:rPr>
          <w:rFonts w:hint="eastAsia" w:hAnsi="仿宋_GB2312" w:eastAsia="仿宋_GB2312"/>
          <w:snapToGrid w:val="0"/>
          <w:spacing w:val="-4"/>
          <w:kern w:val="0"/>
          <w:sz w:val="32"/>
          <w:szCs w:val="32"/>
          <w:shd w:val="clear" w:color="auto" w:fill="FFFFFF"/>
          <w:lang w:bidi="ar"/>
        </w:rPr>
        <w:t>。</w:t>
      </w:r>
    </w:p>
    <w:p>
      <w:pPr>
        <w:keepNext w:val="0"/>
        <w:keepLines w:val="0"/>
        <w:pageBreakBefore w:val="0"/>
        <w:widowControl w:val="0"/>
        <w:kinsoku/>
        <w:wordWrap/>
        <w:overflowPunct w:val="0"/>
        <w:topLinePunct w:val="0"/>
        <w:autoSpaceDE/>
        <w:autoSpaceDN/>
        <w:bidi w:val="0"/>
        <w:adjustRightInd w:val="0"/>
        <w:snapToGrid w:val="0"/>
        <w:spacing w:line="580" w:lineRule="exact"/>
        <w:ind w:firstLine="624" w:firstLineChars="200"/>
        <w:textAlignment w:val="auto"/>
        <w:rPr>
          <w:rFonts w:hint="eastAsia" w:eastAsia="仿宋_GB2312"/>
          <w:snapToGrid w:val="0"/>
          <w:spacing w:val="-4"/>
          <w:kern w:val="0"/>
          <w:sz w:val="32"/>
          <w:szCs w:val="32"/>
          <w:shd w:val="clear" w:color="auto" w:fill="FFFFFF"/>
          <w:lang w:bidi="ar"/>
        </w:rPr>
      </w:pPr>
      <w:r>
        <w:rPr>
          <w:rFonts w:hint="eastAsia" w:eastAsia="仿宋_GB2312"/>
          <w:snapToGrid w:val="0"/>
          <w:spacing w:val="-4"/>
          <w:kern w:val="0"/>
          <w:sz w:val="32"/>
          <w:szCs w:val="32"/>
          <w:shd w:val="clear" w:color="auto" w:fill="FFFFFF"/>
          <w:lang w:bidi="ar"/>
        </w:rPr>
        <w:t>新建、改建和扩建</w:t>
      </w:r>
      <w:r>
        <w:rPr>
          <w:rFonts w:hint="eastAsia" w:eastAsia="仿宋_GB2312"/>
          <w:snapToGrid w:val="0"/>
          <w:spacing w:val="-4"/>
          <w:kern w:val="0"/>
          <w:sz w:val="32"/>
          <w:szCs w:val="32"/>
          <w:shd w:val="clear" w:color="auto" w:fill="FFFFFF"/>
          <w:lang w:val="en-US" w:eastAsia="zh-CN" w:bidi="ar"/>
        </w:rPr>
        <w:t>居民</w:t>
      </w:r>
      <w:r>
        <w:rPr>
          <w:rFonts w:hint="eastAsia" w:eastAsia="仿宋_GB2312"/>
          <w:snapToGrid w:val="0"/>
          <w:spacing w:val="-4"/>
          <w:kern w:val="0"/>
          <w:sz w:val="32"/>
          <w:szCs w:val="32"/>
          <w:shd w:val="clear" w:color="auto" w:fill="FFFFFF"/>
          <w:lang w:bidi="ar"/>
        </w:rPr>
        <w:t>住宅区</w:t>
      </w:r>
      <w:r>
        <w:rPr>
          <w:rFonts w:hint="eastAsia" w:eastAsia="仿宋_GB2312"/>
          <w:snapToGrid w:val="0"/>
          <w:spacing w:val="-4"/>
          <w:kern w:val="0"/>
          <w:sz w:val="32"/>
          <w:szCs w:val="32"/>
          <w:shd w:val="clear" w:color="auto" w:fill="FFFFFF"/>
          <w:lang w:eastAsia="zh-CN" w:bidi="ar"/>
        </w:rPr>
        <w:t>的</w:t>
      </w:r>
      <w:r>
        <w:rPr>
          <w:rFonts w:hint="eastAsia" w:eastAsia="仿宋_GB2312"/>
          <w:snapToGrid w:val="0"/>
          <w:spacing w:val="-4"/>
          <w:kern w:val="0"/>
          <w:sz w:val="32"/>
          <w:szCs w:val="32"/>
          <w:shd w:val="clear" w:color="auto" w:fill="FFFFFF"/>
          <w:lang w:val="en-US" w:eastAsia="zh-CN" w:bidi="ar"/>
        </w:rPr>
        <w:t>配套社区服务用房</w:t>
      </w:r>
      <w:r>
        <w:rPr>
          <w:rFonts w:hint="eastAsia" w:eastAsia="仿宋_GB2312"/>
          <w:snapToGrid w:val="0"/>
          <w:spacing w:val="-4"/>
          <w:kern w:val="0"/>
          <w:sz w:val="32"/>
          <w:szCs w:val="32"/>
          <w:shd w:val="clear" w:color="auto" w:fill="FFFFFF"/>
          <w:lang w:bidi="ar"/>
        </w:rPr>
        <w:t>应当配套建设公共阅读服务场所。</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六、【设施管理】</w:t>
      </w:r>
      <w:r>
        <w:rPr>
          <w:rFonts w:hint="eastAsia" w:hAnsi="仿宋_GB2312" w:eastAsia="仿宋_GB2312"/>
          <w:snapToGrid w:val="0"/>
          <w:spacing w:val="-4"/>
          <w:kern w:val="0"/>
          <w:sz w:val="32"/>
          <w:szCs w:val="32"/>
          <w:shd w:val="clear" w:color="auto" w:fill="FFFFFF"/>
          <w:lang w:bidi="ar"/>
        </w:rPr>
        <w:t>市、县级市（区）人民政府应当对公共阅读设施实施清单化管理，管理清单应包含公共阅读设施名称、地址</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开放时间</w:t>
      </w:r>
      <w:r>
        <w:rPr>
          <w:rFonts w:hint="eastAsia" w:hAnsi="仿宋_GB2312" w:eastAsia="仿宋_GB2312"/>
          <w:snapToGrid w:val="0"/>
          <w:spacing w:val="-4"/>
          <w:kern w:val="0"/>
          <w:sz w:val="32"/>
          <w:szCs w:val="32"/>
          <w:shd w:val="clear" w:color="auto" w:fill="FFFFFF"/>
          <w:lang w:bidi="ar"/>
        </w:rPr>
        <w:t>、管理单位、</w:t>
      </w:r>
      <w:r>
        <w:rPr>
          <w:rFonts w:hint="eastAsia" w:hAnsi="仿宋_GB2312" w:eastAsia="仿宋_GB2312"/>
          <w:snapToGrid w:val="0"/>
          <w:spacing w:val="-4"/>
          <w:kern w:val="0"/>
          <w:sz w:val="32"/>
          <w:szCs w:val="32"/>
          <w:shd w:val="clear" w:color="auto" w:fill="FFFFFF"/>
          <w:lang w:val="en-US" w:eastAsia="zh-CN" w:bidi="ar"/>
        </w:rPr>
        <w:t>服务内容、</w:t>
      </w:r>
      <w:r>
        <w:rPr>
          <w:rFonts w:hint="eastAsia" w:hAnsi="仿宋_GB2312" w:eastAsia="仿宋_GB2312"/>
          <w:snapToGrid w:val="0"/>
          <w:spacing w:val="-4"/>
          <w:kern w:val="0"/>
          <w:sz w:val="32"/>
          <w:szCs w:val="32"/>
          <w:shd w:val="clear" w:color="auto" w:fill="FFFFFF"/>
          <w:lang w:bidi="ar"/>
        </w:rPr>
        <w:t>联系方式等内容，定期更新，及时公布。</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因规划调整或不可抗力造成的公共阅读设施的拆撤、合并、转移需向所在地县级市（区）新闻出版行政部门书面报告，未经批准不得擅自调整。调整</w:t>
      </w:r>
      <w:r>
        <w:rPr>
          <w:rFonts w:hint="eastAsia" w:hAnsi="仿宋_GB2312" w:eastAsia="仿宋_GB2312"/>
          <w:snapToGrid w:val="0"/>
          <w:spacing w:val="-4"/>
          <w:kern w:val="0"/>
          <w:sz w:val="32"/>
          <w:szCs w:val="32"/>
          <w:shd w:val="clear" w:color="auto" w:fill="FFFFFF"/>
          <w:lang w:val="en-US" w:eastAsia="zh-CN" w:bidi="ar"/>
        </w:rPr>
        <w:t>或重</w:t>
      </w:r>
      <w:r>
        <w:rPr>
          <w:rFonts w:hint="eastAsia" w:hAnsi="仿宋_GB2312" w:eastAsia="仿宋_GB2312"/>
          <w:snapToGrid w:val="0"/>
          <w:spacing w:val="-4"/>
          <w:kern w:val="0"/>
          <w:sz w:val="32"/>
          <w:szCs w:val="32"/>
          <w:shd w:val="clear" w:color="auto" w:fill="FFFFFF"/>
          <w:lang w:bidi="ar"/>
        </w:rPr>
        <w:t>建的公共阅读设施面积不得少于原设施面积。</w:t>
      </w:r>
    </w:p>
    <w:p>
      <w:pPr>
        <w:overflowPunct w:val="0"/>
        <w:adjustRightInd w:val="0"/>
        <w:snapToGrid w:val="0"/>
        <w:spacing w:line="580" w:lineRule="exact"/>
        <w:ind w:firstLine="624" w:firstLineChars="200"/>
        <w:rPr>
          <w:rFonts w:hint="default" w:eastAsia="仿宋_GB2312"/>
          <w:snapToGrid w:val="0"/>
          <w:spacing w:val="-4"/>
          <w:kern w:val="0"/>
          <w:sz w:val="32"/>
          <w:szCs w:val="32"/>
          <w:shd w:val="clear" w:color="auto" w:fill="FFFFFF"/>
          <w:lang w:val="en-US" w:eastAsia="zh-CN" w:bidi="ar"/>
        </w:rPr>
      </w:pPr>
      <w:r>
        <w:rPr>
          <w:rFonts w:hint="eastAsia" w:hAnsi="黑体" w:eastAsia="黑体"/>
          <w:snapToGrid w:val="0"/>
          <w:spacing w:val="-4"/>
          <w:kern w:val="0"/>
          <w:sz w:val="32"/>
          <w:szCs w:val="32"/>
          <w:shd w:val="clear" w:color="auto" w:fill="FFFFFF"/>
          <w:lang w:bidi="ar"/>
        </w:rPr>
        <w:t>七、【实体书店】</w:t>
      </w:r>
      <w:r>
        <w:rPr>
          <w:rFonts w:hint="eastAsia" w:hAnsi="仿宋_GB2312" w:eastAsia="仿宋_GB2312"/>
          <w:snapToGrid w:val="0"/>
          <w:spacing w:val="-4"/>
          <w:kern w:val="0"/>
          <w:sz w:val="32"/>
          <w:szCs w:val="32"/>
          <w:shd w:val="clear" w:color="auto" w:fill="FFFFFF"/>
          <w:lang w:val="en-US" w:eastAsia="zh-CN" w:bidi="ar"/>
        </w:rPr>
        <w:t>各级人民政府</w:t>
      </w:r>
      <w:r>
        <w:rPr>
          <w:rFonts w:hint="eastAsia" w:hAnsi="仿宋_GB2312" w:eastAsia="仿宋_GB2312"/>
          <w:snapToGrid w:val="0"/>
          <w:spacing w:val="-4"/>
          <w:kern w:val="0"/>
          <w:sz w:val="32"/>
          <w:szCs w:val="32"/>
          <w:shd w:val="clear" w:color="auto" w:fill="FFFFFF"/>
          <w:lang w:bidi="ar"/>
        </w:rPr>
        <w:t>应当支持实体书店发展和转型升级</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鼓励开办专业特色书店和24小时书店。</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各级机关和国有企事业单位设立的公共场所应当利用自身设施和条件，引入实体书店或者开设公共阅读服务空间。</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在苏州各高校应当按照标准和要求设立校园书店。</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八、【活动】</w:t>
      </w:r>
      <w:r>
        <w:rPr>
          <w:rFonts w:hint="eastAsia" w:hAnsi="仿宋_GB2312" w:eastAsia="仿宋_GB2312"/>
          <w:snapToGrid w:val="0"/>
          <w:spacing w:val="-4"/>
          <w:kern w:val="0"/>
          <w:sz w:val="32"/>
          <w:szCs w:val="32"/>
          <w:shd w:val="clear" w:color="auto" w:fill="FFFFFF"/>
          <w:lang w:bidi="ar"/>
        </w:rPr>
        <w:t>每年举办</w:t>
      </w:r>
      <w:r>
        <w:rPr>
          <w:rFonts w:hint="eastAsia" w:eastAsia="仿宋_GB2312"/>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苏州阅读节</w:t>
      </w:r>
      <w:r>
        <w:rPr>
          <w:rFonts w:hint="eastAsia" w:eastAsia="仿宋_GB2312"/>
          <w:snapToGrid w:val="0"/>
          <w:spacing w:val="-4"/>
          <w:kern w:val="0"/>
          <w:sz w:val="32"/>
          <w:szCs w:val="32"/>
          <w:shd w:val="clear" w:color="auto" w:fill="FFFFFF"/>
          <w:lang w:bidi="ar"/>
        </w:rPr>
        <w:t>”“</w:t>
      </w:r>
      <w:r>
        <w:rPr>
          <w:rFonts w:hint="eastAsia" w:eastAsia="仿宋_GB2312"/>
          <w:snapToGrid w:val="0"/>
          <w:spacing w:val="-4"/>
          <w:kern w:val="0"/>
          <w:sz w:val="32"/>
          <w:szCs w:val="32"/>
          <w:shd w:val="clear" w:color="auto" w:fill="FFFFFF"/>
          <w:lang w:val="en-US" w:eastAsia="zh-CN" w:bidi="ar"/>
        </w:rPr>
        <w:t>全民</w:t>
      </w:r>
      <w:r>
        <w:rPr>
          <w:rFonts w:hint="eastAsia" w:hAnsi="仿宋_GB2312" w:eastAsia="仿宋_GB2312"/>
          <w:snapToGrid w:val="0"/>
          <w:spacing w:val="-4"/>
          <w:kern w:val="0"/>
          <w:sz w:val="32"/>
          <w:szCs w:val="32"/>
          <w:shd w:val="clear" w:color="auto" w:fill="FFFFFF"/>
          <w:lang w:bidi="ar"/>
        </w:rPr>
        <w:t>读书月</w:t>
      </w:r>
      <w:r>
        <w:rPr>
          <w:rFonts w:hint="eastAsia" w:eastAsia="仿宋_GB2312"/>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，在全市集中开展形式多样的阅读活动</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倡导公民积极参与各类阅读活动。</w:t>
      </w:r>
      <w:r>
        <w:rPr>
          <w:rFonts w:hint="eastAsia" w:hAnsi="仿宋_GB2312" w:eastAsia="仿宋_GB2312"/>
          <w:snapToGrid w:val="0"/>
          <w:spacing w:val="-4"/>
          <w:kern w:val="0"/>
          <w:sz w:val="32"/>
          <w:szCs w:val="32"/>
          <w:shd w:val="clear" w:color="auto" w:fill="FFFFFF"/>
          <w:lang w:bidi="ar"/>
        </w:rPr>
        <w:t>各县级市（区）人民政府可以根据本地实际情况举办其他各类集中性阅读活动，培育本土特色阅读品牌。</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九、【推广】</w:t>
      </w:r>
      <w:r>
        <w:rPr>
          <w:rFonts w:hint="eastAsia" w:hAnsi="仿宋_GB2312" w:eastAsia="仿宋_GB2312"/>
          <w:snapToGrid w:val="0"/>
          <w:spacing w:val="-4"/>
          <w:kern w:val="0"/>
          <w:sz w:val="32"/>
          <w:szCs w:val="32"/>
          <w:shd w:val="clear" w:color="auto" w:fill="FFFFFF"/>
          <w:lang w:bidi="ar"/>
        </w:rPr>
        <w:t>市、县级市（区）人民政府及有关部门应当</w:t>
      </w:r>
      <w:r>
        <w:rPr>
          <w:rFonts w:hint="eastAsia" w:hAnsi="仿宋_GB2312" w:eastAsia="仿宋_GB2312"/>
          <w:snapToGrid w:val="0"/>
          <w:spacing w:val="-4"/>
          <w:kern w:val="0"/>
          <w:sz w:val="32"/>
          <w:szCs w:val="32"/>
          <w:shd w:val="clear" w:color="auto" w:fill="FFFFFF"/>
          <w:lang w:val="en-US" w:eastAsia="zh-CN" w:bidi="ar"/>
        </w:rPr>
        <w:t>完善阅读推广服务体系建设，</w:t>
      </w:r>
      <w:r>
        <w:rPr>
          <w:rFonts w:hint="eastAsia" w:hAnsi="仿宋_GB2312" w:eastAsia="仿宋_GB2312"/>
          <w:snapToGrid w:val="0"/>
          <w:spacing w:val="-4"/>
          <w:kern w:val="0"/>
          <w:sz w:val="32"/>
          <w:szCs w:val="32"/>
          <w:shd w:val="clear" w:color="auto" w:fill="FFFFFF"/>
          <w:lang w:bidi="ar"/>
        </w:rPr>
        <w:t>支持培育一批有影响力的阅读推广机构、组织和个人，加强专业阅读推广人才队伍建设，开展全民阅读推广活动。</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市、县级市（区）应当依法成立新闻出版行政部门主管的全民阅读促进组织。全民阅读促进组织对其他阅读组织发挥联系指导作用。</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val="en-US" w:eastAsia="zh-CN" w:bidi="ar"/>
        </w:rPr>
        <w:t>加强社会阅读组织培育和管理，</w:t>
      </w:r>
      <w:r>
        <w:rPr>
          <w:rFonts w:hint="eastAsia" w:hAnsi="仿宋_GB2312" w:eastAsia="仿宋_GB2312"/>
          <w:snapToGrid w:val="0"/>
          <w:spacing w:val="-4"/>
          <w:kern w:val="0"/>
          <w:sz w:val="32"/>
          <w:szCs w:val="32"/>
          <w:shd w:val="clear" w:color="auto" w:fill="FFFFFF"/>
          <w:lang w:bidi="ar"/>
        </w:rPr>
        <w:t>鼓励和引导社会力量成立阅读社团、读书俱乐部等阅读组织，参与全民阅读促进工作。</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十、【志愿服务】</w:t>
      </w:r>
      <w:r>
        <w:rPr>
          <w:rFonts w:hint="eastAsia" w:hAnsi="仿宋_GB2312" w:eastAsia="仿宋_GB2312"/>
          <w:snapToGrid w:val="0"/>
          <w:spacing w:val="-4"/>
          <w:kern w:val="0"/>
          <w:sz w:val="32"/>
          <w:szCs w:val="32"/>
          <w:shd w:val="clear" w:color="auto" w:fill="FFFFFF"/>
          <w:lang w:bidi="ar"/>
        </w:rPr>
        <w:t>各级人民政府及有关部门应当</w:t>
      </w:r>
      <w:r>
        <w:rPr>
          <w:rFonts w:hint="eastAsia" w:hAnsi="仿宋_GB2312" w:eastAsia="仿宋_GB2312"/>
          <w:snapToGrid w:val="0"/>
          <w:spacing w:val="-4"/>
          <w:kern w:val="0"/>
          <w:sz w:val="32"/>
          <w:szCs w:val="32"/>
          <w:shd w:val="clear" w:color="auto" w:fill="FFFFFF"/>
          <w:lang w:val="en-US" w:eastAsia="zh-CN" w:bidi="ar"/>
        </w:rPr>
        <w:t>将全民阅读志愿服务融入新时代文明实践，</w:t>
      </w:r>
      <w:r>
        <w:rPr>
          <w:rFonts w:hint="eastAsia" w:hAnsi="仿宋_GB2312" w:eastAsia="仿宋_GB2312"/>
          <w:snapToGrid w:val="0"/>
          <w:spacing w:val="-4"/>
          <w:kern w:val="0"/>
          <w:sz w:val="32"/>
          <w:szCs w:val="32"/>
          <w:shd w:val="clear" w:color="auto" w:fill="FFFFFF"/>
          <w:lang w:bidi="ar"/>
        </w:rPr>
        <w:t>鼓励和扶持基层阅读志愿服务组织建设，免费提供技能培训，</w:t>
      </w:r>
      <w:r>
        <w:rPr>
          <w:rFonts w:hint="eastAsia" w:hAnsi="仿宋_GB2312" w:eastAsia="仿宋_GB2312"/>
          <w:snapToGrid w:val="0"/>
          <w:spacing w:val="-4"/>
          <w:kern w:val="0"/>
          <w:sz w:val="32"/>
          <w:szCs w:val="32"/>
          <w:shd w:val="clear" w:color="auto" w:fill="FFFFFF"/>
          <w:lang w:val="en-US" w:eastAsia="zh-CN" w:bidi="ar"/>
        </w:rPr>
        <w:t>发布推荐优秀阅读服务项目，</w:t>
      </w:r>
      <w:r>
        <w:rPr>
          <w:rFonts w:hint="eastAsia" w:hAnsi="仿宋_GB2312" w:eastAsia="仿宋_GB2312"/>
          <w:snapToGrid w:val="0"/>
          <w:spacing w:val="-4"/>
          <w:kern w:val="0"/>
          <w:sz w:val="32"/>
          <w:szCs w:val="32"/>
          <w:shd w:val="clear" w:color="auto" w:fill="FFFFFF"/>
          <w:lang w:bidi="ar"/>
        </w:rPr>
        <w:t>为全民阅读志愿服务开展活动、发挥作用提供必要支持。</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十一、【</w:t>
      </w:r>
      <w:r>
        <w:rPr>
          <w:rFonts w:hint="eastAsia" w:hAnsi="黑体" w:eastAsia="黑体"/>
          <w:snapToGrid w:val="0"/>
          <w:spacing w:val="-4"/>
          <w:kern w:val="0"/>
          <w:sz w:val="32"/>
          <w:szCs w:val="32"/>
          <w:shd w:val="clear" w:color="auto" w:fill="FFFFFF"/>
          <w:lang w:val="en-US" w:eastAsia="zh-CN" w:bidi="ar"/>
        </w:rPr>
        <w:t>阅读内容</w:t>
      </w:r>
      <w:r>
        <w:rPr>
          <w:rFonts w:hint="eastAsia" w:hAnsi="黑体" w:eastAsia="黑体"/>
          <w:snapToGrid w:val="0"/>
          <w:spacing w:val="-4"/>
          <w:kern w:val="0"/>
          <w:sz w:val="32"/>
          <w:szCs w:val="32"/>
          <w:shd w:val="clear" w:color="auto" w:fill="FFFFFF"/>
          <w:lang w:bidi="ar"/>
        </w:rPr>
        <w:t>供给】</w:t>
      </w:r>
      <w:r>
        <w:rPr>
          <w:rFonts w:hint="eastAsia" w:hAnsi="仿宋_GB2312" w:eastAsia="仿宋_GB2312"/>
          <w:snapToGrid w:val="0"/>
          <w:spacing w:val="-4"/>
          <w:kern w:val="0"/>
          <w:sz w:val="32"/>
          <w:szCs w:val="32"/>
          <w:shd w:val="clear" w:color="auto" w:fill="FFFFFF"/>
          <w:lang w:bidi="ar"/>
        </w:rPr>
        <w:t>市、县级市（区）人民政府应当支持优化阅读供给，加强统筹规划，扶持奖励重点主题和地方历史文化特色优秀作品，定期发布全民阅读指导书目。</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出版发行单位应当重视社会效益，加强反映苏州历史文化特质的江南文化、吴文化、太湖文化、大运河文化</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长江文化</w:t>
      </w:r>
      <w:r>
        <w:rPr>
          <w:rFonts w:hint="eastAsia" w:hAnsi="仿宋_GB2312" w:eastAsia="仿宋_GB2312"/>
          <w:snapToGrid w:val="0"/>
          <w:spacing w:val="-4"/>
          <w:kern w:val="0"/>
          <w:sz w:val="32"/>
          <w:szCs w:val="32"/>
          <w:shd w:val="clear" w:color="auto" w:fill="FFFFFF"/>
          <w:lang w:bidi="ar"/>
        </w:rPr>
        <w:t>等优秀出版物的出版发行。图书和报刊出版单位应当及时向本市列入目录的公共图书馆提供本单位出版物。</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十二、【公共图书馆】</w:t>
      </w:r>
      <w:r>
        <w:rPr>
          <w:rFonts w:hint="eastAsia" w:hAnsi="仿宋_GB2312" w:eastAsia="仿宋_GB2312"/>
          <w:snapToGrid w:val="0"/>
          <w:spacing w:val="-4"/>
          <w:kern w:val="0"/>
          <w:sz w:val="32"/>
          <w:szCs w:val="32"/>
          <w:shd w:val="clear" w:color="auto" w:fill="FFFFFF"/>
          <w:lang w:bidi="ar"/>
        </w:rPr>
        <w:t>公共图书馆应当为公众提供良好的阅读环境和便捷高效的借阅服务，优先采购优秀读物，免费向公众开放馆藏阅读资源，积极开展阅读推广活动和专业指导。</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市、县级市（区）公共图书馆应当完善总分馆体系，优化阅读服务，实现县级市（区）公共图书馆图书与本级各类图书馆、基层公共阅读服务场所之间通借通还，数字资源互联互通、共享共用。</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十三、【公共阅读服务】</w:t>
      </w:r>
      <w:r>
        <w:rPr>
          <w:rFonts w:hint="eastAsia" w:hAnsi="仿宋_GB2312" w:eastAsia="仿宋_GB2312"/>
          <w:snapToGrid w:val="0"/>
          <w:spacing w:val="-4"/>
          <w:kern w:val="0"/>
          <w:sz w:val="32"/>
          <w:szCs w:val="32"/>
          <w:shd w:val="clear" w:color="auto" w:fill="FFFFFF"/>
          <w:lang w:bidi="ar"/>
        </w:rPr>
        <w:t>基层公共阅读服务场所应当完善管理制度，根据所在地区、单位实际和阅读人群特点，提供实用性和针对性较强的读物和服务。</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公共阅读服务场所及阅读设施实行免费开放，双休日、法定节假日和学校寒暑假期间应当根据实际情况适当延长开放时间。各类公共场所应当提供有效阅读条件，供读者免费阅读，保证服务时间正常开放。</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鼓励和引导社会其他单位、个人的阅读服务场所创造条件向公众免费开放。鼓励社会力量设立阅读服务场所和新型阅读空间。国有书店和规模型民营书店应当设立公共阅读空间。</w:t>
      </w:r>
    </w:p>
    <w:p>
      <w:pPr>
        <w:overflowPunct w:val="0"/>
        <w:adjustRightInd w:val="0"/>
        <w:snapToGrid w:val="0"/>
        <w:spacing w:line="580" w:lineRule="exact"/>
        <w:ind w:firstLine="624" w:firstLineChars="200"/>
        <w:rPr>
          <w:rFonts w:hint="eastAsia" w:eastAsia="仿宋_GB2312"/>
          <w:snapToGrid w:val="0"/>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十四、【数字服务】</w:t>
      </w:r>
      <w:r>
        <w:rPr>
          <w:rFonts w:hint="eastAsia" w:hAnsi="仿宋_GB2312" w:eastAsia="仿宋_GB2312"/>
          <w:snapToGrid w:val="0"/>
          <w:kern w:val="0"/>
          <w:sz w:val="32"/>
          <w:szCs w:val="32"/>
          <w:shd w:val="clear" w:color="auto" w:fill="FFFFFF"/>
          <w:lang w:bidi="ar"/>
        </w:rPr>
        <w:t>公共图书馆应当建立和完善全民阅读在线服务，建设全市统一的数字化图书服务平台，推进公共图书数字资源、阅读信息服务资源、公共阅读服务平台等共享网络建设。</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公共阅读设施应当配备相应数字服务设施，免费提供</w:t>
      </w:r>
      <w:r>
        <w:rPr>
          <w:rFonts w:hint="eastAsia" w:hAnsi="仿宋_GB2312" w:eastAsia="仿宋_GB2312"/>
          <w:snapToGrid w:val="0"/>
          <w:spacing w:val="-4"/>
          <w:kern w:val="0"/>
          <w:sz w:val="32"/>
          <w:szCs w:val="32"/>
          <w:shd w:val="clear" w:color="auto" w:fill="FFFFFF"/>
          <w:lang w:val="en-US" w:eastAsia="zh-CN" w:bidi="ar"/>
        </w:rPr>
        <w:t>数字阅读、</w:t>
      </w:r>
      <w:r>
        <w:rPr>
          <w:rFonts w:hint="eastAsia" w:hAnsi="仿宋_GB2312" w:eastAsia="仿宋_GB2312"/>
          <w:snapToGrid w:val="0"/>
          <w:spacing w:val="-4"/>
          <w:kern w:val="0"/>
          <w:sz w:val="32"/>
          <w:szCs w:val="32"/>
          <w:shd w:val="clear" w:color="auto" w:fill="FFFFFF"/>
          <w:lang w:bidi="ar"/>
        </w:rPr>
        <w:t>远程查询等服务。</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十五、【信息公开】</w:t>
      </w:r>
      <w:r>
        <w:rPr>
          <w:rFonts w:hint="eastAsia" w:hAnsi="仿宋_GB2312" w:eastAsia="仿宋_GB2312"/>
          <w:snapToGrid w:val="0"/>
          <w:spacing w:val="-4"/>
          <w:kern w:val="0"/>
          <w:sz w:val="32"/>
          <w:szCs w:val="32"/>
          <w:shd w:val="clear" w:color="auto" w:fill="FFFFFF"/>
          <w:lang w:bidi="ar"/>
        </w:rPr>
        <w:t>政府门户网站和城市生活服务总入口应当设立全民阅读在线服务端口或链接，发布公共阅读设施清单、全民阅读服务指南等内容。</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通信运营商、广告运营商发送和刊播的公益广告中应当包含全民阅读信息。</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十六、【未成年人】</w:t>
      </w:r>
      <w:r>
        <w:rPr>
          <w:rFonts w:hint="eastAsia" w:hAnsi="仿宋_GB2312" w:eastAsia="仿宋_GB2312"/>
          <w:snapToGrid w:val="0"/>
          <w:spacing w:val="-4"/>
          <w:kern w:val="0"/>
          <w:sz w:val="32"/>
          <w:szCs w:val="32"/>
          <w:shd w:val="clear" w:color="auto" w:fill="FFFFFF"/>
          <w:lang w:bidi="ar"/>
        </w:rPr>
        <w:t>各级人民政府应当重视培养未成年人的阅读能力和习惯，建立家庭、学校与社会相结合的全民阅读促进工作机制，大力倡导家庭阅读、亲子阅读。</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图书馆、文化馆、博物馆、青少年活动中心（宫）等未成年人文化活动场所等应当根据未成年人特点，营造未成年人阅读环境，开展阅读指导培训，满足未成年人的阅读需要。</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鼓励和支持各类有利于未成年人健康成长的图书、报刊、音像制品、电子出版物以及网络信息的创作、出版和传播。</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十七、【未成年人】</w:t>
      </w:r>
      <w:r>
        <w:rPr>
          <w:rFonts w:hint="eastAsia" w:hAnsi="仿宋_GB2312" w:eastAsia="仿宋_GB2312"/>
          <w:snapToGrid w:val="0"/>
          <w:spacing w:val="-4"/>
          <w:kern w:val="0"/>
          <w:sz w:val="32"/>
          <w:szCs w:val="32"/>
          <w:shd w:val="clear" w:color="auto" w:fill="FFFFFF"/>
          <w:lang w:bidi="ar"/>
        </w:rPr>
        <w:t>各级教育行政部门应当有针对性地开展学校阅读教学评估和教师阅读指导技能培训，指导学校将阅读纳入相关课程和教学考核，保证每周有适当课时用于阅读教学。</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学校应当把培养学生阅读能力作为素质教育的重要内容。根据不同年龄段学生的身心特点，开展校园主题阅读活动，成立各类读书社团，为学生提供科学的阅读指导。减轻课业负担，保障学生课外阅读时间，引导学生加强课外阅读。</w:t>
      </w:r>
    </w:p>
    <w:p>
      <w:pPr>
        <w:overflowPunct w:val="0"/>
        <w:adjustRightInd w:val="0"/>
        <w:snapToGrid w:val="0"/>
        <w:spacing w:line="580" w:lineRule="exact"/>
        <w:ind w:firstLine="624" w:firstLineChars="200"/>
        <w:rPr>
          <w:rFonts w:hint="eastAsia" w:eastAsia="仿宋_GB2312"/>
          <w:snapToGrid w:val="0"/>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十八、【特殊群体】</w:t>
      </w:r>
      <w:r>
        <w:rPr>
          <w:rFonts w:hint="eastAsia" w:hAnsi="仿宋_GB2312" w:eastAsia="仿宋_GB2312"/>
          <w:snapToGrid w:val="0"/>
          <w:kern w:val="0"/>
          <w:sz w:val="32"/>
          <w:szCs w:val="32"/>
          <w:shd w:val="clear" w:color="auto" w:fill="FFFFFF"/>
          <w:lang w:bidi="ar"/>
        </w:rPr>
        <w:t>各级人民政府有关部门、人民团体、基层群众自治组织和有关社会服务机构应当为老年人、残疾人等群体和社会福利机构提供阅读资源与服务，为特殊困难家庭、农村留守儿童、外来务工人员及其子女等提供基本阅读保障。公共图书馆应当为有视觉障碍的残疾人提供必要的阅读条件和设施。</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监狱、戒毒场所和社区矫正机构应当为服刑人员、戒毒人员和社区矫正对象提供必要的阅读条件和阅读指导，开展阅读活动。</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十九、【媒体】</w:t>
      </w:r>
      <w:r>
        <w:rPr>
          <w:rFonts w:hint="eastAsia" w:hAnsi="仿宋_GB2312" w:eastAsia="仿宋_GB2312"/>
          <w:snapToGrid w:val="0"/>
          <w:spacing w:val="-4"/>
          <w:kern w:val="0"/>
          <w:sz w:val="32"/>
          <w:szCs w:val="32"/>
          <w:shd w:val="clear" w:color="auto" w:fill="FFFFFF"/>
          <w:lang w:bidi="ar"/>
        </w:rPr>
        <w:t>报纸、电台、电视台、期刊和新闻网站</w:t>
      </w:r>
      <w:r>
        <w:rPr>
          <w:rFonts w:hint="eastAsia" w:hAnsi="仿宋_GB2312" w:eastAsia="仿宋_GB2312"/>
          <w:snapToGrid w:val="0"/>
          <w:spacing w:val="-4"/>
          <w:kern w:val="0"/>
          <w:sz w:val="32"/>
          <w:szCs w:val="32"/>
          <w:shd w:val="clear" w:color="auto" w:fill="FFFFFF"/>
          <w:lang w:val="en-US" w:eastAsia="zh-CN" w:bidi="ar"/>
        </w:rPr>
        <w:t>及所属客户端</w:t>
      </w:r>
      <w:r>
        <w:rPr>
          <w:rFonts w:hint="eastAsia" w:hAnsi="仿宋_GB2312" w:eastAsia="仿宋_GB2312"/>
          <w:snapToGrid w:val="0"/>
          <w:spacing w:val="-4"/>
          <w:kern w:val="0"/>
          <w:sz w:val="32"/>
          <w:szCs w:val="32"/>
          <w:shd w:val="clear" w:color="auto" w:fill="FFFFFF"/>
          <w:lang w:bidi="ar"/>
        </w:rPr>
        <w:t>应当设立常设性阅读栏目、节目、时段和版面，普及阅读知识和方法，宣传阅读典型，开展阅读评论，刊播公益性</w:t>
      </w:r>
      <w:r>
        <w:rPr>
          <w:rFonts w:hint="eastAsia" w:hAnsi="仿宋_GB2312" w:eastAsia="仿宋_GB2312"/>
          <w:snapToGrid w:val="0"/>
          <w:spacing w:val="-4"/>
          <w:kern w:val="0"/>
          <w:sz w:val="32"/>
          <w:szCs w:val="32"/>
          <w:shd w:val="clear" w:color="auto" w:fill="FFFFFF"/>
          <w:lang w:val="en-US" w:eastAsia="zh-CN" w:bidi="ar"/>
        </w:rPr>
        <w:t>全民</w:t>
      </w:r>
      <w:r>
        <w:rPr>
          <w:rFonts w:hint="eastAsia" w:hAnsi="仿宋_GB2312" w:eastAsia="仿宋_GB2312"/>
          <w:snapToGrid w:val="0"/>
          <w:spacing w:val="-4"/>
          <w:kern w:val="0"/>
          <w:sz w:val="32"/>
          <w:szCs w:val="32"/>
          <w:shd w:val="clear" w:color="auto" w:fill="FFFFFF"/>
          <w:lang w:bidi="ar"/>
        </w:rPr>
        <w:t>阅读广告，引导公民树立终身阅读理念。</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二十、【经典</w:t>
      </w:r>
      <w:r>
        <w:rPr>
          <w:rFonts w:hint="eastAsia" w:hAnsi="黑体" w:eastAsia="黑体"/>
          <w:snapToGrid w:val="0"/>
          <w:spacing w:val="-4"/>
          <w:kern w:val="0"/>
          <w:sz w:val="32"/>
          <w:szCs w:val="32"/>
          <w:shd w:val="clear" w:color="auto" w:fill="FFFFFF"/>
          <w:lang w:val="en-US" w:eastAsia="zh-CN" w:bidi="ar"/>
        </w:rPr>
        <w:t>和古籍</w:t>
      </w:r>
      <w:r>
        <w:rPr>
          <w:rFonts w:hint="eastAsia" w:hAnsi="黑体" w:eastAsia="黑体"/>
          <w:snapToGrid w:val="0"/>
          <w:spacing w:val="-4"/>
          <w:kern w:val="0"/>
          <w:sz w:val="32"/>
          <w:szCs w:val="32"/>
          <w:shd w:val="clear" w:color="auto" w:fill="FFFFFF"/>
          <w:lang w:bidi="ar"/>
        </w:rPr>
        <w:t>阅读】</w:t>
      </w:r>
      <w:r>
        <w:rPr>
          <w:rFonts w:hint="eastAsia" w:hAnsi="仿宋_GB2312" w:eastAsia="仿宋_GB2312"/>
          <w:snapToGrid w:val="0"/>
          <w:spacing w:val="-4"/>
          <w:kern w:val="0"/>
          <w:sz w:val="32"/>
          <w:szCs w:val="32"/>
          <w:shd w:val="clear" w:color="auto" w:fill="FFFFFF"/>
          <w:lang w:bidi="ar"/>
        </w:rPr>
        <w:t>各级人民政府及有关部门应当倡导经典阅读，鼓励深度阅读</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引导</w:t>
      </w:r>
      <w:r>
        <w:rPr>
          <w:rFonts w:hint="eastAsia" w:hAnsi="仿宋_GB2312" w:eastAsia="仿宋_GB2312"/>
          <w:snapToGrid w:val="0"/>
          <w:spacing w:val="-4"/>
          <w:kern w:val="0"/>
          <w:sz w:val="32"/>
          <w:szCs w:val="32"/>
          <w:shd w:val="clear" w:color="auto" w:fill="FFFFFF"/>
          <w:lang w:bidi="ar"/>
        </w:rPr>
        <w:t>纸质阅读。</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促进古籍资源开放共享和综合利用，鼓励和支持古籍存藏机构开辟阅读场所、开展阅读服务，提供原本、数字化版本等古籍阅读资源。推进古籍进校园工作，开展荐读导读活动。加强古籍大众化普及化读物供给，用好《苏州全书》等地方历史文化读物资源。</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二十一、【书香文化】</w:t>
      </w:r>
      <w:r>
        <w:rPr>
          <w:rFonts w:hint="eastAsia" w:hAnsi="仿宋_GB2312" w:eastAsia="仿宋_GB2312"/>
          <w:snapToGrid w:val="0"/>
          <w:spacing w:val="-4"/>
          <w:kern w:val="0"/>
          <w:sz w:val="32"/>
          <w:szCs w:val="32"/>
          <w:shd w:val="clear" w:color="auto" w:fill="FFFFFF"/>
          <w:lang w:bidi="ar"/>
        </w:rPr>
        <w:t>各级人民政府应当重视对书香文化的研究挖掘，鼓励机关、企事业单位、</w:t>
      </w:r>
      <w:r>
        <w:rPr>
          <w:rFonts w:hint="eastAsia" w:hAnsi="仿宋_GB2312" w:eastAsia="仿宋_GB2312"/>
          <w:snapToGrid w:val="0"/>
          <w:spacing w:val="-4"/>
          <w:kern w:val="0"/>
          <w:sz w:val="32"/>
          <w:szCs w:val="32"/>
          <w:shd w:val="clear" w:color="auto" w:fill="FFFFFF"/>
          <w:lang w:val="en-US" w:eastAsia="zh-CN" w:bidi="ar"/>
        </w:rPr>
        <w:t>社会</w:t>
      </w:r>
      <w:r>
        <w:rPr>
          <w:rFonts w:hint="eastAsia" w:hAnsi="仿宋_GB2312" w:eastAsia="仿宋_GB2312"/>
          <w:snapToGrid w:val="0"/>
          <w:spacing w:val="-4"/>
          <w:kern w:val="0"/>
          <w:sz w:val="32"/>
          <w:szCs w:val="32"/>
          <w:shd w:val="clear" w:color="auto" w:fill="FFFFFF"/>
          <w:lang w:bidi="ar"/>
        </w:rPr>
        <w:t>组织</w:t>
      </w:r>
      <w:r>
        <w:rPr>
          <w:rFonts w:hint="eastAsia" w:hAnsi="仿宋_GB2312" w:eastAsia="仿宋_GB2312"/>
          <w:snapToGrid w:val="0"/>
          <w:spacing w:val="-4"/>
          <w:kern w:val="0"/>
          <w:sz w:val="32"/>
          <w:szCs w:val="32"/>
          <w:shd w:val="clear" w:color="auto" w:fill="FFFFFF"/>
          <w:lang w:eastAsia="zh-CN" w:bidi="ar"/>
        </w:rPr>
        <w:t>、</w:t>
      </w:r>
      <w:r>
        <w:rPr>
          <w:rFonts w:hint="eastAsia" w:hAnsi="仿宋_GB2312" w:eastAsia="仿宋_GB2312"/>
          <w:snapToGrid w:val="0"/>
          <w:spacing w:val="-4"/>
          <w:kern w:val="0"/>
          <w:sz w:val="32"/>
          <w:szCs w:val="32"/>
          <w:shd w:val="clear" w:color="auto" w:fill="FFFFFF"/>
          <w:lang w:val="en-US" w:eastAsia="zh-CN" w:bidi="ar"/>
        </w:rPr>
        <w:t>家庭</w:t>
      </w:r>
      <w:r>
        <w:rPr>
          <w:rFonts w:hint="eastAsia" w:hAnsi="仿宋_GB2312" w:eastAsia="仿宋_GB2312"/>
          <w:snapToGrid w:val="0"/>
          <w:spacing w:val="-4"/>
          <w:kern w:val="0"/>
          <w:sz w:val="32"/>
          <w:szCs w:val="32"/>
          <w:shd w:val="clear" w:color="auto" w:fill="FFFFFF"/>
          <w:lang w:bidi="ar"/>
        </w:rPr>
        <w:t>和个人积极参与传承弘扬书香文化，创作出版更多体现苏州书香文化的作品。</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市、县级市（区）人民政府应当加强对藏书楼等书香遗存的保护、开发和利用。</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二十二、【资金</w:t>
      </w:r>
      <w:r>
        <w:rPr>
          <w:rFonts w:hint="eastAsia" w:hAnsi="黑体" w:eastAsia="黑体"/>
          <w:snapToGrid w:val="0"/>
          <w:spacing w:val="-4"/>
          <w:kern w:val="0"/>
          <w:sz w:val="32"/>
          <w:szCs w:val="32"/>
          <w:shd w:val="clear" w:color="auto" w:fill="FFFFFF"/>
          <w:lang w:val="en-US" w:eastAsia="zh-CN" w:bidi="ar"/>
        </w:rPr>
        <w:t>保障</w:t>
      </w:r>
      <w:r>
        <w:rPr>
          <w:rFonts w:hint="eastAsia" w:hAnsi="黑体" w:eastAsia="黑体"/>
          <w:snapToGrid w:val="0"/>
          <w:spacing w:val="-4"/>
          <w:kern w:val="0"/>
          <w:sz w:val="32"/>
          <w:szCs w:val="32"/>
          <w:shd w:val="clear" w:color="auto" w:fill="FFFFFF"/>
          <w:lang w:bidi="ar"/>
        </w:rPr>
        <w:t>和</w:t>
      </w:r>
      <w:r>
        <w:rPr>
          <w:rFonts w:hint="eastAsia" w:hAnsi="黑体" w:eastAsia="黑体"/>
          <w:snapToGrid w:val="0"/>
          <w:spacing w:val="-4"/>
          <w:kern w:val="0"/>
          <w:sz w:val="32"/>
          <w:szCs w:val="32"/>
          <w:shd w:val="clear" w:color="auto" w:fill="FFFFFF"/>
          <w:lang w:val="en-US" w:eastAsia="zh-CN" w:bidi="ar"/>
        </w:rPr>
        <w:t>捐赠</w:t>
      </w:r>
      <w:r>
        <w:rPr>
          <w:rFonts w:hint="eastAsia" w:hAnsi="黑体" w:eastAsia="黑体"/>
          <w:snapToGrid w:val="0"/>
          <w:spacing w:val="-4"/>
          <w:kern w:val="0"/>
          <w:sz w:val="32"/>
          <w:szCs w:val="32"/>
          <w:shd w:val="clear" w:color="auto" w:fill="FFFFFF"/>
          <w:lang w:bidi="ar"/>
        </w:rPr>
        <w:t>】</w:t>
      </w:r>
      <w:r>
        <w:rPr>
          <w:rFonts w:hint="eastAsia" w:hAnsi="仿宋_GB2312" w:eastAsia="仿宋_GB2312"/>
          <w:snapToGrid w:val="0"/>
          <w:spacing w:val="-4"/>
          <w:kern w:val="0"/>
          <w:sz w:val="32"/>
          <w:szCs w:val="32"/>
          <w:shd w:val="clear" w:color="auto" w:fill="FFFFFF"/>
          <w:lang w:bidi="ar"/>
        </w:rPr>
        <w:t>各级人民政府应当统筹资金用于组织开展重大阅读活动、购买全民阅读公共服务、培育阅读服务组织，扶持优秀出版物出版，支持实体书店、新型阅读空间建设和运营，以及其他全民阅读促进工作。</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各级人民政府应当对全民阅读促进工作资金</w:t>
      </w:r>
      <w:r>
        <w:rPr>
          <w:rFonts w:hint="eastAsia" w:hAnsi="仿宋_GB2312" w:eastAsia="仿宋_GB2312"/>
          <w:snapToGrid w:val="0"/>
          <w:spacing w:val="-4"/>
          <w:kern w:val="0"/>
          <w:sz w:val="32"/>
          <w:szCs w:val="32"/>
          <w:shd w:val="clear" w:color="auto" w:fill="FFFFFF"/>
          <w:lang w:val="en-US" w:eastAsia="zh-CN" w:bidi="ar"/>
        </w:rPr>
        <w:t>使用</w:t>
      </w:r>
      <w:r>
        <w:rPr>
          <w:rFonts w:hint="eastAsia" w:hAnsi="仿宋_GB2312" w:eastAsia="仿宋_GB2312"/>
          <w:snapToGrid w:val="0"/>
          <w:spacing w:val="-4"/>
          <w:kern w:val="0"/>
          <w:sz w:val="32"/>
          <w:szCs w:val="32"/>
          <w:shd w:val="clear" w:color="auto" w:fill="FFFFFF"/>
          <w:lang w:bidi="ar"/>
        </w:rPr>
        <w:t>进行</w:t>
      </w:r>
      <w:r>
        <w:rPr>
          <w:rFonts w:hint="eastAsia" w:hAnsi="仿宋_GB2312" w:eastAsia="仿宋_GB2312"/>
          <w:snapToGrid w:val="0"/>
          <w:spacing w:val="-4"/>
          <w:kern w:val="0"/>
          <w:sz w:val="32"/>
          <w:szCs w:val="32"/>
          <w:shd w:val="clear" w:color="auto" w:fill="FFFFFF"/>
          <w:lang w:val="en-US" w:eastAsia="zh-CN" w:bidi="ar"/>
        </w:rPr>
        <w:t>监督</w:t>
      </w:r>
      <w:r>
        <w:rPr>
          <w:rFonts w:hint="eastAsia" w:hAnsi="仿宋_GB2312" w:eastAsia="仿宋_GB2312"/>
          <w:snapToGrid w:val="0"/>
          <w:spacing w:val="-4"/>
          <w:kern w:val="0"/>
          <w:sz w:val="32"/>
          <w:szCs w:val="32"/>
          <w:shd w:val="clear" w:color="auto" w:fill="FFFFFF"/>
          <w:lang w:bidi="ar"/>
        </w:rPr>
        <w:t>评估。</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鼓励和支持设立全民阅读公益基金会，依法接受公民、法人或者其他组织捐赠。鼓励公民、法人和其他组织向公共阅读服务场所捐赠图书等阅读资料和设备。</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二十三、【激励】</w:t>
      </w:r>
      <w:r>
        <w:rPr>
          <w:rFonts w:hint="eastAsia" w:hAnsi="仿宋_GB2312" w:eastAsia="仿宋_GB2312"/>
          <w:snapToGrid w:val="0"/>
          <w:spacing w:val="-4"/>
          <w:kern w:val="0"/>
          <w:sz w:val="32"/>
          <w:szCs w:val="32"/>
          <w:shd w:val="clear" w:color="auto" w:fill="FFFFFF"/>
          <w:lang w:bidi="ar"/>
        </w:rPr>
        <w:t>建立全民阅读激励制度，开展书香机关、书香社区、书香企业、书香校园、书香家庭和阅读之星等推荐评选活动，对在全民阅读促进工作中</w:t>
      </w:r>
      <w:r>
        <w:rPr>
          <w:rFonts w:hint="eastAsia" w:hAnsi="仿宋_GB2312" w:eastAsia="仿宋_GB2312"/>
          <w:snapToGrid w:val="0"/>
          <w:spacing w:val="-4"/>
          <w:kern w:val="0"/>
          <w:sz w:val="32"/>
          <w:szCs w:val="32"/>
          <w:shd w:val="clear" w:color="auto" w:fill="FFFFFF"/>
          <w:lang w:val="en-US" w:eastAsia="zh-CN" w:bidi="ar"/>
        </w:rPr>
        <w:t>取得突出成绩</w:t>
      </w:r>
      <w:r>
        <w:rPr>
          <w:rFonts w:hint="eastAsia" w:hAnsi="仿宋_GB2312" w:eastAsia="仿宋_GB2312"/>
          <w:snapToGrid w:val="0"/>
          <w:spacing w:val="-4"/>
          <w:kern w:val="0"/>
          <w:sz w:val="32"/>
          <w:szCs w:val="32"/>
          <w:shd w:val="clear" w:color="auto" w:fill="FFFFFF"/>
          <w:lang w:bidi="ar"/>
        </w:rPr>
        <w:t>的单位、家庭、个人和社会组织按规定予以褒奖。</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二十四、【评估和指导】</w:t>
      </w:r>
      <w:r>
        <w:rPr>
          <w:rFonts w:hint="eastAsia" w:hAnsi="仿宋_GB2312" w:eastAsia="仿宋_GB2312"/>
          <w:snapToGrid w:val="0"/>
          <w:spacing w:val="-4"/>
          <w:kern w:val="0"/>
          <w:sz w:val="32"/>
          <w:szCs w:val="32"/>
          <w:shd w:val="clear" w:color="auto" w:fill="FFFFFF"/>
          <w:lang w:bidi="ar"/>
        </w:rPr>
        <w:t>市、县级市（区）人民政府应当建立全民阅读调查评估机制，包含阅读需求调查和阅读情况测评等内容，广泛听取社会各界的有关建议，及时总结推广成功经验。</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二十五、【安全】</w:t>
      </w:r>
      <w:r>
        <w:rPr>
          <w:rFonts w:hint="eastAsia" w:hAnsi="仿宋_GB2312" w:eastAsia="仿宋_GB2312"/>
          <w:snapToGrid w:val="0"/>
          <w:spacing w:val="-4"/>
          <w:kern w:val="0"/>
          <w:sz w:val="32"/>
          <w:szCs w:val="32"/>
          <w:shd w:val="clear" w:color="auto" w:fill="FFFFFF"/>
          <w:lang w:bidi="ar"/>
        </w:rPr>
        <w:t>各级新闻出版行政部门依法加强对纸质图书、电子图书等公开出版物及出版活动的监管，净化阅读环境和网络阅读空间。</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属地政府及有关部门应当依法加强对辖区内全民阅读设施运行安全状况的监管。</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二十六、【责任追究】</w:t>
      </w:r>
      <w:r>
        <w:rPr>
          <w:rFonts w:hint="eastAsia" w:hAnsi="仿宋_GB2312" w:eastAsia="仿宋_GB2312"/>
          <w:snapToGrid w:val="0"/>
          <w:spacing w:val="-4"/>
          <w:kern w:val="0"/>
          <w:sz w:val="32"/>
          <w:szCs w:val="32"/>
          <w:shd w:val="clear" w:color="auto" w:fill="FFFFFF"/>
          <w:lang w:bidi="ar"/>
        </w:rPr>
        <w:t>各级人民政府或者部门不履行本决定所规定职责的，由上级人民政府或者本级人民政府责令改正；逾期不改正的，对直接负责人和有关责任人依法给予处分。</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公共阅读服务场所和设施的管理者违反本决定规定，不履行相应职责的，由主管部门责令限期改正；逾期不改正的，对直接负责人和有关责任人依法给予处分。</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仿宋_GB2312" w:eastAsia="仿宋_GB2312"/>
          <w:snapToGrid w:val="0"/>
          <w:spacing w:val="-4"/>
          <w:kern w:val="0"/>
          <w:sz w:val="32"/>
          <w:szCs w:val="32"/>
          <w:shd w:val="clear" w:color="auto" w:fill="FFFFFF"/>
          <w:lang w:bidi="ar"/>
        </w:rPr>
        <w:t>对有关人员挪用、贪污、侵占全民阅读经费、资源，或者擅自改变公共阅读服务场所和设施用途的，由其主管部门依法给予处分；构成犯罪的，依法追究刑事责任。</w:t>
      </w:r>
    </w:p>
    <w:p>
      <w:pPr>
        <w:overflowPunct w:val="0"/>
        <w:adjustRightInd w:val="0"/>
        <w:snapToGrid w:val="0"/>
        <w:spacing w:line="580" w:lineRule="exact"/>
        <w:ind w:firstLine="624" w:firstLineChars="200"/>
        <w:rPr>
          <w:rFonts w:hint="eastAsia" w:eastAsia="仿宋_GB2312"/>
          <w:snapToGrid w:val="0"/>
          <w:spacing w:val="-4"/>
          <w:kern w:val="0"/>
          <w:sz w:val="32"/>
          <w:szCs w:val="32"/>
          <w:shd w:val="clear" w:color="auto" w:fill="FFFFFF"/>
          <w:lang w:bidi="ar"/>
        </w:rPr>
      </w:pPr>
      <w:r>
        <w:rPr>
          <w:rFonts w:hint="eastAsia" w:hAnsi="黑体" w:eastAsia="黑体"/>
          <w:snapToGrid w:val="0"/>
          <w:spacing w:val="-4"/>
          <w:kern w:val="0"/>
          <w:sz w:val="32"/>
          <w:szCs w:val="32"/>
          <w:shd w:val="clear" w:color="auto" w:fill="FFFFFF"/>
          <w:lang w:bidi="ar"/>
        </w:rPr>
        <w:t>二十七、【时间】</w:t>
      </w:r>
      <w:r>
        <w:rPr>
          <w:rFonts w:hint="eastAsia" w:hAnsi="仿宋_GB2312" w:eastAsia="仿宋_GB2312"/>
          <w:snapToGrid w:val="0"/>
          <w:spacing w:val="-4"/>
          <w:kern w:val="0"/>
          <w:sz w:val="32"/>
          <w:szCs w:val="32"/>
          <w:shd w:val="clear" w:color="auto" w:fill="FFFFFF"/>
          <w:lang w:bidi="ar"/>
        </w:rPr>
        <w:t>本决定自</w:t>
      </w:r>
      <w:r>
        <w:rPr>
          <w:rFonts w:hint="eastAsia" w:eastAsia="仿宋_GB2312"/>
          <w:snapToGrid w:val="0"/>
          <w:spacing w:val="-4"/>
          <w:kern w:val="0"/>
          <w:sz w:val="32"/>
          <w:szCs w:val="32"/>
          <w:shd w:val="clear" w:color="auto" w:fill="FFFFFF"/>
          <w:lang w:bidi="ar"/>
        </w:rPr>
        <w:t>X</w:t>
      </w:r>
      <w:r>
        <w:rPr>
          <w:rFonts w:hint="eastAsia" w:hAnsi="仿宋_GB2312" w:eastAsia="仿宋_GB2312"/>
          <w:snapToGrid w:val="0"/>
          <w:spacing w:val="-4"/>
          <w:kern w:val="0"/>
          <w:sz w:val="32"/>
          <w:szCs w:val="32"/>
          <w:shd w:val="clear" w:color="auto" w:fill="FFFFFF"/>
          <w:lang w:bidi="ar"/>
        </w:rPr>
        <w:t>年</w:t>
      </w:r>
      <w:r>
        <w:rPr>
          <w:rFonts w:hint="eastAsia" w:eastAsia="仿宋_GB2312"/>
          <w:snapToGrid w:val="0"/>
          <w:spacing w:val="-4"/>
          <w:kern w:val="0"/>
          <w:sz w:val="32"/>
          <w:szCs w:val="32"/>
          <w:shd w:val="clear" w:color="auto" w:fill="FFFFFF"/>
          <w:lang w:bidi="ar"/>
        </w:rPr>
        <w:t>X</w:t>
      </w:r>
      <w:r>
        <w:rPr>
          <w:rFonts w:hint="eastAsia" w:hAnsi="仿宋_GB2312" w:eastAsia="仿宋_GB2312"/>
          <w:snapToGrid w:val="0"/>
          <w:spacing w:val="-4"/>
          <w:kern w:val="0"/>
          <w:sz w:val="32"/>
          <w:szCs w:val="32"/>
          <w:shd w:val="clear" w:color="auto" w:fill="FFFFFF"/>
          <w:lang w:bidi="ar"/>
        </w:rPr>
        <w:t>月</w:t>
      </w:r>
      <w:r>
        <w:rPr>
          <w:rFonts w:hint="eastAsia" w:eastAsia="仿宋_GB2312"/>
          <w:snapToGrid w:val="0"/>
          <w:spacing w:val="-4"/>
          <w:kern w:val="0"/>
          <w:sz w:val="32"/>
          <w:szCs w:val="32"/>
          <w:shd w:val="clear" w:color="auto" w:fill="FFFFFF"/>
          <w:lang w:bidi="ar"/>
        </w:rPr>
        <w:t>X</w:t>
      </w:r>
      <w:r>
        <w:rPr>
          <w:rFonts w:hint="eastAsia" w:hAnsi="仿宋_GB2312" w:eastAsia="仿宋_GB2312"/>
          <w:snapToGrid w:val="0"/>
          <w:spacing w:val="-4"/>
          <w:kern w:val="0"/>
          <w:sz w:val="32"/>
          <w:szCs w:val="32"/>
          <w:shd w:val="clear" w:color="auto" w:fill="FFFFFF"/>
          <w:lang w:bidi="ar"/>
        </w:rPr>
        <w:t>日起施行。</w:t>
      </w:r>
    </w:p>
    <w:p/>
    <w:p/>
    <w:sectPr>
      <w:pgSz w:w="11906" w:h="16838"/>
      <w:pgMar w:top="2041" w:right="1559" w:bottom="1985"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07C3DE-E55A-4DCF-A48E-D38224AE64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F8F0870-7C64-4386-8C87-74EEB307E626}"/>
  </w:font>
  <w:font w:name="方正小标宋简体">
    <w:panose1 w:val="02000000000000000000"/>
    <w:charset w:val="86"/>
    <w:family w:val="script"/>
    <w:pitch w:val="default"/>
    <w:sig w:usb0="A00002BF" w:usb1="184F6CFA" w:usb2="00000012" w:usb3="00000000" w:csb0="00040001" w:csb1="00000000"/>
    <w:embedRegular r:id="rId3" w:fontKey="{2A9F204E-890C-439B-A28A-FD2F2845737F}"/>
  </w:font>
  <w:font w:name="楷体_GB2312">
    <w:panose1 w:val="02010609030101010101"/>
    <w:charset w:val="86"/>
    <w:family w:val="auto"/>
    <w:pitch w:val="default"/>
    <w:sig w:usb0="00000001" w:usb1="080E0000" w:usb2="00000000" w:usb3="00000000" w:csb0="00040000" w:csb1="00000000"/>
    <w:embedRegular r:id="rId4" w:fontKey="{D36AE1FA-B011-4C1B-AEC2-1BC42A91790B}"/>
  </w:font>
  <w:font w:name="仿宋_GB2312">
    <w:panose1 w:val="02010609030101010101"/>
    <w:charset w:val="86"/>
    <w:family w:val="auto"/>
    <w:pitch w:val="default"/>
    <w:sig w:usb0="00000001" w:usb1="080E0000" w:usb2="00000000" w:usb3="00000000" w:csb0="00040000" w:csb1="00000000"/>
    <w:embedRegular r:id="rId5" w:fontKey="{E5F16333-0B25-45E0-9E7C-C82FAB1842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MjFlMGM2ZjE0MzFkZmRkOWMwYzA1MWI4OWQ0YzEifQ=="/>
  </w:docVars>
  <w:rsids>
    <w:rsidRoot w:val="00000000"/>
    <w:rsid w:val="007C7187"/>
    <w:rsid w:val="00EF16FF"/>
    <w:rsid w:val="03400CE5"/>
    <w:rsid w:val="0381685A"/>
    <w:rsid w:val="048E56D2"/>
    <w:rsid w:val="04C95C3E"/>
    <w:rsid w:val="04FD0162"/>
    <w:rsid w:val="055E50A5"/>
    <w:rsid w:val="056F4631"/>
    <w:rsid w:val="059A3C03"/>
    <w:rsid w:val="06BF1B73"/>
    <w:rsid w:val="07862691"/>
    <w:rsid w:val="084E7652"/>
    <w:rsid w:val="08D51B22"/>
    <w:rsid w:val="0946032A"/>
    <w:rsid w:val="096133B5"/>
    <w:rsid w:val="0B1F7084"/>
    <w:rsid w:val="0B3F3282"/>
    <w:rsid w:val="0BE34556"/>
    <w:rsid w:val="0C460641"/>
    <w:rsid w:val="0C7156BE"/>
    <w:rsid w:val="0CA35A93"/>
    <w:rsid w:val="0CB21B2A"/>
    <w:rsid w:val="0D887163"/>
    <w:rsid w:val="0E5B6625"/>
    <w:rsid w:val="0F18539D"/>
    <w:rsid w:val="0FC4644C"/>
    <w:rsid w:val="104E5D16"/>
    <w:rsid w:val="113413B0"/>
    <w:rsid w:val="11D566EF"/>
    <w:rsid w:val="12344C6A"/>
    <w:rsid w:val="12843C71"/>
    <w:rsid w:val="140A0639"/>
    <w:rsid w:val="14904B4F"/>
    <w:rsid w:val="14D02DF5"/>
    <w:rsid w:val="14EA24B1"/>
    <w:rsid w:val="150177FB"/>
    <w:rsid w:val="15021F9A"/>
    <w:rsid w:val="16704C38"/>
    <w:rsid w:val="167E206D"/>
    <w:rsid w:val="16D52CED"/>
    <w:rsid w:val="17011D34"/>
    <w:rsid w:val="17F43647"/>
    <w:rsid w:val="187C5B16"/>
    <w:rsid w:val="19A1335A"/>
    <w:rsid w:val="1A141D7E"/>
    <w:rsid w:val="1A705206"/>
    <w:rsid w:val="1A8567D8"/>
    <w:rsid w:val="1CC161ED"/>
    <w:rsid w:val="1DDB32DF"/>
    <w:rsid w:val="1F3233D2"/>
    <w:rsid w:val="1F9574BD"/>
    <w:rsid w:val="1F9E2816"/>
    <w:rsid w:val="200A1C59"/>
    <w:rsid w:val="20D109C9"/>
    <w:rsid w:val="211508B6"/>
    <w:rsid w:val="21A659B2"/>
    <w:rsid w:val="21B46321"/>
    <w:rsid w:val="21CF4F08"/>
    <w:rsid w:val="226A4C31"/>
    <w:rsid w:val="23A221A9"/>
    <w:rsid w:val="244A6AC8"/>
    <w:rsid w:val="26CB1A16"/>
    <w:rsid w:val="27AB1F74"/>
    <w:rsid w:val="27E64D5A"/>
    <w:rsid w:val="28CF3A40"/>
    <w:rsid w:val="295757E3"/>
    <w:rsid w:val="29D55086"/>
    <w:rsid w:val="2A1216A0"/>
    <w:rsid w:val="2A5C57A7"/>
    <w:rsid w:val="2AA42CAA"/>
    <w:rsid w:val="2BC90C1A"/>
    <w:rsid w:val="2DE24215"/>
    <w:rsid w:val="2E8C4181"/>
    <w:rsid w:val="2F397E65"/>
    <w:rsid w:val="30B67293"/>
    <w:rsid w:val="30BA3228"/>
    <w:rsid w:val="313A7EC4"/>
    <w:rsid w:val="314174A5"/>
    <w:rsid w:val="327D450D"/>
    <w:rsid w:val="336B25B7"/>
    <w:rsid w:val="33B977C6"/>
    <w:rsid w:val="341E587B"/>
    <w:rsid w:val="34727975"/>
    <w:rsid w:val="347831DE"/>
    <w:rsid w:val="349618B6"/>
    <w:rsid w:val="356674DA"/>
    <w:rsid w:val="35926521"/>
    <w:rsid w:val="38A74091"/>
    <w:rsid w:val="3A102721"/>
    <w:rsid w:val="3B0574AA"/>
    <w:rsid w:val="3B2E0A9A"/>
    <w:rsid w:val="3B40257B"/>
    <w:rsid w:val="3C1D466B"/>
    <w:rsid w:val="3C8446EA"/>
    <w:rsid w:val="3D913562"/>
    <w:rsid w:val="3DB8289D"/>
    <w:rsid w:val="3DC96858"/>
    <w:rsid w:val="3E1201FF"/>
    <w:rsid w:val="3F341C11"/>
    <w:rsid w:val="3FCF5B1C"/>
    <w:rsid w:val="3FDA4D4C"/>
    <w:rsid w:val="40552625"/>
    <w:rsid w:val="40580367"/>
    <w:rsid w:val="407C5E04"/>
    <w:rsid w:val="4171348E"/>
    <w:rsid w:val="419378A9"/>
    <w:rsid w:val="41BD4926"/>
    <w:rsid w:val="42BC698B"/>
    <w:rsid w:val="42BE3142"/>
    <w:rsid w:val="42D068DB"/>
    <w:rsid w:val="42F01147"/>
    <w:rsid w:val="44022AC4"/>
    <w:rsid w:val="445350CD"/>
    <w:rsid w:val="45663539"/>
    <w:rsid w:val="4574354D"/>
    <w:rsid w:val="49755AE6"/>
    <w:rsid w:val="49850850"/>
    <w:rsid w:val="49ED1B20"/>
    <w:rsid w:val="4A075B71"/>
    <w:rsid w:val="4A4F4589"/>
    <w:rsid w:val="4BB9615E"/>
    <w:rsid w:val="4C910E89"/>
    <w:rsid w:val="4CD3324F"/>
    <w:rsid w:val="4F304989"/>
    <w:rsid w:val="4FDC066D"/>
    <w:rsid w:val="50355FCF"/>
    <w:rsid w:val="504B57F2"/>
    <w:rsid w:val="516C3C72"/>
    <w:rsid w:val="51C27D36"/>
    <w:rsid w:val="51FC4FF6"/>
    <w:rsid w:val="52B70F1D"/>
    <w:rsid w:val="52E03507"/>
    <w:rsid w:val="530A729F"/>
    <w:rsid w:val="53603363"/>
    <w:rsid w:val="54216F96"/>
    <w:rsid w:val="561F5757"/>
    <w:rsid w:val="56B063AF"/>
    <w:rsid w:val="579C7971"/>
    <w:rsid w:val="590B3D71"/>
    <w:rsid w:val="594A5437"/>
    <w:rsid w:val="59C334B2"/>
    <w:rsid w:val="59F36CDF"/>
    <w:rsid w:val="5A5B2AD6"/>
    <w:rsid w:val="5AD22D98"/>
    <w:rsid w:val="5B5A4B3C"/>
    <w:rsid w:val="5C166CB5"/>
    <w:rsid w:val="5C834A8C"/>
    <w:rsid w:val="5CE42F8B"/>
    <w:rsid w:val="5D632448"/>
    <w:rsid w:val="5DDE5773"/>
    <w:rsid w:val="5E812ADB"/>
    <w:rsid w:val="5E9B5B97"/>
    <w:rsid w:val="5FBE1B3D"/>
    <w:rsid w:val="5FCA6734"/>
    <w:rsid w:val="60FB291D"/>
    <w:rsid w:val="6155027F"/>
    <w:rsid w:val="61B8481E"/>
    <w:rsid w:val="620F6680"/>
    <w:rsid w:val="632048BD"/>
    <w:rsid w:val="63F0428F"/>
    <w:rsid w:val="646627A3"/>
    <w:rsid w:val="65242442"/>
    <w:rsid w:val="66263F98"/>
    <w:rsid w:val="67E4235D"/>
    <w:rsid w:val="67EF3C7F"/>
    <w:rsid w:val="693B5FAC"/>
    <w:rsid w:val="696A0640"/>
    <w:rsid w:val="69B47B0D"/>
    <w:rsid w:val="6A58493C"/>
    <w:rsid w:val="6A7A6688"/>
    <w:rsid w:val="6C8E2897"/>
    <w:rsid w:val="6CC54282"/>
    <w:rsid w:val="6ED00F45"/>
    <w:rsid w:val="6ED07197"/>
    <w:rsid w:val="6F3E2352"/>
    <w:rsid w:val="6F4A6F49"/>
    <w:rsid w:val="707D50FC"/>
    <w:rsid w:val="70A24B63"/>
    <w:rsid w:val="71072C18"/>
    <w:rsid w:val="71D23226"/>
    <w:rsid w:val="71F96A05"/>
    <w:rsid w:val="727D13E4"/>
    <w:rsid w:val="72C9287B"/>
    <w:rsid w:val="738467A2"/>
    <w:rsid w:val="73C848E1"/>
    <w:rsid w:val="73E3171A"/>
    <w:rsid w:val="73F16E7C"/>
    <w:rsid w:val="77324E93"/>
    <w:rsid w:val="774E15A1"/>
    <w:rsid w:val="77A811B8"/>
    <w:rsid w:val="7A604D4F"/>
    <w:rsid w:val="7A9E45ED"/>
    <w:rsid w:val="7B1E43E0"/>
    <w:rsid w:val="7C4A67DB"/>
    <w:rsid w:val="7C572CA5"/>
    <w:rsid w:val="7CB77BE8"/>
    <w:rsid w:val="7D3D1E9B"/>
    <w:rsid w:val="7E77762F"/>
    <w:rsid w:val="7EEB5047"/>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段"/>
    <w:next w:val="1"/>
    <w:autoRedefine/>
    <w:qFormat/>
    <w:uiPriority w:val="99"/>
    <w:pPr>
      <w:autoSpaceDE w:val="0"/>
      <w:autoSpaceDN w:val="0"/>
      <w:ind w:firstLine="200"/>
      <w:jc w:val="both"/>
    </w:pPr>
    <w:rPr>
      <w:rFonts w:ascii="宋体" w:hAnsi="Calibri" w:eastAsia="宋体" w:cs="Times New Roman"/>
      <w:kern w:val="0"/>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2023-07-12T07:28:00Z</dcterms:created>
  <dc:creator>142857</dc:creator>
  <cp:lastModifiedBy>江南无以逢 </cp:lastModifiedBy>
  <cp:lastPrinted>2023-12-22T07:18:00Z</cp:lastPrinted>
  <dcterms:modified xsi:type="dcterms:W3CDTF">2024-01-04T02:34:18Z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D8C6CED39A67492999944BC24370C83F_13</vt:lpwstr>
  </property>
</Properties>
</file>