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napToGrid/>
        <w:spacing w:after="0" w:line="240" w:lineRule="auto"/>
        <w:ind w:firstLine="0" w:firstLineChars="0"/>
        <w:jc w:val="center"/>
        <w:rPr>
          <w:rFonts w:eastAsia="宋体" w:cs="Times New Roman"/>
          <w:b/>
          <w:bCs/>
          <w:sz w:val="44"/>
          <w:szCs w:val="48"/>
        </w:rPr>
      </w:pPr>
    </w:p>
    <w:p>
      <w:pPr>
        <w:adjustRightInd/>
        <w:snapToGrid/>
        <w:spacing w:after="0" w:line="240" w:lineRule="auto"/>
        <w:ind w:firstLine="0" w:firstLineChars="0"/>
        <w:jc w:val="center"/>
        <w:rPr>
          <w:rFonts w:eastAsia="宋体" w:cs="Times New Roman"/>
          <w:b/>
          <w:bCs/>
          <w:sz w:val="44"/>
          <w:szCs w:val="48"/>
        </w:rPr>
      </w:pPr>
    </w:p>
    <w:p>
      <w:pPr>
        <w:adjustRightInd/>
        <w:snapToGrid/>
        <w:spacing w:after="0" w:line="240" w:lineRule="auto"/>
        <w:ind w:firstLine="0" w:firstLineChars="0"/>
        <w:jc w:val="both"/>
        <w:rPr>
          <w:rFonts w:eastAsia="宋体" w:cs="Times New Roman"/>
          <w:b/>
          <w:bCs/>
          <w:sz w:val="44"/>
          <w:szCs w:val="48"/>
        </w:rPr>
      </w:pPr>
    </w:p>
    <w:p>
      <w:pPr>
        <w:adjustRightInd/>
        <w:snapToGrid/>
        <w:spacing w:after="0" w:line="240" w:lineRule="auto"/>
        <w:ind w:firstLine="0" w:firstLineChars="0"/>
        <w:jc w:val="both"/>
        <w:rPr>
          <w:rFonts w:eastAsia="宋体" w:cs="Times New Roman"/>
          <w:b/>
          <w:bCs/>
          <w:sz w:val="44"/>
          <w:szCs w:val="48"/>
        </w:rPr>
      </w:pPr>
    </w:p>
    <w:p>
      <w:pPr>
        <w:adjustRightInd/>
        <w:snapToGrid/>
        <w:spacing w:after="0" w:line="240" w:lineRule="auto"/>
        <w:ind w:firstLine="0" w:firstLineChars="0"/>
        <w:jc w:val="center"/>
        <w:rPr>
          <w:rFonts w:hint="eastAsia" w:ascii="方正小标宋简体" w:hAnsi="方正小标宋简体" w:eastAsia="方正小标宋简体" w:cs="方正小标宋简体"/>
          <w:b w:val="0"/>
          <w:bCs w:val="0"/>
          <w:sz w:val="56"/>
          <w:szCs w:val="72"/>
        </w:rPr>
      </w:pPr>
      <w:bookmarkStart w:id="0" w:name="_GoBack"/>
      <w:r>
        <w:rPr>
          <w:rFonts w:hint="eastAsia" w:ascii="方正小标宋简体" w:hAnsi="方正小标宋简体" w:eastAsia="方正小标宋简体" w:cs="方正小标宋简体"/>
          <w:b w:val="0"/>
          <w:bCs w:val="0"/>
          <w:sz w:val="56"/>
          <w:szCs w:val="72"/>
        </w:rPr>
        <w:t>苏州市低空空中交通规则</w:t>
      </w:r>
    </w:p>
    <w:p>
      <w:pPr>
        <w:adjustRightInd/>
        <w:snapToGrid/>
        <w:spacing w:after="0" w:line="240" w:lineRule="auto"/>
        <w:ind w:firstLine="0" w:firstLineChars="0"/>
        <w:jc w:val="center"/>
        <w:rPr>
          <w:rFonts w:hint="eastAsia" w:ascii="方正小标宋简体" w:hAnsi="方正小标宋简体" w:eastAsia="方正小标宋简体" w:cs="方正小标宋简体"/>
          <w:b w:val="0"/>
          <w:bCs w:val="0"/>
          <w:sz w:val="56"/>
          <w:szCs w:val="72"/>
        </w:rPr>
      </w:pPr>
      <w:r>
        <w:rPr>
          <w:rFonts w:hint="eastAsia" w:ascii="方正小标宋简体" w:hAnsi="方正小标宋简体" w:eastAsia="方正小标宋简体" w:cs="方正小标宋简体"/>
          <w:b w:val="0"/>
          <w:bCs w:val="0"/>
          <w:sz w:val="56"/>
          <w:szCs w:val="72"/>
        </w:rPr>
        <w:t>（征求意见稿）</w:t>
      </w:r>
    </w:p>
    <w:bookmarkEnd w:id="0"/>
    <w:p>
      <w:pPr>
        <w:adjustRightInd/>
        <w:snapToGrid/>
        <w:spacing w:after="0" w:line="240" w:lineRule="auto"/>
        <w:ind w:firstLine="0" w:firstLineChars="0"/>
        <w:jc w:val="center"/>
        <w:rPr>
          <w:rFonts w:eastAsia="宋体" w:cs="Times New Roman"/>
          <w:b/>
          <w:bCs/>
          <w:sz w:val="48"/>
          <w:szCs w:val="52"/>
        </w:rPr>
      </w:pPr>
    </w:p>
    <w:p>
      <w:pPr>
        <w:adjustRightInd/>
        <w:snapToGrid/>
        <w:spacing w:after="0" w:line="240" w:lineRule="auto"/>
        <w:ind w:firstLine="0" w:firstLineChars="0"/>
        <w:jc w:val="center"/>
        <w:rPr>
          <w:rFonts w:eastAsia="宋体" w:cs="Times New Roman"/>
          <w:b/>
          <w:bCs/>
          <w:sz w:val="48"/>
          <w:szCs w:val="52"/>
        </w:rPr>
      </w:pPr>
    </w:p>
    <w:p>
      <w:pPr>
        <w:adjustRightInd/>
        <w:snapToGrid/>
        <w:spacing w:after="0" w:line="240" w:lineRule="auto"/>
        <w:ind w:firstLine="0" w:firstLineChars="0"/>
        <w:jc w:val="center"/>
        <w:rPr>
          <w:rFonts w:eastAsia="宋体" w:cs="Times New Roman"/>
          <w:b/>
          <w:bCs/>
          <w:sz w:val="48"/>
          <w:szCs w:val="52"/>
        </w:rPr>
      </w:pPr>
    </w:p>
    <w:p>
      <w:pPr>
        <w:adjustRightInd/>
        <w:snapToGrid/>
        <w:spacing w:after="0" w:line="240" w:lineRule="auto"/>
        <w:ind w:firstLine="0" w:firstLineChars="0"/>
        <w:jc w:val="center"/>
        <w:rPr>
          <w:rFonts w:eastAsia="宋体" w:cs="Times New Roman"/>
          <w:b/>
          <w:bCs/>
          <w:sz w:val="48"/>
          <w:szCs w:val="52"/>
        </w:rPr>
      </w:pPr>
    </w:p>
    <w:p>
      <w:pPr>
        <w:adjustRightInd/>
        <w:snapToGrid/>
        <w:spacing w:after="0" w:line="240" w:lineRule="auto"/>
        <w:ind w:firstLine="0" w:firstLineChars="0"/>
        <w:jc w:val="center"/>
        <w:rPr>
          <w:rFonts w:eastAsia="宋体" w:cs="Times New Roman"/>
          <w:b/>
          <w:bCs/>
          <w:sz w:val="48"/>
          <w:szCs w:val="52"/>
        </w:rPr>
      </w:pPr>
    </w:p>
    <w:p>
      <w:pPr>
        <w:adjustRightInd/>
        <w:snapToGrid/>
        <w:spacing w:after="0" w:line="240" w:lineRule="auto"/>
        <w:ind w:firstLine="0" w:firstLineChars="0"/>
        <w:jc w:val="center"/>
        <w:rPr>
          <w:rFonts w:eastAsia="宋体" w:cs="Times New Roman"/>
          <w:b/>
          <w:bCs/>
          <w:sz w:val="48"/>
          <w:szCs w:val="52"/>
        </w:rPr>
      </w:pPr>
    </w:p>
    <w:p>
      <w:pPr>
        <w:adjustRightInd/>
        <w:snapToGrid/>
        <w:spacing w:after="0" w:line="240" w:lineRule="auto"/>
        <w:ind w:firstLine="0" w:firstLineChars="0"/>
        <w:jc w:val="center"/>
        <w:rPr>
          <w:rFonts w:eastAsia="宋体" w:cs="Times New Roman"/>
          <w:b/>
          <w:bCs/>
          <w:sz w:val="48"/>
          <w:szCs w:val="52"/>
        </w:rPr>
      </w:pPr>
    </w:p>
    <w:p>
      <w:pPr>
        <w:adjustRightInd/>
        <w:snapToGrid/>
        <w:spacing w:after="0" w:line="240" w:lineRule="auto"/>
        <w:ind w:firstLine="0" w:firstLineChars="0"/>
        <w:jc w:val="center"/>
        <w:rPr>
          <w:rFonts w:eastAsia="宋体" w:cs="Times New Roman"/>
          <w:b/>
          <w:bCs/>
          <w:sz w:val="48"/>
          <w:szCs w:val="52"/>
        </w:rPr>
      </w:pPr>
    </w:p>
    <w:p>
      <w:pPr>
        <w:adjustRightInd/>
        <w:snapToGrid/>
        <w:spacing w:after="0" w:line="240" w:lineRule="auto"/>
        <w:ind w:firstLine="0" w:firstLineChars="0"/>
        <w:jc w:val="center"/>
        <w:rPr>
          <w:rFonts w:eastAsia="宋体" w:cs="Times New Roman"/>
          <w:b/>
          <w:bCs/>
          <w:sz w:val="48"/>
          <w:szCs w:val="52"/>
        </w:rPr>
      </w:pPr>
    </w:p>
    <w:p>
      <w:pPr>
        <w:adjustRightInd/>
        <w:snapToGrid/>
        <w:spacing w:after="0" w:line="240" w:lineRule="auto"/>
        <w:ind w:firstLine="0" w:firstLineChars="0"/>
        <w:jc w:val="center"/>
        <w:rPr>
          <w:rFonts w:eastAsia="宋体" w:cs="Times New Roman"/>
          <w:b/>
          <w:bCs/>
          <w:sz w:val="48"/>
          <w:szCs w:val="52"/>
        </w:rPr>
      </w:pPr>
    </w:p>
    <w:p>
      <w:pPr>
        <w:adjustRightInd/>
        <w:snapToGrid/>
        <w:spacing w:after="0" w:line="240" w:lineRule="auto"/>
        <w:ind w:firstLine="0" w:firstLineChars="0"/>
        <w:jc w:val="center"/>
        <w:rPr>
          <w:rFonts w:eastAsia="宋体" w:cs="Times New Roman"/>
          <w:sz w:val="40"/>
          <w:szCs w:val="44"/>
        </w:rPr>
      </w:pPr>
    </w:p>
    <w:p>
      <w:pPr>
        <w:adjustRightInd/>
        <w:snapToGrid/>
        <w:spacing w:after="0" w:line="240" w:lineRule="auto"/>
        <w:ind w:firstLine="0" w:firstLineChars="0"/>
        <w:jc w:val="center"/>
        <w:rPr>
          <w:rFonts w:hint="eastAsia" w:ascii="方正小标宋简体" w:hAnsi="方正小标宋简体" w:eastAsia="方正小标宋简体" w:cs="方正小标宋简体"/>
          <w:sz w:val="36"/>
          <w:szCs w:val="40"/>
        </w:rPr>
      </w:pPr>
      <w:r>
        <w:rPr>
          <w:rFonts w:hint="eastAsia" w:ascii="方正小标宋简体" w:hAnsi="方正小标宋简体" w:eastAsia="方正小标宋简体" w:cs="方正小标宋简体"/>
          <w:sz w:val="36"/>
          <w:szCs w:val="40"/>
        </w:rPr>
        <w:t>苏州市空中交通规则工作专班</w:t>
      </w:r>
    </w:p>
    <w:p>
      <w:pPr>
        <w:adjustRightInd/>
        <w:snapToGrid/>
        <w:spacing w:after="0" w:line="240" w:lineRule="auto"/>
        <w:ind w:firstLine="0" w:firstLineChars="0"/>
        <w:jc w:val="center"/>
        <w:rPr>
          <w:rFonts w:hint="eastAsia" w:ascii="方正小标宋简体" w:hAnsi="方正小标宋简体" w:eastAsia="方正小标宋简体" w:cs="方正小标宋简体"/>
          <w:sz w:val="36"/>
          <w:szCs w:val="40"/>
        </w:rPr>
      </w:pPr>
      <w:r>
        <w:rPr>
          <w:rFonts w:hint="eastAsia" w:ascii="方正小标宋简体" w:hAnsi="方正小标宋简体" w:eastAsia="方正小标宋简体" w:cs="方正小标宋简体"/>
          <w:sz w:val="36"/>
          <w:szCs w:val="40"/>
        </w:rPr>
        <w:t>2024年</w:t>
      </w:r>
      <w:r>
        <w:rPr>
          <w:rFonts w:hint="eastAsia" w:ascii="方正小标宋简体" w:hAnsi="方正小标宋简体" w:eastAsia="方正小标宋简体" w:cs="方正小标宋简体"/>
          <w:sz w:val="36"/>
          <w:szCs w:val="40"/>
          <w:lang w:val="en-US" w:eastAsia="zh-CN"/>
        </w:rPr>
        <w:t>6</w:t>
      </w:r>
      <w:r>
        <w:rPr>
          <w:rFonts w:hint="eastAsia" w:ascii="方正小标宋简体" w:hAnsi="方正小标宋简体" w:eastAsia="方正小标宋简体" w:cs="方正小标宋简体"/>
          <w:sz w:val="36"/>
          <w:szCs w:val="40"/>
        </w:rPr>
        <w:t>月</w:t>
      </w:r>
    </w:p>
    <w:p>
      <w:pPr>
        <w:rPr>
          <w:rFonts w:hint="eastAsia"/>
        </w:rPr>
      </w:pPr>
      <w:r>
        <w:rPr>
          <w:rFonts w:hint="eastAsia"/>
        </w:rPr>
        <w:br w:type="page"/>
      </w:r>
    </w:p>
    <w:p>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黑体" w:hAnsi="黑体" w:eastAsia="黑体" w:cs="黑体"/>
        </w:rPr>
      </w:pPr>
      <w:r>
        <w:rPr>
          <w:rFonts w:hint="eastAsia" w:ascii="黑体" w:hAnsi="黑体" w:eastAsia="黑体" w:cs="黑体"/>
        </w:rPr>
        <w:t>第一章</w:t>
      </w:r>
      <w:r>
        <w:rPr>
          <w:rFonts w:hint="eastAsia" w:ascii="黑体" w:hAnsi="黑体" w:eastAsia="黑体" w:cs="黑体"/>
          <w:lang w:val="en-US" w:eastAsia="zh-CN"/>
        </w:rPr>
        <w:t xml:space="preserve">  </w:t>
      </w:r>
      <w:r>
        <w:rPr>
          <w:rFonts w:hint="eastAsia" w:ascii="黑体" w:hAnsi="黑体" w:eastAsia="黑体" w:cs="黑体"/>
        </w:rPr>
        <w:t>总  则</w:t>
      </w:r>
    </w:p>
    <w:p>
      <w:pPr>
        <w:keepNext w:val="0"/>
        <w:keepLines w:val="0"/>
        <w:pageBreakBefore w:val="0"/>
        <w:widowControl w:val="0"/>
        <w:kinsoku/>
        <w:wordWrap/>
        <w:overflowPunct/>
        <w:topLinePunct w:val="0"/>
        <w:autoSpaceDE/>
        <w:autoSpaceDN/>
        <w:bidi w:val="0"/>
        <w:adjustRightInd w:val="0"/>
        <w:snapToGrid w:val="0"/>
        <w:ind w:left="0" w:leftChars="0" w:firstLine="640" w:firstLineChars="200"/>
        <w:jc w:val="center"/>
        <w:textAlignment w:val="auto"/>
        <w:rPr>
          <w:rFonts w:hint="eastAsia" w:ascii="黑体" w:hAnsi="黑体" w:eastAsia="黑体" w:cs="黑体"/>
        </w:rPr>
      </w:pP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第一条【目的依据】</w:t>
      </w:r>
      <w:r>
        <w:rPr>
          <w:rFonts w:hint="eastAsia"/>
          <w:lang w:val="en-US" w:eastAsia="zh-CN"/>
        </w:rPr>
        <w:t xml:space="preserve">  </w:t>
      </w:r>
      <w:r>
        <w:rPr>
          <w:rFonts w:hint="eastAsia"/>
        </w:rPr>
        <w:t>为规范本市低空飞行活动，维护飞行安全、公共安全、空防安全，促进本市低空产业的持续健康发展，根据《中华人民共和国民用航空法》《中华人民共和国飞行基本规则》《通用航空飞行管制条例》《无人驾驶航空器飞行管理暂行条例》等法律、法规规定，结合本市实际，制定本规则。</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第二条【适用范围】</w:t>
      </w:r>
      <w:r>
        <w:rPr>
          <w:rFonts w:hint="eastAsia"/>
          <w:lang w:val="en-US" w:eastAsia="zh-CN"/>
        </w:rPr>
        <w:t xml:space="preserve">  </w:t>
      </w:r>
      <w:r>
        <w:rPr>
          <w:rFonts w:hint="eastAsia"/>
        </w:rPr>
        <w:t>在本市范围内真高600米（根据需要可扩展至真高1000米及以上）以下，通过民用低空航空器从事飞行以及有关活动，应当遵守本规则。</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第三条【基本原则】</w:t>
      </w:r>
      <w:r>
        <w:rPr>
          <w:rFonts w:hint="eastAsia"/>
          <w:lang w:val="en-US" w:eastAsia="zh-CN"/>
        </w:rPr>
        <w:t xml:space="preserve">  </w:t>
      </w:r>
      <w:r>
        <w:rPr>
          <w:rFonts w:hint="eastAsia"/>
        </w:rPr>
        <w:t>本市低空飞行活动，遵循规则先立、场景牵引、市场导向、技术保障、安全第一的低空经济发展方针。</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p>
    <w:p>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黑体" w:hAnsi="黑体" w:eastAsia="黑体" w:cs="黑体"/>
        </w:rPr>
      </w:pPr>
      <w:r>
        <w:rPr>
          <w:rFonts w:hint="eastAsia" w:ascii="黑体" w:hAnsi="黑体" w:eastAsia="黑体" w:cs="黑体"/>
        </w:rPr>
        <w:t>第二章</w:t>
      </w:r>
      <w:r>
        <w:rPr>
          <w:rFonts w:hint="eastAsia" w:ascii="黑体" w:hAnsi="黑体" w:eastAsia="黑体" w:cs="黑体"/>
          <w:lang w:val="en-US" w:eastAsia="zh-CN"/>
        </w:rPr>
        <w:t xml:space="preserve">  </w:t>
      </w:r>
      <w:r>
        <w:rPr>
          <w:rFonts w:hint="eastAsia" w:ascii="黑体" w:hAnsi="黑体" w:eastAsia="黑体" w:cs="黑体"/>
        </w:rPr>
        <w:t>管理机制</w:t>
      </w:r>
    </w:p>
    <w:p>
      <w:pPr>
        <w:keepNext w:val="0"/>
        <w:keepLines w:val="0"/>
        <w:pageBreakBefore w:val="0"/>
        <w:widowControl w:val="0"/>
        <w:kinsoku/>
        <w:wordWrap/>
        <w:overflowPunct/>
        <w:topLinePunct w:val="0"/>
        <w:autoSpaceDE/>
        <w:autoSpaceDN/>
        <w:bidi w:val="0"/>
        <w:adjustRightInd w:val="0"/>
        <w:snapToGrid w:val="0"/>
        <w:ind w:left="0" w:leftChars="0" w:firstLine="640" w:firstLineChars="200"/>
        <w:jc w:val="center"/>
        <w:textAlignment w:val="auto"/>
        <w:rPr>
          <w:rFonts w:hint="eastAsia" w:ascii="黑体" w:hAnsi="黑体" w:eastAsia="黑体" w:cs="黑体"/>
        </w:rPr>
      </w:pP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w:t>
      </w:r>
      <w:r>
        <w:rPr>
          <w:rFonts w:hint="eastAsia" w:ascii="黑体" w:hAnsi="黑体" w:eastAsia="黑体" w:cs="黑体"/>
          <w:lang w:val="en-US" w:eastAsia="zh-CN"/>
        </w:rPr>
        <w:t>四</w:t>
      </w:r>
      <w:r>
        <w:rPr>
          <w:rFonts w:hint="eastAsia" w:ascii="黑体" w:hAnsi="黑体" w:eastAsia="黑体" w:cs="黑体"/>
        </w:rPr>
        <w:t>条【飞行管理】</w:t>
      </w:r>
      <w:r>
        <w:rPr>
          <w:rFonts w:hint="eastAsia"/>
          <w:lang w:val="en-US" w:eastAsia="zh-CN"/>
        </w:rPr>
        <w:t xml:space="preserve">  </w:t>
      </w:r>
      <w:r>
        <w:rPr>
          <w:rFonts w:hint="eastAsia"/>
        </w:rPr>
        <w:t>市级低空飞行管理平台在空中交通管理机构和市人民政府指导下，开展低空飞行管理工作，负责受理全市低空飞行及相关活动申请和空域使用需求，具备低空飞行监视、地空通信、空域管理、航空情报和气象信息服务能力，为低空飞行提供全程精细化伴随保障服务。</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w:t>
      </w:r>
      <w:r>
        <w:rPr>
          <w:rFonts w:hint="eastAsia" w:ascii="黑体" w:hAnsi="黑体" w:eastAsia="黑体" w:cs="黑体"/>
          <w:lang w:val="en-US" w:eastAsia="zh-CN"/>
        </w:rPr>
        <w:t>五</w:t>
      </w:r>
      <w:r>
        <w:rPr>
          <w:rFonts w:hint="eastAsia" w:ascii="黑体" w:hAnsi="黑体" w:eastAsia="黑体" w:cs="黑体"/>
        </w:rPr>
        <w:t>条【安全管理】</w:t>
      </w:r>
      <w:r>
        <w:rPr>
          <w:rFonts w:hint="eastAsia"/>
          <w:lang w:val="en-US" w:eastAsia="zh-CN"/>
        </w:rPr>
        <w:t xml:space="preserve">  </w:t>
      </w:r>
      <w:r>
        <w:rPr>
          <w:rFonts w:hint="eastAsia"/>
        </w:rPr>
        <w:t>市公安部门承担本市无人驾驶航空器非法飞行处置、要地防护等工作，依法对违反管理规定的低空飞行活动采取处置措施。</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w:t>
      </w:r>
      <w:r>
        <w:rPr>
          <w:rFonts w:hint="eastAsia" w:ascii="黑体" w:hAnsi="黑体" w:eastAsia="黑体" w:cs="黑体"/>
          <w:lang w:val="en-US" w:eastAsia="zh-CN"/>
        </w:rPr>
        <w:t>六</w:t>
      </w:r>
      <w:r>
        <w:rPr>
          <w:rFonts w:hint="eastAsia" w:ascii="黑体" w:hAnsi="黑体" w:eastAsia="黑体" w:cs="黑体"/>
        </w:rPr>
        <w:t>条【应急管理】</w:t>
      </w:r>
      <w:r>
        <w:rPr>
          <w:rFonts w:hint="eastAsia"/>
          <w:lang w:val="en-US" w:eastAsia="zh-CN"/>
        </w:rPr>
        <w:t xml:space="preserve">  </w:t>
      </w:r>
      <w:r>
        <w:rPr>
          <w:rFonts w:hint="eastAsia"/>
        </w:rPr>
        <w:t>市应急管理部门承担本市低空飞行应急管理工作，将低空飞行应急管理纳入突发事件应急管理体系，制定相应的应急处置工作机制。</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w:t>
      </w:r>
      <w:r>
        <w:rPr>
          <w:rFonts w:hint="eastAsia" w:ascii="黑体" w:hAnsi="黑体" w:eastAsia="黑体" w:cs="黑体"/>
          <w:lang w:val="en-US" w:eastAsia="zh-CN"/>
        </w:rPr>
        <w:t>七</w:t>
      </w:r>
      <w:r>
        <w:rPr>
          <w:rFonts w:hint="eastAsia" w:ascii="黑体" w:hAnsi="黑体" w:eastAsia="黑体" w:cs="黑体"/>
        </w:rPr>
        <w:t>条【支撑保障】</w:t>
      </w:r>
      <w:r>
        <w:rPr>
          <w:rFonts w:hint="eastAsia"/>
          <w:lang w:val="en-US" w:eastAsia="zh-CN"/>
        </w:rPr>
        <w:t xml:space="preserve">  </w:t>
      </w:r>
      <w:r>
        <w:rPr>
          <w:rFonts w:hint="eastAsia"/>
        </w:rPr>
        <w:t>市通信管理等部门应当推动通信网络对低空空域的覆盖。</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市气象部门应当提供本地气象数据支持，提高低空气象保障能力。</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p>
    <w:p>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黑体" w:hAnsi="黑体" w:eastAsia="黑体" w:cs="黑体"/>
        </w:rPr>
      </w:pPr>
      <w:r>
        <w:rPr>
          <w:rFonts w:hint="eastAsia" w:ascii="黑体" w:hAnsi="黑体" w:eastAsia="黑体" w:cs="黑体"/>
        </w:rPr>
        <w:t>第三章</w:t>
      </w:r>
      <w:r>
        <w:rPr>
          <w:rFonts w:hint="eastAsia" w:ascii="黑体" w:hAnsi="黑体" w:eastAsia="黑体" w:cs="黑体"/>
          <w:lang w:val="en-US" w:eastAsia="zh-CN"/>
        </w:rPr>
        <w:t xml:space="preserve">  </w:t>
      </w:r>
      <w:r>
        <w:rPr>
          <w:rFonts w:hint="eastAsia" w:ascii="黑体" w:hAnsi="黑体" w:eastAsia="黑体" w:cs="黑体"/>
        </w:rPr>
        <w:t>运营管理</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w:t>
      </w:r>
      <w:r>
        <w:rPr>
          <w:rFonts w:hint="eastAsia" w:ascii="黑体" w:hAnsi="黑体" w:eastAsia="黑体" w:cs="黑体"/>
          <w:lang w:val="en-US" w:eastAsia="zh-CN"/>
        </w:rPr>
        <w:t>八</w:t>
      </w:r>
      <w:r>
        <w:rPr>
          <w:rFonts w:hint="eastAsia" w:ascii="黑体" w:hAnsi="黑体" w:eastAsia="黑体" w:cs="黑体"/>
        </w:rPr>
        <w:t>条【航空器条件】</w:t>
      </w:r>
      <w:r>
        <w:rPr>
          <w:rFonts w:hint="eastAsia"/>
          <w:lang w:val="en-US" w:eastAsia="zh-CN"/>
        </w:rPr>
        <w:t xml:space="preserve">  </w:t>
      </w:r>
      <w:r>
        <w:rPr>
          <w:rFonts w:hint="eastAsia"/>
        </w:rPr>
        <w:t>在本市从事低空飞行活动的航空器应当具备符合要求的通信、导航、监视等能力。</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从事低空飞行活动的无人驾驶航空器应当具备空域保持、探测与避让等能力。</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w:t>
      </w:r>
      <w:r>
        <w:rPr>
          <w:rFonts w:hint="eastAsia" w:ascii="黑体" w:hAnsi="黑体" w:eastAsia="黑体" w:cs="黑体"/>
          <w:lang w:val="en-US" w:eastAsia="zh-CN"/>
        </w:rPr>
        <w:t>九</w:t>
      </w:r>
      <w:r>
        <w:rPr>
          <w:rFonts w:hint="eastAsia" w:ascii="黑体" w:hAnsi="黑体" w:eastAsia="黑体" w:cs="黑体"/>
        </w:rPr>
        <w:t>条【实名登记】</w:t>
      </w:r>
      <w:r>
        <w:rPr>
          <w:rFonts w:hint="eastAsia"/>
          <w:lang w:val="en-US" w:eastAsia="zh-CN"/>
        </w:rPr>
        <w:t xml:space="preserve">  </w:t>
      </w:r>
      <w:r>
        <w:rPr>
          <w:rFonts w:hint="eastAsia"/>
        </w:rPr>
        <w:t>在本市从事低空飞行活动的航空器应当按照国家规定完成注册或实名登记，并于市级低空飞行管理平台录入相关信息。</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第十条【责任保险】</w:t>
      </w:r>
      <w:r>
        <w:rPr>
          <w:rFonts w:hint="eastAsia"/>
          <w:lang w:val="en-US" w:eastAsia="zh-CN"/>
        </w:rPr>
        <w:t xml:space="preserve">  </w:t>
      </w:r>
      <w:r>
        <w:rPr>
          <w:rFonts w:hint="eastAsia"/>
        </w:rPr>
        <w:t>在本市从事低空飞行活动的航空器应当依法投保责任保险。</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第十</w:t>
      </w:r>
      <w:r>
        <w:rPr>
          <w:rFonts w:hint="eastAsia" w:ascii="黑体" w:hAnsi="黑体" w:eastAsia="黑体" w:cs="黑体"/>
          <w:lang w:val="en-US" w:eastAsia="zh-CN"/>
        </w:rPr>
        <w:t>一</w:t>
      </w:r>
      <w:r>
        <w:rPr>
          <w:rFonts w:hint="eastAsia" w:ascii="黑体" w:hAnsi="黑体" w:eastAsia="黑体" w:cs="黑体"/>
        </w:rPr>
        <w:t>条【航空器改装】</w:t>
      </w:r>
      <w:r>
        <w:rPr>
          <w:rFonts w:hint="eastAsia"/>
          <w:lang w:val="en-US" w:eastAsia="zh-CN"/>
        </w:rPr>
        <w:t xml:space="preserve">  </w:t>
      </w:r>
      <w:r>
        <w:rPr>
          <w:rFonts w:hint="eastAsia"/>
        </w:rPr>
        <w:t>任何单位和个人不得违反法律法规规定，私自对低空航空器进行重大设计更改并拟将其用于飞行活动。</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第十</w:t>
      </w:r>
      <w:r>
        <w:rPr>
          <w:rFonts w:hint="eastAsia" w:ascii="黑体" w:hAnsi="黑体" w:eastAsia="黑体" w:cs="黑体"/>
          <w:lang w:val="en-US" w:eastAsia="zh-CN"/>
        </w:rPr>
        <w:t>二</w:t>
      </w:r>
      <w:r>
        <w:rPr>
          <w:rFonts w:hint="eastAsia" w:ascii="黑体" w:hAnsi="黑体" w:eastAsia="黑体" w:cs="黑体"/>
        </w:rPr>
        <w:t>条【执照管理】</w:t>
      </w:r>
      <w:r>
        <w:rPr>
          <w:rFonts w:hint="eastAsia"/>
          <w:lang w:val="en-US" w:eastAsia="zh-CN"/>
        </w:rPr>
        <w:t xml:space="preserve">  </w:t>
      </w:r>
      <w:r>
        <w:rPr>
          <w:rFonts w:hint="eastAsia"/>
        </w:rPr>
        <w:t>操控有人驾驶航空器的飞行员应当取得相应航空器的飞行执照；操控小型、中型、大型无人驾驶航空器飞行的人员应当取得相应无人驾驶航空器操控员执照。</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第十</w:t>
      </w:r>
      <w:r>
        <w:rPr>
          <w:rFonts w:hint="eastAsia" w:ascii="黑体" w:hAnsi="黑体" w:eastAsia="黑体" w:cs="黑体"/>
          <w:lang w:val="en-US" w:eastAsia="zh-CN"/>
        </w:rPr>
        <w:t>三</w:t>
      </w:r>
      <w:r>
        <w:rPr>
          <w:rFonts w:hint="eastAsia" w:ascii="黑体" w:hAnsi="黑体" w:eastAsia="黑体" w:cs="黑体"/>
        </w:rPr>
        <w:t>条【运营许可】</w:t>
      </w:r>
      <w:r>
        <w:rPr>
          <w:rFonts w:hint="eastAsia"/>
          <w:lang w:val="en-US" w:eastAsia="zh-CN"/>
        </w:rPr>
        <w:t xml:space="preserve">  </w:t>
      </w:r>
      <w:r>
        <w:rPr>
          <w:rFonts w:hint="eastAsia"/>
        </w:rPr>
        <w:t>从事经营性飞行活动的单位或个人应当依法取得相应的经营许可或运营资质。</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p>
    <w:p>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黑体" w:hAnsi="黑体" w:eastAsia="黑体" w:cs="黑体"/>
        </w:rPr>
      </w:pPr>
      <w:r>
        <w:rPr>
          <w:rFonts w:hint="eastAsia" w:ascii="黑体" w:hAnsi="黑体" w:eastAsia="黑体" w:cs="黑体"/>
        </w:rPr>
        <w:t>第四章</w:t>
      </w:r>
      <w:r>
        <w:rPr>
          <w:rFonts w:hint="eastAsia" w:ascii="黑体" w:hAnsi="黑体" w:eastAsia="黑体" w:cs="黑体"/>
          <w:lang w:val="en-US" w:eastAsia="zh-CN"/>
        </w:rPr>
        <w:t xml:space="preserve">  </w:t>
      </w:r>
      <w:r>
        <w:rPr>
          <w:rFonts w:hint="eastAsia" w:ascii="黑体" w:hAnsi="黑体" w:eastAsia="黑体" w:cs="黑体"/>
        </w:rPr>
        <w:t>空域管理</w:t>
      </w:r>
    </w:p>
    <w:p>
      <w:pPr>
        <w:keepNext w:val="0"/>
        <w:keepLines w:val="0"/>
        <w:pageBreakBefore w:val="0"/>
        <w:widowControl w:val="0"/>
        <w:kinsoku/>
        <w:wordWrap/>
        <w:overflowPunct/>
        <w:topLinePunct w:val="0"/>
        <w:autoSpaceDE/>
        <w:autoSpaceDN/>
        <w:bidi w:val="0"/>
        <w:adjustRightInd w:val="0"/>
        <w:snapToGrid w:val="0"/>
        <w:ind w:left="0" w:leftChars="0" w:firstLine="0" w:firstLineChars="0"/>
        <w:jc w:val="both"/>
        <w:textAlignment w:val="auto"/>
        <w:rPr>
          <w:rFonts w:hint="eastAsia" w:ascii="黑体" w:hAnsi="黑体" w:eastAsia="黑体" w:cs="黑体"/>
        </w:rPr>
      </w:pP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第十</w:t>
      </w:r>
      <w:r>
        <w:rPr>
          <w:rFonts w:hint="eastAsia" w:ascii="黑体" w:hAnsi="黑体" w:eastAsia="黑体" w:cs="黑体"/>
          <w:lang w:val="en-US" w:eastAsia="zh-CN"/>
        </w:rPr>
        <w:t>四</w:t>
      </w:r>
      <w:r>
        <w:rPr>
          <w:rFonts w:hint="eastAsia" w:ascii="黑体" w:hAnsi="黑体" w:eastAsia="黑体" w:cs="黑体"/>
        </w:rPr>
        <w:t>条【管制空域】</w:t>
      </w:r>
      <w:r>
        <w:rPr>
          <w:rFonts w:hint="eastAsia"/>
          <w:lang w:val="en-US" w:eastAsia="zh-CN"/>
        </w:rPr>
        <w:t xml:space="preserve">  </w:t>
      </w:r>
      <w:r>
        <w:rPr>
          <w:rFonts w:hint="eastAsia"/>
        </w:rPr>
        <w:t>本市真高120米以上空域，空中禁区、空中限制区以及周边空域，军用航空超低空飞行空域，以及下列区域上方的空域划设为无人驾驶航空器的管制空域：</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（一）机场、起降点以及周边一定范围的区域；</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（二）军事禁区、军事管理区、监管场所、重要保密单位等单位以及周边一定范围的区域；</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（三）重要军工设施保护区域、核设施控制区域、易燃易爆等危险品的生产和仓储区域，以及可燃重要物资的大型仓储区域；</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（四）发电厂、变电站、加油（气）站、供水厂、公共交通枢纽、航电枢纽、重大水利设施、港口、高速公路、铁路电气化线路等公共基础设施以及周边一定范围的区域；</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（五）鸟类生态保护区、鸟类栖息地及迁徙路径经由地、饮用水水源地保护区等生态环境保护区域以及周边一定范围的区域；</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（六）航空无线电导航台、雷达站、电视塔等需要电磁环境特殊保护的设施以及周边一定范围的区域；</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（七）重要革命纪念地、重要不可移动文物以及周边一定范围的区域；</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（八）国家空中交通管理领导机构和地区空中交通管理机构规定的其他区域。</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上述规定的管制空域范围以外的空域为本市微型、轻型、小型无人驾驶航空器的适飞空域，由市人民政府通过市级低空飞行管理平台发布航空情报。</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第十</w:t>
      </w:r>
      <w:r>
        <w:rPr>
          <w:rFonts w:hint="eastAsia" w:ascii="黑体" w:hAnsi="黑体" w:eastAsia="黑体" w:cs="黑体"/>
          <w:lang w:val="en-US" w:eastAsia="zh-CN"/>
        </w:rPr>
        <w:t>五</w:t>
      </w:r>
      <w:r>
        <w:rPr>
          <w:rFonts w:hint="eastAsia" w:ascii="黑体" w:hAnsi="黑体" w:eastAsia="黑体" w:cs="黑体"/>
        </w:rPr>
        <w:t>条【临时空域】</w:t>
      </w:r>
      <w:r>
        <w:rPr>
          <w:rFonts w:hint="eastAsia"/>
          <w:lang w:val="en-US" w:eastAsia="zh-CN"/>
        </w:rPr>
        <w:t xml:space="preserve">  </w:t>
      </w:r>
      <w:r>
        <w:rPr>
          <w:rFonts w:hint="eastAsia"/>
        </w:rPr>
        <w:t>本市有重要外事活动、大型文体活动等需求，需要划设临时空域的，空域用户应当提出申请，由市级低空飞行管理平台进行统一预受理，报空中交通管理机构审批，并向空域用户反馈审批结果。</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第十</w:t>
      </w:r>
      <w:r>
        <w:rPr>
          <w:rFonts w:hint="eastAsia" w:ascii="黑体" w:hAnsi="黑体" w:eastAsia="黑体" w:cs="黑体"/>
          <w:lang w:val="en-US" w:eastAsia="zh-CN"/>
        </w:rPr>
        <w:t>六</w:t>
      </w:r>
      <w:r>
        <w:rPr>
          <w:rFonts w:hint="eastAsia" w:ascii="黑体" w:hAnsi="黑体" w:eastAsia="黑体" w:cs="黑体"/>
        </w:rPr>
        <w:t>条【起降点空域】</w:t>
      </w:r>
      <w:r>
        <w:rPr>
          <w:rFonts w:hint="eastAsia"/>
          <w:lang w:val="en-US" w:eastAsia="zh-CN"/>
        </w:rPr>
        <w:t xml:space="preserve">  </w:t>
      </w:r>
      <w:r>
        <w:rPr>
          <w:rFonts w:hint="eastAsia"/>
        </w:rPr>
        <w:t>本市无人驾驶航空器起降点空域由空域用户提出申请，市级低空飞行管理平台进行预受理、汇总、发布。</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微型、轻型无人驾驶航空器起降点无需划设起降点空域。</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第十</w:t>
      </w:r>
      <w:r>
        <w:rPr>
          <w:rFonts w:hint="eastAsia" w:ascii="黑体" w:hAnsi="黑体" w:eastAsia="黑体" w:cs="黑体"/>
          <w:lang w:val="en-US" w:eastAsia="zh-CN"/>
        </w:rPr>
        <w:t>七</w:t>
      </w:r>
      <w:r>
        <w:rPr>
          <w:rFonts w:hint="eastAsia" w:ascii="黑体" w:hAnsi="黑体" w:eastAsia="黑体" w:cs="黑体"/>
        </w:rPr>
        <w:t>条【航路航线】</w:t>
      </w:r>
      <w:r>
        <w:rPr>
          <w:rFonts w:hint="eastAsia"/>
          <w:lang w:val="en-US" w:eastAsia="zh-CN"/>
        </w:rPr>
        <w:t xml:space="preserve">  </w:t>
      </w:r>
      <w:r>
        <w:rPr>
          <w:rFonts w:hint="eastAsia"/>
        </w:rPr>
        <w:t>本市低空航路航线及备降点由有关部门统一规划、划设，并由市级低空飞行管理平台发布。</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空域用户有专用航路航线使用需求的，应当提出申请，由市级低空飞行管理平台进行统一预受理，报空中交通管理机构审批，并向空域用户反馈审批结果。</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无人驾驶航空器低空航路的水平宽度不低于50米，中心线两侧各不低于25米。</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w:t>
      </w:r>
      <w:r>
        <w:rPr>
          <w:rFonts w:hint="eastAsia" w:ascii="黑体" w:hAnsi="黑体" w:eastAsia="黑体" w:cs="黑体"/>
          <w:lang w:val="en-US" w:eastAsia="zh-CN"/>
        </w:rPr>
        <w:t>十八</w:t>
      </w:r>
      <w:r>
        <w:rPr>
          <w:rFonts w:hint="eastAsia" w:ascii="黑体" w:hAnsi="黑体" w:eastAsia="黑体" w:cs="黑体"/>
        </w:rPr>
        <w:t>条【分层管理】</w:t>
      </w:r>
      <w:r>
        <w:rPr>
          <w:rFonts w:hint="eastAsia"/>
          <w:lang w:val="en-US" w:eastAsia="zh-CN"/>
        </w:rPr>
        <w:t xml:space="preserve">  </w:t>
      </w:r>
      <w:r>
        <w:rPr>
          <w:rFonts w:hint="eastAsia"/>
        </w:rPr>
        <w:t>本市低空空域实行分层管理。具体如下：</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（一）真高120米（含）以下空域主要应用于物流配送等场景；</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（二）真高120米到300米（含）空域主要应用于大型货物运输等场景；</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（三）真高300米到600米（含）空域主要应用于载人低空文旅观光飞行、航空运动等场景；</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（四）真高600米到1000米（含）空域主要应用于载人低空运输飞行等场景；</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（五）城市管理等其他场景可根据需求灵活实施分层管理。</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w:t>
      </w:r>
      <w:r>
        <w:rPr>
          <w:rFonts w:hint="eastAsia" w:ascii="黑体" w:hAnsi="黑体" w:eastAsia="黑体" w:cs="黑体"/>
          <w:lang w:val="en-US" w:eastAsia="zh-CN"/>
        </w:rPr>
        <w:t>十九</w:t>
      </w:r>
      <w:r>
        <w:rPr>
          <w:rFonts w:hint="eastAsia" w:ascii="黑体" w:hAnsi="黑体" w:eastAsia="黑体" w:cs="黑体"/>
        </w:rPr>
        <w:t>条【分时管理】</w:t>
      </w:r>
      <w:r>
        <w:rPr>
          <w:rFonts w:hint="eastAsia"/>
          <w:lang w:val="en-US" w:eastAsia="zh-CN"/>
        </w:rPr>
        <w:t xml:space="preserve">  </w:t>
      </w:r>
      <w:r>
        <w:rPr>
          <w:rFonts w:hint="eastAsia"/>
        </w:rPr>
        <w:t>本市依据空域使用情况，可以对低空空域实施分时开放、关闭等管理措施，并通过市级低空飞行管理平台实时发布空域状态信息。</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w:t>
      </w:r>
      <w:r>
        <w:rPr>
          <w:rFonts w:hint="eastAsia" w:ascii="黑体" w:hAnsi="黑体" w:eastAsia="黑体" w:cs="黑体"/>
          <w:lang w:val="en-US" w:eastAsia="zh-CN"/>
        </w:rPr>
        <w:t>二十</w:t>
      </w:r>
      <w:r>
        <w:rPr>
          <w:rFonts w:hint="eastAsia" w:ascii="黑体" w:hAnsi="黑体" w:eastAsia="黑体" w:cs="黑体"/>
        </w:rPr>
        <w:t>条【动态配置】</w:t>
      </w:r>
      <w:r>
        <w:rPr>
          <w:rFonts w:hint="eastAsia"/>
          <w:lang w:val="en-US" w:eastAsia="zh-CN"/>
        </w:rPr>
        <w:t xml:space="preserve">  </w:t>
      </w:r>
      <w:r>
        <w:rPr>
          <w:rFonts w:hint="eastAsia"/>
        </w:rPr>
        <w:t>本市建立空域灵活使用机制，通过调整一定时期内部分空域属性，满足空域使用需求。</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市级低空飞行管理平台向空域用户实时发布空域供给计划，并根据天气状况、空域用户任务变更等因素，实施临机调配，发布空域动态调整通告。</w:t>
      </w:r>
    </w:p>
    <w:p>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黑体" w:hAnsi="黑体" w:eastAsia="黑体" w:cs="黑体"/>
        </w:rPr>
      </w:pPr>
    </w:p>
    <w:p>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黑体" w:hAnsi="黑体" w:eastAsia="黑体" w:cs="黑体"/>
        </w:rPr>
      </w:pPr>
      <w:r>
        <w:rPr>
          <w:rFonts w:hint="eastAsia" w:ascii="黑体" w:hAnsi="黑体" w:eastAsia="黑体" w:cs="黑体"/>
        </w:rPr>
        <w:t xml:space="preserve">第五章 </w:t>
      </w:r>
      <w:r>
        <w:rPr>
          <w:rFonts w:hint="eastAsia" w:ascii="黑体" w:hAnsi="黑体" w:eastAsia="黑体" w:cs="黑体"/>
          <w:lang w:val="en-US" w:eastAsia="zh-CN"/>
        </w:rPr>
        <w:t xml:space="preserve"> </w:t>
      </w:r>
      <w:r>
        <w:rPr>
          <w:rFonts w:hint="eastAsia" w:ascii="黑体" w:hAnsi="黑体" w:eastAsia="黑体" w:cs="黑体"/>
        </w:rPr>
        <w:t>飞行活动管理</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第二十一条【一般飞行申请】</w:t>
      </w:r>
      <w:r>
        <w:rPr>
          <w:rFonts w:hint="eastAsia"/>
          <w:lang w:val="en-US" w:eastAsia="zh-CN"/>
        </w:rPr>
        <w:t xml:space="preserve">  </w:t>
      </w:r>
      <w:r>
        <w:rPr>
          <w:rFonts w:hint="eastAsia"/>
        </w:rPr>
        <w:t>组织有人驾驶航空器实施飞行活动的，应当向市级低空飞行管理平台提出飞行活动申请：</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（一）飞行计划申请应当在拟飞行前1日15时前向市级低空飞行管理平台提出申请；市级低空飞行管理平台在拟飞行前1日21时前向申请人反馈空中交通管理机构批准或者不予批准的决定；</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二）执行紧急救护、抢险救灾、人工影响天气或者其他紧急任务的，可向市级低空飞行管理平台提出临时飞行计划申请。临时飞行计划申请最迟应当在拟飞行1小时前提出。市级低空飞行管理平台在拟起飞时刻15分钟前向申请人反馈空中交通管理机构批准或者不予批准的决定。</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组织无人驾驶航空器实施飞行活动的，应当向市级低空飞行管理平台提出飞行活动申请：</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（一）组织无人驾驶航空器飞行活动的单位或者个人应当在拟飞行前1日12时前向市级低空飞行管理平台提出申请；市级低空飞行管理平台不晚于飞行前1日21时将空中交通管理机构的审批结果告知申请人；</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（二）在固定空域内实施常态飞行活动的，可以提出长期飞行活动申请，经市级低空飞行管理平台批准后实施，并应当在拟飞行前1日12时前将飞行计划报市级低空飞行管理平台备案；</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三）使用无人驾驶航空器执行反恐维稳、抢险救灾、医疗救护等紧急任务的，应当在计划起飞30分钟前向市级低空飞行管理平台提出飞行活动申请，市级低空飞行管理平台不晚于飞行前10分钟将空中交通管理机构的审批结果告知申请人。执行特别紧急任务的，使用单位可以随时提出飞行活动申请；</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（四）飞行活动已获得批准的单位或者个人组织无人驾驶航空器飞行活动的，在计划起飞1小时前向市级低空飞行管理平台提交预计起飞时刻和准备情况，经确认后方可起飞。</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第二十二条【特殊飞行申请】</w:t>
      </w:r>
      <w:r>
        <w:rPr>
          <w:rFonts w:hint="eastAsia"/>
          <w:lang w:val="en-US" w:eastAsia="zh-CN"/>
        </w:rPr>
        <w:t xml:space="preserve">  </w:t>
      </w:r>
      <w:r>
        <w:rPr>
          <w:rFonts w:hint="eastAsia"/>
        </w:rPr>
        <w:t>转场飞行的，应当在拟飞行前2日向市级低空飞行管理平台提交飞行计划申请；市级低空飞行管理平台在拟飞行前1天18时前向申请人反馈空中交通管理机构批准或者不予批准的决定。</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从事有人驾驶航空器飞行活动的单位、个人有下列情形之一的，应当在提出飞行计划申请时，提交有效的任务批准文件：</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（一）在本市进行航空物探、测绘、摄影活动的；</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（二）外国航空器或者外国人使用我国航空器在本市进行通用航空飞行活动的。</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第二十三条【飞行申请豁免】</w:t>
      </w:r>
      <w:r>
        <w:rPr>
          <w:rFonts w:hint="eastAsia"/>
          <w:lang w:val="en-US" w:eastAsia="zh-CN"/>
        </w:rPr>
        <w:t xml:space="preserve">  </w:t>
      </w:r>
      <w:r>
        <w:rPr>
          <w:rFonts w:hint="eastAsia"/>
        </w:rPr>
        <w:t>组织无人驾驶航空器实施下列飞行活动，无需向市级低空飞行管理平台提出飞行活动申请：</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（一）微型、轻型、小型无人驾驶航空器在适飞空域内的飞行活动；</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（二）常规农用无人驾驶航空器作业飞行活动；</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三）警察、海关、应急部门辖有的无人驾驶航空器，在其驻地、地面（水面）训练场、靶场、海关监管区等上方不超过真高120米的空域内的飞行活动；但是，应当在计划起飞1小时前经市级低空飞行管理平台确认后方可起飞。</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前款规定的飞行活动存在下列情形之一的，应当依照本规则第二十二条的规定提出飞行活动申请：</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（一）通过通信基站或者互联网进行无人驾驶航空器中继飞行；</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（二）运载危险品或者投放物品（常规农用无人驾驶航空器作业飞行活动除外）；</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（三）飞越集会人群上空；</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（四）在移动的交通工具上操控无人驾驶航空器；</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（五）实施分布式操作或者集群飞行。</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微型、轻型无人驾驶航空器在适飞空域内飞行的，无需取得特殊通用航空飞行任务批准文件。</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w:t>
      </w:r>
      <w:r>
        <w:rPr>
          <w:rFonts w:hint="eastAsia" w:ascii="黑体" w:hAnsi="黑体" w:eastAsia="黑体" w:cs="黑体"/>
          <w:lang w:val="en-US" w:eastAsia="zh-CN"/>
        </w:rPr>
        <w:t>二十四</w:t>
      </w:r>
      <w:r>
        <w:rPr>
          <w:rFonts w:hint="eastAsia" w:ascii="黑体" w:hAnsi="黑体" w:eastAsia="黑体" w:cs="黑体"/>
        </w:rPr>
        <w:t>条【信息交互】</w:t>
      </w:r>
      <w:r>
        <w:rPr>
          <w:rFonts w:hint="eastAsia"/>
          <w:lang w:val="en-US" w:eastAsia="zh-CN"/>
        </w:rPr>
        <w:t xml:space="preserve">  </w:t>
      </w:r>
      <w:r>
        <w:rPr>
          <w:rFonts w:hint="eastAsia"/>
        </w:rPr>
        <w:t>实施飞行活动前，市级低空飞行管理平台向空域用户提供电子围栏、航路航线等航空情报资料。</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实施飞行活动时，空域用户应当按照有关规定向市级低空飞行管理平台实时报送识别信息、位置坐标、高度、速度、航向等飞行态势信息，并及时响应应急信息。</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实施飞行活动后，空域用户应按照有关规定向市级低空飞行管理平台报送降落信息。</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第二十五条【飞行间隔】</w:t>
      </w:r>
      <w:r>
        <w:rPr>
          <w:rFonts w:hint="eastAsia"/>
          <w:lang w:val="en-US" w:eastAsia="zh-CN"/>
        </w:rPr>
        <w:t xml:space="preserve">  </w:t>
      </w:r>
      <w:r>
        <w:rPr>
          <w:rFonts w:hint="eastAsia"/>
        </w:rPr>
        <w:t>在同一机场起降的有人驾驶航空器和可用于载人的中型、大型无人驾驶航空器，起降阶段与其他航空器起飞时间间隔不低于5分钟；巡航阶段与其他航空器飞行水平间隔不低于150米，垂直间隔不低于100米。</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各类型无人驾驶航空器用于实施载货飞行活动，应遵循以下间隔要求：</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（一）微型、轻型、小型无人驾驶航空器起降阶段与其他航空器飞行时间间隔不低于2分钟；巡航阶段与其他航空器飞行水平间隔不低于50米，垂直间隔不低于30米；</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（二）中型、大型无人驾驶航空器起降阶段与其他航空器飞行时间间隔不低于3分钟；巡航阶段与其他航空器飞行水平间隔不低于80米，垂直间隔不低于60米。</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第二十</w:t>
      </w:r>
      <w:r>
        <w:rPr>
          <w:rFonts w:hint="eastAsia" w:ascii="黑体" w:hAnsi="黑体" w:eastAsia="黑体" w:cs="黑体"/>
          <w:lang w:val="en-US" w:eastAsia="zh-CN"/>
        </w:rPr>
        <w:t>六</w:t>
      </w:r>
      <w:r>
        <w:rPr>
          <w:rFonts w:hint="eastAsia" w:ascii="黑体" w:hAnsi="黑体" w:eastAsia="黑体" w:cs="黑体"/>
        </w:rPr>
        <w:t>条【航行优先权】</w:t>
      </w:r>
      <w:r>
        <w:rPr>
          <w:rFonts w:hint="eastAsia"/>
          <w:lang w:val="en-US" w:eastAsia="zh-CN"/>
        </w:rPr>
        <w:t xml:space="preserve">  </w:t>
      </w:r>
      <w:r>
        <w:rPr>
          <w:rFonts w:hint="eastAsia"/>
        </w:rPr>
        <w:t>在本市实施低空飞行活动，应当遵守下列航行优先规则：</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（一）警察、海关、应急等部门使用的航空器拥有航行优先权；</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（二）有人驾驶航空器航行优先权高于无人驾驶航空器；</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（三）载人无人驾驶航空器航行优先权高于载货无人驾驶航空器。</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法律法规对于低空航行优先权另有规定的，从其规定。</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第二十</w:t>
      </w:r>
      <w:r>
        <w:rPr>
          <w:rFonts w:hint="eastAsia" w:ascii="黑体" w:hAnsi="黑体" w:eastAsia="黑体" w:cs="黑体"/>
          <w:lang w:val="en-US" w:eastAsia="zh-CN"/>
        </w:rPr>
        <w:t>七</w:t>
      </w:r>
      <w:r>
        <w:rPr>
          <w:rFonts w:hint="eastAsia" w:ascii="黑体" w:hAnsi="黑体" w:eastAsia="黑体" w:cs="黑体"/>
        </w:rPr>
        <w:t>条【避让规则】</w:t>
      </w:r>
      <w:r>
        <w:rPr>
          <w:rFonts w:hint="eastAsia"/>
          <w:lang w:val="en-US" w:eastAsia="zh-CN"/>
        </w:rPr>
        <w:t xml:space="preserve">  </w:t>
      </w:r>
      <w:r>
        <w:rPr>
          <w:rFonts w:hint="eastAsia"/>
        </w:rPr>
        <w:t>有人驾驶航空器飞行过程中应当遵循以下避让规则：</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（一）在同一高度上对头相遇，应当各自向右避让，并保持500米以上的间隔；</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（二）在同一高度上交叉相遇，飞行员从座舱左侧看到另一架航空器时应当下降高度，从座舱右侧看到另一架航空器时应当上升高度；</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（三）在同一高度上超越前航空器，应当从前航空器右侧超越，并保持500米以上的间隔；</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（四）单机应当主动避让编队或者拖曳飞机，有动力装置的航空器应当主动避让无动力装置的航空器，战斗机应当主动避让运输机。</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无人驾驶航空器飞行过程中应当遵循以下避让规则：</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（一）无人驾驶航空器避让有人驾驶航空器、无动力装置的航空器以及地面、水上交通工具；</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（二）单架无人驾驶航空器飞行避让集群无人驾驶航空器飞行；</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（三）微型无人驾驶航空器避让其他类型无人驾驶航空器；</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（四）国家空中交通管理领导机构规定的其他避让规则。</w:t>
      </w:r>
    </w:p>
    <w:p>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黑体" w:hAnsi="黑体" w:eastAsia="黑体" w:cs="黑体"/>
        </w:rPr>
      </w:pPr>
    </w:p>
    <w:p>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黑体" w:hAnsi="黑体" w:eastAsia="黑体" w:cs="黑体"/>
        </w:rPr>
      </w:pPr>
      <w:r>
        <w:rPr>
          <w:rFonts w:hint="eastAsia" w:ascii="黑体" w:hAnsi="黑体" w:eastAsia="黑体" w:cs="黑体"/>
        </w:rPr>
        <w:t>第六章</w:t>
      </w:r>
      <w:r>
        <w:rPr>
          <w:rFonts w:hint="eastAsia" w:ascii="黑体" w:hAnsi="黑体" w:eastAsia="黑体" w:cs="黑体"/>
          <w:lang w:val="en-US" w:eastAsia="zh-CN"/>
        </w:rPr>
        <w:t xml:space="preserve">  </w:t>
      </w:r>
      <w:r>
        <w:rPr>
          <w:rFonts w:hint="eastAsia" w:ascii="黑体" w:hAnsi="黑体" w:eastAsia="黑体" w:cs="黑体"/>
        </w:rPr>
        <w:t>飞行保障</w:t>
      </w:r>
    </w:p>
    <w:p>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黑体" w:hAnsi="黑体" w:eastAsia="黑体" w:cs="黑体"/>
        </w:rPr>
      </w:pP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第二十</w:t>
      </w:r>
      <w:r>
        <w:rPr>
          <w:rFonts w:hint="eastAsia" w:ascii="黑体" w:hAnsi="黑体" w:eastAsia="黑体" w:cs="黑体"/>
          <w:lang w:val="en-US" w:eastAsia="zh-CN"/>
        </w:rPr>
        <w:t>八</w:t>
      </w:r>
      <w:r>
        <w:rPr>
          <w:rFonts w:hint="eastAsia" w:ascii="黑体" w:hAnsi="黑体" w:eastAsia="黑体" w:cs="黑体"/>
        </w:rPr>
        <w:t>条【保障设施】</w:t>
      </w:r>
      <w:r>
        <w:rPr>
          <w:rFonts w:hint="eastAsia"/>
          <w:lang w:val="en-US" w:eastAsia="zh-CN"/>
        </w:rPr>
        <w:t xml:space="preserve">  </w:t>
      </w:r>
      <w:r>
        <w:rPr>
          <w:rFonts w:hint="eastAsia"/>
        </w:rPr>
        <w:t>各种飞行保障设施应当处于良好状态，主要设备应当配有备份，保证其可靠性和稳定性。</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任何单位或个人使用的无线电台和其他仪器、装置，不得妨碍低空无线电专用频率的正常使用。低空飞行保障设施的增设、撤除或者变更等信息，应当及时报送市级低空飞行管理平台。</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第二十</w:t>
      </w:r>
      <w:r>
        <w:rPr>
          <w:rFonts w:hint="eastAsia" w:ascii="黑体" w:hAnsi="黑体" w:eastAsia="黑体" w:cs="黑体"/>
          <w:lang w:val="en-US" w:eastAsia="zh-CN"/>
        </w:rPr>
        <w:t>九</w:t>
      </w:r>
      <w:r>
        <w:rPr>
          <w:rFonts w:hint="eastAsia" w:ascii="黑体" w:hAnsi="黑体" w:eastAsia="黑体" w:cs="黑体"/>
        </w:rPr>
        <w:t>条【通信保障】</w:t>
      </w:r>
      <w:r>
        <w:rPr>
          <w:rFonts w:hint="eastAsia"/>
          <w:lang w:val="en-US" w:eastAsia="zh-CN"/>
        </w:rPr>
        <w:t xml:space="preserve">  </w:t>
      </w:r>
      <w:r>
        <w:rPr>
          <w:rFonts w:hint="eastAsia"/>
        </w:rPr>
        <w:t>本市从事低空飞行活动航空器的通信能力，应当符合民用航空相关标准，能够保持地空通信联络畅通。</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鼓励采用5G地空话音通信、北斗短报文通信等前沿技术，增强低空航空器的通信保障能力。</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w:t>
      </w:r>
      <w:r>
        <w:rPr>
          <w:rFonts w:hint="eastAsia" w:ascii="黑体" w:hAnsi="黑体" w:eastAsia="黑体" w:cs="黑体"/>
          <w:lang w:val="en-US" w:eastAsia="zh-CN"/>
        </w:rPr>
        <w:t>三十</w:t>
      </w:r>
      <w:r>
        <w:rPr>
          <w:rFonts w:hint="eastAsia" w:ascii="黑体" w:hAnsi="黑体" w:eastAsia="黑体" w:cs="黑体"/>
        </w:rPr>
        <w:t>条【导航保障】</w:t>
      </w:r>
      <w:r>
        <w:rPr>
          <w:rFonts w:hint="eastAsia"/>
          <w:lang w:val="en-US" w:eastAsia="zh-CN"/>
        </w:rPr>
        <w:t xml:space="preserve">  </w:t>
      </w:r>
      <w:r>
        <w:rPr>
          <w:rFonts w:hint="eastAsia"/>
        </w:rPr>
        <w:t>低空航空器应具备以下导航能力：</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（一）空域保持能力；</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（二）按照计划航路、航线或轨迹飞行的能力；</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（三）按照空中交通管制要求飞行的能力；</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（四）在指定地点安全降落的能力。</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鼓励根据不同飞行任务需求，采取先进技术，提供不同精度的定位增强能力。</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第三十</w:t>
      </w:r>
      <w:r>
        <w:rPr>
          <w:rFonts w:hint="eastAsia" w:ascii="黑体" w:hAnsi="黑体" w:eastAsia="黑体" w:cs="黑体"/>
          <w:lang w:val="en-US" w:eastAsia="zh-CN"/>
        </w:rPr>
        <w:t>一</w:t>
      </w:r>
      <w:r>
        <w:rPr>
          <w:rFonts w:hint="eastAsia" w:ascii="黑体" w:hAnsi="黑体" w:eastAsia="黑体" w:cs="黑体"/>
        </w:rPr>
        <w:t>条【监视保障】</w:t>
      </w:r>
      <w:r>
        <w:rPr>
          <w:rFonts w:hint="eastAsia"/>
          <w:lang w:val="en-US" w:eastAsia="zh-CN"/>
        </w:rPr>
        <w:t xml:space="preserve">  </w:t>
      </w:r>
      <w:r>
        <w:rPr>
          <w:rFonts w:hint="eastAsia"/>
        </w:rPr>
        <w:t>市级低空飞行管理平台应当具备以下低空合作和非合作目标的监视能力：</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（一）能够及时发现违规飞行情况并进行警示；</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（二）能够严密监视航空器是否按照预定的低空航路、航线、飞行空域和高度飞行；</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（三）能够及时发现航空器飞行异常，并进行提示预警。</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鼓励使用Remote ID、5G-A等先进技术，实现低空飞行目标的实时监视和有效识别。</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第三十</w:t>
      </w:r>
      <w:r>
        <w:rPr>
          <w:rFonts w:hint="eastAsia" w:ascii="黑体" w:hAnsi="黑体" w:eastAsia="黑体" w:cs="黑体"/>
          <w:lang w:val="en-US" w:eastAsia="zh-CN"/>
        </w:rPr>
        <w:t>二</w:t>
      </w:r>
      <w:r>
        <w:rPr>
          <w:rFonts w:hint="eastAsia" w:ascii="黑体" w:hAnsi="黑体" w:eastAsia="黑体" w:cs="黑体"/>
        </w:rPr>
        <w:t>条【气象保障】</w:t>
      </w:r>
      <w:r>
        <w:rPr>
          <w:rFonts w:hint="eastAsia"/>
          <w:lang w:val="en-US" w:eastAsia="zh-CN"/>
        </w:rPr>
        <w:t xml:space="preserve">  </w:t>
      </w:r>
      <w:r>
        <w:rPr>
          <w:rFonts w:hint="eastAsia"/>
        </w:rPr>
        <w:t>市级低空飞行管理平台应当为空域用户提供包括降水量、能见度、风切变、雷暴、积冰、云底高等天气预报和实况信息在内的低空气象服务，为低空飞行活动的计划制定、起飞、作业、降落全过程提供精准的气象保障。</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第三十</w:t>
      </w:r>
      <w:r>
        <w:rPr>
          <w:rFonts w:hint="eastAsia" w:ascii="黑体" w:hAnsi="黑体" w:eastAsia="黑体" w:cs="黑体"/>
          <w:lang w:val="en-US" w:eastAsia="zh-CN"/>
        </w:rPr>
        <w:t>三</w:t>
      </w:r>
      <w:r>
        <w:rPr>
          <w:rFonts w:hint="eastAsia" w:ascii="黑体" w:hAnsi="黑体" w:eastAsia="黑体" w:cs="黑体"/>
        </w:rPr>
        <w:t>条【航空情报】</w:t>
      </w:r>
      <w:r>
        <w:rPr>
          <w:rFonts w:hint="eastAsia"/>
          <w:lang w:val="en-US" w:eastAsia="zh-CN"/>
        </w:rPr>
        <w:t xml:space="preserve">  </w:t>
      </w:r>
      <w:r>
        <w:rPr>
          <w:rFonts w:hint="eastAsia"/>
        </w:rPr>
        <w:t>市级低空飞行管理平台应当按照低空飞行业务需求设计、制作和发布航空情报，为空域用户、空中交通管理机构等提供及时、准确、完整的航空情报服务。</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p>
    <w:p>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黑体" w:hAnsi="黑体" w:eastAsia="黑体" w:cs="黑体"/>
        </w:rPr>
      </w:pPr>
      <w:r>
        <w:rPr>
          <w:rFonts w:hint="eastAsia" w:ascii="黑体" w:hAnsi="黑体" w:eastAsia="黑体" w:cs="黑体"/>
        </w:rPr>
        <w:t>第七章</w:t>
      </w:r>
      <w:r>
        <w:rPr>
          <w:rFonts w:hint="eastAsia" w:ascii="黑体" w:hAnsi="黑体" w:eastAsia="黑体" w:cs="黑体"/>
          <w:lang w:val="en-US" w:eastAsia="zh-CN"/>
        </w:rPr>
        <w:t xml:space="preserve"> </w:t>
      </w:r>
      <w:r>
        <w:rPr>
          <w:rFonts w:hint="eastAsia" w:ascii="黑体" w:hAnsi="黑体" w:eastAsia="黑体" w:cs="黑体"/>
        </w:rPr>
        <w:t xml:space="preserve"> 应急管理</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第三十</w:t>
      </w:r>
      <w:r>
        <w:rPr>
          <w:rFonts w:hint="eastAsia" w:ascii="黑体" w:hAnsi="黑体" w:eastAsia="黑体" w:cs="黑体"/>
          <w:lang w:val="en-US" w:eastAsia="zh-CN"/>
        </w:rPr>
        <w:t>四</w:t>
      </w:r>
      <w:r>
        <w:rPr>
          <w:rFonts w:hint="eastAsia" w:ascii="黑体" w:hAnsi="黑体" w:eastAsia="黑体" w:cs="黑体"/>
        </w:rPr>
        <w:t>条【应急预案】</w:t>
      </w:r>
      <w:r>
        <w:rPr>
          <w:rFonts w:hint="eastAsia"/>
          <w:lang w:val="en-US" w:eastAsia="zh-CN"/>
        </w:rPr>
        <w:t xml:space="preserve">  </w:t>
      </w:r>
      <w:r>
        <w:rPr>
          <w:rFonts w:hint="eastAsia"/>
        </w:rPr>
        <w:t>使用低空航空器的单位或者个人应当按照有关规定，制定飞行紧急情况处置预案，落实风险防范措施，及时发现并消除安全隐患。</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使用低空航空器的单位或者个人在制定应急预案时应当考虑以下场景：</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（一）紧急飞行限制区：如气象条件恶化、飞行事故、其他空域用户活动等导致的飞行限制；</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（二）机体受损；</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（三）通讯导航问题；</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（四）其他需要应急处置的场景。</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第三十</w:t>
      </w:r>
      <w:r>
        <w:rPr>
          <w:rFonts w:hint="eastAsia" w:ascii="黑体" w:hAnsi="黑体" w:eastAsia="黑体" w:cs="黑体"/>
          <w:lang w:val="en-US" w:eastAsia="zh-CN"/>
        </w:rPr>
        <w:t>五</w:t>
      </w:r>
      <w:r>
        <w:rPr>
          <w:rFonts w:hint="eastAsia" w:ascii="黑体" w:hAnsi="黑体" w:eastAsia="黑体" w:cs="黑体"/>
        </w:rPr>
        <w:t>条【异常处置】</w:t>
      </w:r>
      <w:r>
        <w:rPr>
          <w:rFonts w:hint="eastAsia"/>
          <w:lang w:val="en-US" w:eastAsia="zh-CN"/>
        </w:rPr>
        <w:t xml:space="preserve">  </w:t>
      </w:r>
      <w:r>
        <w:rPr>
          <w:rFonts w:hint="eastAsia"/>
        </w:rPr>
        <w:t>低空航空器发生飞行异常和安全问题时，组织飞行活动的单位或者个人应当及时处置，涉及或影响公共安全的应立即上报公安机关，并及时向市级低空飞行管理平台报告有关情况。</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第三十</w:t>
      </w:r>
      <w:r>
        <w:rPr>
          <w:rFonts w:hint="eastAsia" w:ascii="黑体" w:hAnsi="黑体" w:eastAsia="黑体" w:cs="黑体"/>
          <w:lang w:val="en-US" w:eastAsia="zh-CN"/>
        </w:rPr>
        <w:t>六</w:t>
      </w:r>
      <w:r>
        <w:rPr>
          <w:rFonts w:hint="eastAsia" w:ascii="黑体" w:hAnsi="黑体" w:eastAsia="黑体" w:cs="黑体"/>
        </w:rPr>
        <w:t>条【反制处置】</w:t>
      </w:r>
      <w:r>
        <w:rPr>
          <w:rFonts w:hint="eastAsia"/>
          <w:lang w:val="en-US" w:eastAsia="zh-CN"/>
        </w:rPr>
        <w:t xml:space="preserve">  </w:t>
      </w:r>
      <w:r>
        <w:rPr>
          <w:rFonts w:hint="eastAsia"/>
        </w:rPr>
        <w:t>对于无人驾驶航空器违规飞行、扰乱公共秩序和危及公共安全等情形，公安机关可以依法组织实施相关反制措施。</w:t>
      </w:r>
    </w:p>
    <w:p>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黑体" w:hAnsi="黑体" w:eastAsia="黑体" w:cs="黑体"/>
        </w:rPr>
      </w:pPr>
    </w:p>
    <w:p>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黑体" w:hAnsi="黑体" w:eastAsia="黑体" w:cs="黑体"/>
        </w:rPr>
      </w:pPr>
      <w:r>
        <w:rPr>
          <w:rFonts w:hint="eastAsia" w:ascii="黑体" w:hAnsi="黑体" w:eastAsia="黑体" w:cs="黑体"/>
        </w:rPr>
        <w:t>第八章 附则</w:t>
      </w:r>
    </w:p>
    <w:p>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黑体" w:hAnsi="黑体" w:eastAsia="黑体" w:cs="黑体"/>
        </w:rPr>
      </w:pP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第三十</w:t>
      </w:r>
      <w:r>
        <w:rPr>
          <w:rFonts w:hint="eastAsia" w:ascii="黑体" w:hAnsi="黑体" w:eastAsia="黑体" w:cs="黑体"/>
          <w:lang w:val="en-US" w:eastAsia="zh-CN"/>
        </w:rPr>
        <w:t>七</w:t>
      </w:r>
      <w:r>
        <w:rPr>
          <w:rFonts w:hint="eastAsia" w:ascii="黑体" w:hAnsi="黑体" w:eastAsia="黑体" w:cs="黑体"/>
        </w:rPr>
        <w:t>条【特殊规定】</w:t>
      </w:r>
      <w:r>
        <w:rPr>
          <w:rFonts w:hint="eastAsia"/>
          <w:lang w:val="en-US" w:eastAsia="zh-CN"/>
        </w:rPr>
        <w:t xml:space="preserve">  </w:t>
      </w:r>
      <w:r>
        <w:rPr>
          <w:rFonts w:hint="eastAsia"/>
        </w:rPr>
        <w:t>对于浮空平台等可能影响低空空中交通安全的活动，应当按照市级低空飞行管理平台发布的相关公告实施。</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第三十</w:t>
      </w:r>
      <w:r>
        <w:rPr>
          <w:rFonts w:hint="eastAsia" w:ascii="黑体" w:hAnsi="黑体" w:eastAsia="黑体" w:cs="黑体"/>
          <w:lang w:val="en-US" w:eastAsia="zh-CN"/>
        </w:rPr>
        <w:t>八</w:t>
      </w:r>
      <w:r>
        <w:rPr>
          <w:rFonts w:hint="eastAsia" w:ascii="黑体" w:hAnsi="黑体" w:eastAsia="黑体" w:cs="黑体"/>
        </w:rPr>
        <w:t>条【其他规定】</w:t>
      </w:r>
      <w:r>
        <w:rPr>
          <w:rFonts w:hint="eastAsia"/>
          <w:lang w:val="en-US" w:eastAsia="zh-CN"/>
        </w:rPr>
        <w:t xml:space="preserve">  </w:t>
      </w:r>
      <w:r>
        <w:rPr>
          <w:rFonts w:hint="eastAsia"/>
        </w:rPr>
        <w:t>警察、海关、应急管理部门辖有的无人驾驶航空器的适航、登记、操控员等事项的管理，国务院另有规定的，从其规定。</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从事农林牧渔作业活动的农用无人驾驶航空器管理，国务院另有规定的，从其规定。</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rPr>
        <w:t>国家、省、市对低空空中交通活动和低空航空器管理另有规定的，从其规定。</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rPr>
          <w:rFonts w:hint="eastAsia"/>
        </w:rPr>
      </w:pPr>
      <w:r>
        <w:rPr>
          <w:rFonts w:hint="eastAsia" w:ascii="黑体" w:hAnsi="黑体" w:eastAsia="黑体" w:cs="黑体"/>
        </w:rPr>
        <w:t>第三十</w:t>
      </w:r>
      <w:r>
        <w:rPr>
          <w:rFonts w:hint="eastAsia" w:ascii="黑体" w:hAnsi="黑体" w:eastAsia="黑体" w:cs="黑体"/>
          <w:lang w:val="en-US" w:eastAsia="zh-CN"/>
        </w:rPr>
        <w:t>九</w:t>
      </w:r>
      <w:r>
        <w:rPr>
          <w:rFonts w:hint="eastAsia" w:ascii="黑体" w:hAnsi="黑体" w:eastAsia="黑体" w:cs="黑体"/>
        </w:rPr>
        <w:t>条【生效日期】</w:t>
      </w:r>
      <w:r>
        <w:rPr>
          <w:rFonts w:hint="eastAsia"/>
          <w:lang w:val="en-US" w:eastAsia="zh-CN"/>
        </w:rPr>
        <w:t xml:space="preserve">  </w:t>
      </w:r>
      <w:r>
        <w:rPr>
          <w:rFonts w:hint="eastAsia"/>
        </w:rPr>
        <w:t>本规则自2024年xx月xx日起生效。</w:t>
      </w:r>
    </w:p>
    <w:p>
      <w:pPr>
        <w:keepNext w:val="0"/>
        <w:keepLines w:val="0"/>
        <w:pageBreakBefore w:val="0"/>
        <w:widowControl w:val="0"/>
        <w:kinsoku/>
        <w:wordWrap/>
        <w:overflowPunct/>
        <w:topLinePunct w:val="0"/>
        <w:autoSpaceDE/>
        <w:autoSpaceDN/>
        <w:bidi w:val="0"/>
        <w:adjustRightInd w:val="0"/>
        <w:snapToGrid w:val="0"/>
        <w:ind w:firstLine="640" w:firstLineChars="200"/>
        <w:textAlignment w:val="auto"/>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adjustRightInd/>
      <w:spacing w:after="0" w:line="240" w:lineRule="auto"/>
      <w:ind w:firstLine="0" w:firstLineChars="0"/>
      <w:jc w:val="center"/>
      <w:rPr>
        <w:rFonts w:eastAsia="宋体" w:cs="Times New Roman"/>
      </w:rPr>
    </w:pPr>
  </w:p>
  <w:p>
    <w:pPr>
      <w:pStyle w:val="5"/>
      <w:adjustRightInd/>
      <w:spacing w:after="0" w:line="240" w:lineRule="auto"/>
      <w:ind w:firstLine="0" w:firstLineChars="0"/>
      <w:rPr>
        <w:rFonts w:eastAsia="宋体"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iZDIzMjBhYjY3YjcwYmIxYWI1NjM4YzVmYjEyMDMifQ=="/>
  </w:docVars>
  <w:rsids>
    <w:rsidRoot w:val="58B952E7"/>
    <w:rsid w:val="06805D36"/>
    <w:rsid w:val="159852FC"/>
    <w:rsid w:val="1BF842B6"/>
    <w:rsid w:val="1D7C5E09"/>
    <w:rsid w:val="20564E9E"/>
    <w:rsid w:val="3A0A0BCE"/>
    <w:rsid w:val="4C473BAE"/>
    <w:rsid w:val="4CCC4A44"/>
    <w:rsid w:val="586A083A"/>
    <w:rsid w:val="58B952E7"/>
    <w:rsid w:val="5C545A2F"/>
    <w:rsid w:val="6EAE6504"/>
    <w:rsid w:val="728124EA"/>
    <w:rsid w:val="75982A7C"/>
    <w:rsid w:val="7D106A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after="0" w:line="560" w:lineRule="exact"/>
      <w:ind w:firstLine="880" w:firstLineChars="200"/>
      <w:jc w:val="both"/>
    </w:pPr>
    <w:rPr>
      <w:rFonts w:ascii="Times New Roman" w:hAnsi="Times New Roman" w:eastAsia="仿宋_GB2312" w:cstheme="minorBidi"/>
      <w:color w:val="000000" w:themeColor="text1"/>
      <w:kern w:val="2"/>
      <w:sz w:val="32"/>
      <w:szCs w:val="32"/>
      <w:lang w:val="en-US" w:eastAsia="zh-CN" w:bidi="ar-SA"/>
      <w14:textFill>
        <w14:solidFill>
          <w14:schemeClr w14:val="tx1"/>
        </w14:solidFill>
      </w14:textFill>
    </w:rPr>
  </w:style>
  <w:style w:type="paragraph" w:styleId="2">
    <w:name w:val="heading 1"/>
    <w:next w:val="1"/>
    <w:qFormat/>
    <w:uiPriority w:val="0"/>
    <w:pPr>
      <w:keepNext/>
      <w:keepLines/>
      <w:adjustRightInd w:val="0"/>
      <w:snapToGrid w:val="0"/>
      <w:spacing w:beforeLines="0" w:beforeAutospacing="0" w:afterLines="0" w:afterAutospacing="0" w:line="560" w:lineRule="exact"/>
      <w:ind w:firstLine="640" w:firstLineChars="200"/>
      <w:jc w:val="both"/>
      <w:outlineLvl w:val="0"/>
    </w:pPr>
    <w:rPr>
      <w:rFonts w:ascii="Times New Roman" w:hAnsi="Times New Roman" w:eastAsia="黑体" w:cstheme="minorBidi"/>
      <w:color w:val="000000" w:themeColor="text1"/>
      <w:kern w:val="44"/>
      <w:sz w:val="32"/>
      <w:szCs w:val="32"/>
      <w14:textFill>
        <w14:solidFill>
          <w14:schemeClr w14:val="tx1"/>
        </w14:solidFill>
      </w14:textFill>
    </w:rPr>
  </w:style>
  <w:style w:type="paragraph" w:styleId="3">
    <w:name w:val="heading 2"/>
    <w:next w:val="1"/>
    <w:autoRedefine/>
    <w:semiHidden/>
    <w:unhideWhenUsed/>
    <w:qFormat/>
    <w:uiPriority w:val="0"/>
    <w:pPr>
      <w:keepNext/>
      <w:keepLines/>
      <w:adjustRightInd w:val="0"/>
      <w:snapToGrid w:val="0"/>
      <w:spacing w:beforeLines="0" w:beforeAutospacing="0" w:afterLines="0" w:afterAutospacing="0" w:line="560" w:lineRule="exact"/>
      <w:ind w:firstLine="640" w:firstLineChars="200"/>
      <w:jc w:val="both"/>
      <w:outlineLvl w:val="1"/>
    </w:pPr>
    <w:rPr>
      <w:rFonts w:ascii="Times New Roman" w:hAnsi="Times New Roman" w:eastAsia="楷体_GB2312" w:cstheme="minorBidi"/>
      <w:color w:val="000000" w:themeColor="text1"/>
      <w:sz w:val="32"/>
      <w:szCs w:val="32"/>
      <w14:textFill>
        <w14:solidFill>
          <w14:schemeClr w14:val="tx1"/>
        </w14:solidFill>
      </w14:textFill>
    </w:rPr>
  </w:style>
  <w:style w:type="paragraph" w:styleId="4">
    <w:name w:val="heading 3"/>
    <w:next w:val="1"/>
    <w:link w:val="8"/>
    <w:semiHidden/>
    <w:unhideWhenUsed/>
    <w:qFormat/>
    <w:uiPriority w:val="0"/>
    <w:pPr>
      <w:keepNext/>
      <w:keepLines/>
      <w:adjustRightInd w:val="0"/>
      <w:snapToGrid w:val="0"/>
      <w:spacing w:beforeLines="0" w:beforeAutospacing="0" w:afterLines="0" w:afterAutospacing="0" w:line="560" w:lineRule="exact"/>
      <w:ind w:firstLine="880" w:firstLineChars="200"/>
      <w:outlineLvl w:val="2"/>
    </w:pPr>
    <w:rPr>
      <w:rFonts w:ascii="Times New Roman" w:hAnsi="Times New Roman" w:eastAsia="仿宋_GB2312" w:cstheme="minorBidi"/>
      <w:b/>
      <w:color w:val="000000" w:themeColor="text1"/>
      <w:sz w:val="32"/>
      <w:szCs w:val="32"/>
      <w14:textFill>
        <w14:solidFill>
          <w14:schemeClr w14:val="tx1"/>
        </w14:solidFill>
      </w14:textFill>
    </w:rPr>
  </w:style>
  <w:style w:type="character" w:default="1" w:styleId="7">
    <w:name w:val="Default Paragraph Font"/>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5">
    <w:name w:val="footer"/>
    <w:unhideWhenUsed/>
    <w:qFormat/>
    <w:uiPriority w:val="99"/>
    <w:pPr>
      <w:widowControl w:val="0"/>
      <w:tabs>
        <w:tab w:val="center" w:pos="4153"/>
        <w:tab w:val="right" w:pos="8306"/>
      </w:tabs>
      <w:snapToGrid w:val="0"/>
      <w:jc w:val="left"/>
    </w:pPr>
    <w:rPr>
      <w:rFonts w:ascii="Times New Roman" w:hAnsi="Times New Roman" w:eastAsia="宋体" w:cs="Times New Roman"/>
      <w:kern w:val="0"/>
      <w:sz w:val="18"/>
      <w:szCs w:val="18"/>
      <w:lang w:val="en-US" w:eastAsia="zh-CN" w:bidi="ar-SA"/>
    </w:rPr>
  </w:style>
  <w:style w:type="character" w:customStyle="1" w:styleId="8">
    <w:name w:val="标题 3 Char"/>
    <w:link w:val="4"/>
    <w:qFormat/>
    <w:uiPriority w:val="0"/>
    <w:rPr>
      <w:rFonts w:ascii="Times New Roman" w:hAnsi="Times New Roman" w:eastAsia="仿宋_GB2312"/>
      <w:b/>
      <w:color w:val="000000" w:themeColor="text1"/>
      <w:sz w:val="32"/>
      <w:szCs w:val="32"/>
      <w14:textFill>
        <w14:solidFill>
          <w14:schemeClr w14:val="tx1"/>
        </w14:solidFill>
      </w14:textFill>
    </w:rPr>
  </w:style>
  <w:style w:type="paragraph" w:customStyle="1" w:styleId="9">
    <w:name w:val="大标题"/>
    <w:next w:val="1"/>
    <w:autoRedefine/>
    <w:qFormat/>
    <w:uiPriority w:val="0"/>
    <w:pPr>
      <w:keepNext/>
      <w:keepLines/>
      <w:adjustRightInd w:val="0"/>
      <w:snapToGrid w:val="0"/>
      <w:spacing w:beforeLines="0" w:afterLines="0" w:line="560" w:lineRule="exact"/>
      <w:ind w:firstLine="0" w:firstLineChars="0"/>
      <w:jc w:val="center"/>
      <w:outlineLvl w:val="9"/>
    </w:pPr>
    <w:rPr>
      <w:rFonts w:hint="eastAsia" w:ascii="Times New Roman" w:hAnsi="Times New Roman" w:eastAsia="方正小标宋简体" w:cstheme="minorBidi"/>
      <w:color w:val="000000" w:themeColor="text1"/>
      <w:kern w:val="44"/>
      <w:sz w:val="44"/>
      <w:szCs w:val="44"/>
      <w14:textFill>
        <w14:solidFill>
          <w14:schemeClr w14:val="tx1"/>
        </w14:solidFill>
      </w14:textFil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5678</Words>
  <Characters>5743</Characters>
  <Lines>0</Lines>
  <Paragraphs>0</Paragraphs>
  <TotalTime>13</TotalTime>
  <ScaleCrop>false</ScaleCrop>
  <LinksUpToDate>false</LinksUpToDate>
  <CharactersWithSpaces>5839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2024-06-06T11:30:00Z</dcterms:created>
  <dc:creator>YSL</dc:creator>
  <cp:lastModifiedBy>YSL</cp:lastModifiedBy>
  <dcterms:modified xsi:type="dcterms:W3CDTF">2024-06-07T06:17:03Z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4F52E925E2354750AF03CEED55857C0C_13</vt:lpwstr>
  </property>
</Properties>
</file>