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7356B">
      <w:pPr>
        <w:spacing w:line="580" w:lineRule="exact"/>
      </w:pPr>
    </w:p>
    <w:p w14:paraId="1939FD96">
      <w:pPr>
        <w:spacing w:line="580" w:lineRule="exact"/>
      </w:pPr>
    </w:p>
    <w:p w14:paraId="3023C8D3">
      <w:pPr>
        <w:spacing w:line="580" w:lineRule="exact"/>
      </w:pPr>
    </w:p>
    <w:p w14:paraId="0F4FD87C">
      <w:pPr>
        <w:spacing w:line="580" w:lineRule="exact"/>
        <w:rPr>
          <w:rFonts w:eastAsia="方正小标宋简体"/>
          <w:w w:val="70"/>
          <w:sz w:val="136"/>
          <w:szCs w:val="136"/>
        </w:rPr>
      </w:pPr>
      <w:r>
        <w:rPr>
          <w:rFonts w:hint="eastAsia" w:eastAsia="方正小标宋简体"/>
          <w:sz w:val="136"/>
          <w:szCs w:val="136"/>
        </w:rPr>
        <w:drawing>
          <wp:anchor distT="0" distB="0" distL="114300" distR="114300" simplePos="0" relativeHeight="251660288" behindDoc="1" locked="0" layoutInCell="1" allowOverlap="1">
            <wp:simplePos x="0" y="0"/>
            <wp:positionH relativeFrom="column">
              <wp:align>center</wp:align>
            </wp:positionH>
            <wp:positionV relativeFrom="paragraph">
              <wp:posOffset>188595</wp:posOffset>
            </wp:positionV>
            <wp:extent cx="5633720" cy="1060450"/>
            <wp:effectExtent l="0" t="0" r="5080" b="6350"/>
            <wp:wrapNone/>
            <wp:docPr id="49" name="图片 49"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苏州市人民政府文件"/>
                    <pic:cNvPicPr>
                      <a:picLocks noChangeAspect="1" noChangeArrowheads="1"/>
                    </pic:cNvPicPr>
                  </pic:nvPicPr>
                  <pic:blipFill>
                    <a:blip r:embed="rId7" cstate="print">
                      <a:extLst>
                        <a:ext uri="{28A0092B-C50C-407E-A947-70E740481C1C}">
                          <a14:useLocalDpi xmlns:a14="http://schemas.microsoft.com/office/drawing/2010/main" val="0"/>
                        </a:ext>
                      </a:extLst>
                    </a:blip>
                    <a:srcRect b="50809"/>
                    <a:stretch>
                      <a:fillRect/>
                    </a:stretch>
                  </pic:blipFill>
                  <pic:spPr>
                    <a:xfrm>
                      <a:off x="0" y="0"/>
                      <a:ext cx="5633720" cy="1060450"/>
                    </a:xfrm>
                    <a:prstGeom prst="rect">
                      <a:avLst/>
                    </a:prstGeom>
                    <a:noFill/>
                    <a:ln w="9525">
                      <a:noFill/>
                      <a:miter lim="800000"/>
                      <a:headEnd/>
                      <a:tailEnd/>
                    </a:ln>
                  </pic:spPr>
                </pic:pic>
              </a:graphicData>
            </a:graphic>
          </wp:anchor>
        </w:drawing>
      </w:r>
    </w:p>
    <w:p w14:paraId="51BB3072">
      <w:pPr>
        <w:spacing w:line="580" w:lineRule="exact"/>
      </w:pPr>
    </w:p>
    <w:p w14:paraId="0DDF5A4B">
      <w:pPr>
        <w:spacing w:line="580" w:lineRule="exact"/>
      </w:pPr>
    </w:p>
    <w:p w14:paraId="4C602248">
      <w:pPr>
        <w:spacing w:line="800" w:lineRule="exact"/>
      </w:pPr>
    </w:p>
    <w:p w14:paraId="523C48DD">
      <w:pPr>
        <w:spacing w:line="580" w:lineRule="exact"/>
        <w:jc w:val="center"/>
      </w:pPr>
      <w:r>
        <w:rPr>
          <w:rFonts w:hint="eastAsia"/>
        </w:rPr>
        <w:t>苏府规字</w:t>
      </w:r>
      <w:r>
        <w:rPr>
          <w:rFonts w:hint="eastAsia" w:ascii="仿宋_GB2312"/>
        </w:rPr>
        <w:t>〔2022〕4号</w:t>
      </w:r>
    </w:p>
    <w:p w14:paraId="43C86871">
      <w:pPr>
        <w:spacing w:line="360" w:lineRule="exact"/>
      </w:pPr>
      <w:r>
        <w:rPr>
          <w:rFonts w:hint="eastAsia"/>
        </w:rPr>
        <w:drawing>
          <wp:anchor distT="0" distB="0" distL="114300" distR="114300" simplePos="0" relativeHeight="251659264" behindDoc="1" locked="0" layoutInCell="1" allowOverlap="1">
            <wp:simplePos x="0" y="0"/>
            <wp:positionH relativeFrom="column">
              <wp:align>center</wp:align>
            </wp:positionH>
            <wp:positionV relativeFrom="paragraph">
              <wp:posOffset>55245</wp:posOffset>
            </wp:positionV>
            <wp:extent cx="5652135" cy="167005"/>
            <wp:effectExtent l="0" t="0" r="5715" b="4445"/>
            <wp:wrapNone/>
            <wp:docPr id="42" name="图片 42" descr="苏州市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苏州市人民政府文件"/>
                    <pic:cNvPicPr>
                      <a:picLocks noChangeAspect="1" noChangeArrowheads="1"/>
                    </pic:cNvPicPr>
                  </pic:nvPicPr>
                  <pic:blipFill>
                    <a:blip r:embed="rId7" cstate="print">
                      <a:extLst>
                        <a:ext uri="{28A0092B-C50C-407E-A947-70E740481C1C}">
                          <a14:useLocalDpi xmlns:a14="http://schemas.microsoft.com/office/drawing/2010/main" val="0"/>
                        </a:ext>
                      </a:extLst>
                    </a:blip>
                    <a:srcRect t="92290"/>
                    <a:stretch>
                      <a:fillRect/>
                    </a:stretch>
                  </pic:blipFill>
                  <pic:spPr>
                    <a:xfrm>
                      <a:off x="0" y="0"/>
                      <a:ext cx="5652135" cy="167005"/>
                    </a:xfrm>
                    <a:prstGeom prst="rect">
                      <a:avLst/>
                    </a:prstGeom>
                    <a:noFill/>
                    <a:ln w="9525">
                      <a:noFill/>
                      <a:miter lim="800000"/>
                      <a:headEnd/>
                      <a:tailEnd/>
                    </a:ln>
                  </pic:spPr>
                </pic:pic>
              </a:graphicData>
            </a:graphic>
          </wp:anchor>
        </w:drawing>
      </w:r>
    </w:p>
    <w:p w14:paraId="1878AE85">
      <w:pPr>
        <w:spacing w:line="542" w:lineRule="exact"/>
      </w:pPr>
    </w:p>
    <w:p w14:paraId="361B948C">
      <w:pPr>
        <w:spacing w:line="542" w:lineRule="exact"/>
      </w:pPr>
    </w:p>
    <w:p w14:paraId="187CF2EA">
      <w:pPr>
        <w:spacing w:line="542" w:lineRule="exact"/>
        <w:jc w:val="center"/>
        <w:rPr>
          <w:rFonts w:hint="eastAsia" w:ascii="方正小标宋_GBK" w:eastAsia="方正小标宋_GBK" w:hAnsiTheme="majorEastAsia" w:cstheme="majorEastAsia"/>
          <w:bCs/>
          <w:sz w:val="44"/>
          <w:szCs w:val="44"/>
        </w:rPr>
      </w:pPr>
      <w:r>
        <w:rPr>
          <w:rFonts w:hint="eastAsia" w:ascii="方正小标宋_GBK" w:eastAsia="方正小标宋_GBK" w:hAnsiTheme="majorEastAsia" w:cstheme="majorEastAsia"/>
          <w:bCs/>
          <w:sz w:val="44"/>
          <w:szCs w:val="44"/>
        </w:rPr>
        <w:t>市政府关于印发苏州市被征地农民</w:t>
      </w:r>
    </w:p>
    <w:p w14:paraId="2BFDB450">
      <w:pPr>
        <w:spacing w:line="542" w:lineRule="exact"/>
        <w:jc w:val="center"/>
        <w:rPr>
          <w:rFonts w:hint="eastAsia" w:ascii="方正小标宋_GBK" w:eastAsia="方正小标宋_GBK" w:hAnsiTheme="majorEastAsia" w:cstheme="majorEastAsia"/>
          <w:bCs/>
          <w:sz w:val="44"/>
          <w:szCs w:val="44"/>
        </w:rPr>
      </w:pPr>
      <w:r>
        <w:rPr>
          <w:rFonts w:hint="eastAsia" w:ascii="方正小标宋_GBK" w:eastAsia="方正小标宋_GBK" w:hAnsiTheme="majorEastAsia" w:cstheme="majorEastAsia"/>
          <w:bCs/>
          <w:sz w:val="44"/>
          <w:szCs w:val="44"/>
        </w:rPr>
        <w:t>社会保障资金个人分账户余额处理办法的通知</w:t>
      </w:r>
    </w:p>
    <w:p w14:paraId="35199E72">
      <w:pPr>
        <w:spacing w:line="542" w:lineRule="exact"/>
        <w:jc w:val="center"/>
        <w:rPr>
          <w:rFonts w:hint="eastAsia" w:ascii="方正小标宋_GBK" w:hAnsi="楷体_GB2312" w:eastAsia="方正小标宋_GBK" w:cs="楷体_GB2312"/>
        </w:rPr>
      </w:pPr>
    </w:p>
    <w:p w14:paraId="0655F0B6">
      <w:pPr>
        <w:spacing w:line="542" w:lineRule="exact"/>
        <w:rPr>
          <w:rFonts w:ascii="仿宋_GB2312" w:hAnsi="仿宋_GB2312" w:cs="仿宋_GB2312"/>
        </w:rPr>
      </w:pPr>
      <w:r>
        <w:rPr>
          <w:rFonts w:hint="eastAsia" w:ascii="仿宋_GB2312" w:hAnsi="仿宋_GB2312" w:cs="仿宋_GB2312"/>
        </w:rPr>
        <w:t>各县级市（区）人民政府，苏州工业园区、苏州高新区、太仓港口管委会；市各委办局，各直属单位：</w:t>
      </w:r>
      <w:bookmarkStart w:id="0" w:name="_GoBack"/>
      <w:bookmarkEnd w:id="0"/>
    </w:p>
    <w:p w14:paraId="7C74EAA8">
      <w:pPr>
        <w:spacing w:line="542" w:lineRule="exact"/>
        <w:ind w:firstLine="640"/>
        <w:rPr>
          <w:rFonts w:ascii="仿宋_GB2312" w:hAnsi="仿宋_GB2312" w:cs="仿宋_GB2312"/>
        </w:rPr>
      </w:pPr>
      <w:r>
        <w:rPr>
          <w:rFonts w:hint="eastAsia" w:ascii="仿宋_GB2312" w:hAnsi="仿宋_GB2312" w:cs="仿宋_GB2312"/>
        </w:rPr>
        <w:t>《苏州市被征地农民社会保障资金个人分账户余额处理办法》已经市政府第11次常务会议审议通过，现予印发，请认真贯彻执行。</w:t>
      </w:r>
    </w:p>
    <w:p w14:paraId="50A45B7F">
      <w:pPr>
        <w:spacing w:line="542" w:lineRule="exact"/>
      </w:pPr>
    </w:p>
    <w:p w14:paraId="362FF3FB">
      <w:pPr>
        <w:spacing w:line="542" w:lineRule="exact"/>
        <w:ind w:firstLine="5278" w:firstLineChars="1670"/>
        <w:rPr>
          <w:rFonts w:ascii="仿宋_GB2312"/>
        </w:rPr>
      </w:pPr>
      <w:r>
        <w:rPr>
          <w:rFonts w:hint="eastAsia" w:ascii="仿宋_GB2312"/>
        </w:rPr>
        <w:t>苏州市人民政府</w:t>
      </w:r>
    </w:p>
    <w:p w14:paraId="14DB8E89">
      <w:pPr>
        <w:spacing w:line="542" w:lineRule="exact"/>
        <w:ind w:right="1264" w:rightChars="400"/>
        <w:jc w:val="right"/>
        <w:rPr>
          <w:rFonts w:ascii="仿宋_GB2312"/>
        </w:rPr>
      </w:pPr>
      <w:r>
        <w:rPr>
          <w:rFonts w:hint="eastAsia" w:ascii="仿宋_GB2312"/>
        </w:rPr>
        <w:t>2022年8月1日</w:t>
      </w:r>
    </w:p>
    <w:p w14:paraId="7C835B4E">
      <w:pPr>
        <w:spacing w:line="542" w:lineRule="exact"/>
        <w:ind w:firstLine="632" w:firstLineChars="200"/>
      </w:pPr>
      <w:r>
        <w:rPr>
          <w:rFonts w:hint="eastAsia"/>
        </w:rPr>
        <w:t>（此件公开发布）</w:t>
      </w:r>
    </w:p>
    <w:p w14:paraId="3DCB2912">
      <w:pPr>
        <w:spacing w:line="582" w:lineRule="exact"/>
        <w:jc w:val="center"/>
        <w:rPr>
          <w:rFonts w:hint="eastAsia" w:ascii="方正小标宋_GBK" w:eastAsia="方正小标宋_GBK" w:hAnsiTheme="majorEastAsia" w:cstheme="majorEastAsia"/>
          <w:bCs/>
          <w:sz w:val="44"/>
          <w:szCs w:val="44"/>
        </w:rPr>
      </w:pPr>
      <w:r>
        <w:rPr>
          <w:rFonts w:hint="eastAsia" w:ascii="方正小标宋_GBK" w:eastAsia="方正小标宋_GBK" w:hAnsiTheme="majorEastAsia" w:cstheme="majorEastAsia"/>
          <w:bCs/>
          <w:sz w:val="44"/>
          <w:szCs w:val="44"/>
        </w:rPr>
        <w:t>苏州市被征地农民社会保障资金</w:t>
      </w:r>
    </w:p>
    <w:p w14:paraId="3C73EB18">
      <w:pPr>
        <w:spacing w:line="582" w:lineRule="exact"/>
        <w:jc w:val="center"/>
        <w:rPr>
          <w:rFonts w:hint="eastAsia" w:ascii="方正小标宋_GBK" w:eastAsia="方正小标宋_GBK" w:hAnsiTheme="majorEastAsia" w:cstheme="majorEastAsia"/>
          <w:bCs/>
          <w:sz w:val="44"/>
          <w:szCs w:val="44"/>
        </w:rPr>
      </w:pPr>
      <w:r>
        <w:rPr>
          <w:rFonts w:hint="eastAsia" w:ascii="方正小标宋_GBK" w:eastAsia="方正小标宋_GBK" w:hAnsiTheme="majorEastAsia" w:cstheme="majorEastAsia"/>
          <w:bCs/>
          <w:sz w:val="44"/>
          <w:szCs w:val="44"/>
        </w:rPr>
        <w:t>个人分账户余额处理办法</w:t>
      </w:r>
    </w:p>
    <w:p w14:paraId="0EEE1ABE">
      <w:pPr>
        <w:ind w:firstLine="632" w:firstLineChars="200"/>
      </w:pPr>
    </w:p>
    <w:p w14:paraId="6FA8B022">
      <w:pPr>
        <w:ind w:firstLine="632" w:firstLineChars="200"/>
        <w:rPr>
          <w:rFonts w:hint="eastAsia" w:ascii="仿宋_GB2312"/>
        </w:rPr>
      </w:pPr>
      <w:r>
        <w:rPr>
          <w:rFonts w:hint="eastAsia" w:ascii="黑体" w:hAnsi="黑体" w:eastAsia="黑体"/>
        </w:rPr>
        <w:t xml:space="preserve">第一条  </w:t>
      </w:r>
      <w:r>
        <w:rPr>
          <w:rFonts w:hint="eastAsia" w:ascii="仿宋_GB2312"/>
        </w:rPr>
        <w:t>为了规范被征地农民社会保障工作，维护被征地农民合法权益，提高被征地农民社会保障水平，根据《中华人民共和国土地管理法》《中华人民共和国土地管理法实施条例》《江苏省土地管理条例》《江苏省被征地农民社会保障办法》（苏政发〔2021〕87号)（以下简称《省办法》）及有关规定，结合我市实际，制定本办法。</w:t>
      </w:r>
    </w:p>
    <w:p w14:paraId="05B6B67E">
      <w:pPr>
        <w:ind w:firstLine="632" w:firstLineChars="200"/>
        <w:rPr>
          <w:rFonts w:hint="eastAsia" w:ascii="仿宋_GB2312"/>
        </w:rPr>
      </w:pPr>
      <w:r>
        <w:rPr>
          <w:rFonts w:hint="eastAsia" w:ascii="黑体" w:hAnsi="黑体" w:eastAsia="黑体"/>
        </w:rPr>
        <w:t xml:space="preserve">第二条 </w:t>
      </w:r>
      <w:r>
        <w:rPr>
          <w:rFonts w:hint="eastAsia" w:ascii="仿宋_GB2312"/>
        </w:rPr>
        <w:t xml:space="preserve"> 本办法适用对象为苏州市行政区域范围内，按照《省办法》第二条规定的作为社会保障对象的被征地农民（以下简称保障对象）。</w:t>
      </w:r>
    </w:p>
    <w:p w14:paraId="3009B3FB">
      <w:pPr>
        <w:ind w:firstLine="632" w:firstLineChars="200"/>
        <w:rPr>
          <w:rFonts w:hint="eastAsia" w:ascii="仿宋_GB2312"/>
        </w:rPr>
      </w:pPr>
      <w:r>
        <w:rPr>
          <w:rFonts w:hint="eastAsia" w:ascii="仿宋_GB2312"/>
        </w:rPr>
        <w:t>本办法所称被征地农民社会保障资金,是指依据《省办法》相关规定筹集并一次性划入社会保障资金专户的社会保障费用。社会保障费用筹集标准经市政府同意后由市人力资源社会保障、自然资源和规划、财政部门公布实施。</w:t>
      </w:r>
    </w:p>
    <w:p w14:paraId="73FF088B">
      <w:pPr>
        <w:ind w:firstLine="632" w:firstLineChars="200"/>
        <w:rPr>
          <w:rFonts w:hint="eastAsia" w:ascii="仿宋_GB2312"/>
        </w:rPr>
      </w:pPr>
      <w:r>
        <w:rPr>
          <w:rFonts w:hint="eastAsia" w:ascii="仿宋_GB2312"/>
        </w:rPr>
        <w:t>被征地农民社会保障资金实行财政专户管理，并建立个人分账户。</w:t>
      </w:r>
    </w:p>
    <w:p w14:paraId="32D0D3EC">
      <w:pPr>
        <w:ind w:firstLine="632" w:firstLineChars="200"/>
        <w:rPr>
          <w:rFonts w:hint="eastAsia" w:ascii="仿宋_GB2312"/>
        </w:rPr>
      </w:pPr>
      <w:r>
        <w:rPr>
          <w:rFonts w:hint="eastAsia" w:ascii="仿宋_GB2312"/>
        </w:rPr>
        <w:t>本办法所称个人分账户余额，是指保障对象达到基本养老保险待遇领取条件时，其个人分账户资金依据《省办法》第二十一条、第二十二条规定按年度退返或者逐期代缴个人缴费后剩余的金额（含利息），或者征地时已经领取基本养老保险待遇和征地时超过法定退休年龄或者待遇领取年龄未享受养老保险待遇保障对象的个人分账户资金。</w:t>
      </w:r>
    </w:p>
    <w:p w14:paraId="73B3A60C">
      <w:pPr>
        <w:ind w:firstLine="632" w:firstLineChars="200"/>
        <w:rPr>
          <w:rFonts w:hint="eastAsia" w:ascii="仿宋_GB2312"/>
        </w:rPr>
      </w:pPr>
      <w:r>
        <w:rPr>
          <w:rFonts w:hint="eastAsia" w:ascii="黑体" w:hAnsi="黑体" w:eastAsia="黑体"/>
        </w:rPr>
        <w:t xml:space="preserve">第三条 </w:t>
      </w:r>
      <w:r>
        <w:rPr>
          <w:rFonts w:hint="eastAsia" w:ascii="仿宋_GB2312"/>
        </w:rPr>
        <w:t xml:space="preserve"> 各地应当做好政策宣传工作，引导被征地农民通过安置补助费全额抵缴方式增加社会保障费用，提高社会保障水平。</w:t>
      </w:r>
    </w:p>
    <w:p w14:paraId="4E29917B">
      <w:pPr>
        <w:ind w:firstLine="632" w:firstLineChars="200"/>
        <w:rPr>
          <w:rFonts w:hint="eastAsia" w:ascii="仿宋_GB2312"/>
        </w:rPr>
      </w:pPr>
      <w:r>
        <w:rPr>
          <w:rFonts w:hint="eastAsia" w:ascii="黑体" w:hAnsi="黑体" w:eastAsia="黑体"/>
        </w:rPr>
        <w:t xml:space="preserve">第四条 </w:t>
      </w:r>
      <w:r>
        <w:rPr>
          <w:rFonts w:hint="eastAsia" w:ascii="仿宋_GB2312"/>
        </w:rPr>
        <w:t xml:space="preserve"> 征地时已按月领取职工基本养老保险待遇的保障对象，社会保险经办机构应当将其个人分账户余额一次性支付给本人。</w:t>
      </w:r>
    </w:p>
    <w:p w14:paraId="69A8C015">
      <w:pPr>
        <w:ind w:firstLine="632" w:firstLineChars="200"/>
        <w:rPr>
          <w:rFonts w:hint="eastAsia" w:ascii="仿宋_GB2312"/>
        </w:rPr>
      </w:pPr>
      <w:r>
        <w:rPr>
          <w:rFonts w:hint="eastAsia" w:ascii="仿宋_GB2312"/>
        </w:rPr>
        <w:t>征地后达到按月领取职工基本养老保险待遇条件的保障对象，其个人分账户资金仍有余额的，社会保险经办机构应当将个人分账户余额一次性支付给本人。</w:t>
      </w:r>
    </w:p>
    <w:p w14:paraId="309C1659">
      <w:pPr>
        <w:ind w:firstLine="632" w:firstLineChars="200"/>
        <w:rPr>
          <w:rFonts w:hint="eastAsia" w:ascii="仿宋_GB2312"/>
        </w:rPr>
      </w:pPr>
      <w:r>
        <w:rPr>
          <w:rFonts w:hint="eastAsia" w:ascii="黑体" w:hAnsi="黑体" w:eastAsia="黑体"/>
        </w:rPr>
        <w:t xml:space="preserve">第五条 </w:t>
      </w:r>
      <w:r>
        <w:rPr>
          <w:rFonts w:hint="eastAsia" w:ascii="仿宋_GB2312"/>
        </w:rPr>
        <w:t xml:space="preserve"> 达到城乡居民基本养老保险（以下简称城乡居保）待遇领取条件时保障对象个人分账户仍有余额的，按照以下方式处理：</w:t>
      </w:r>
    </w:p>
    <w:p w14:paraId="6AC7459F">
      <w:pPr>
        <w:ind w:firstLine="632" w:firstLineChars="200"/>
        <w:rPr>
          <w:rFonts w:hint="eastAsia" w:ascii="仿宋_GB2312"/>
        </w:rPr>
      </w:pPr>
      <w:r>
        <w:rPr>
          <w:rFonts w:hint="eastAsia" w:ascii="仿宋_GB2312"/>
        </w:rPr>
        <w:t>（一）征地时已领取城乡居保待遇的保障对象，确认安置补助费全额抵缴社会保障费用的，社会保险经办机构按照上年度全省企业职工基本养老保险缴费工资基数下限乘以8%再乘以不低于240个月的标准一次性记入城乡居保个人账户，按规定重新核定城乡居保个人账户养老金，从征收土地申请依法批准的次月起计发。市辖区一次性记入城乡居保个人账户的月数，经市政府同意后由市人力资源社会保障部门、财政部门公布实施；各县级市一次性记入城乡居保个人账户月数，经当地政府确定后报市政府备案。</w:t>
      </w:r>
    </w:p>
    <w:p w14:paraId="26384335">
      <w:pPr>
        <w:ind w:firstLine="632" w:firstLineChars="200"/>
        <w:rPr>
          <w:rFonts w:hint="eastAsia" w:ascii="仿宋_GB2312"/>
        </w:rPr>
      </w:pPr>
      <w:r>
        <w:rPr>
          <w:rFonts w:hint="eastAsia" w:ascii="仿宋_GB2312"/>
        </w:rPr>
        <w:t>（二）保障对象征地时确认安置补助费全额抵缴社会保障费用且征地后达到城乡居保待遇领取条件时其个人分账户仍有余额的，在办理待遇领取手续时按照保障对象达到待遇领取条件时上年度全省企业职工基本养老保险缴费工资基数下限乘以8%再乘以不低于240个月再减去城乡居保逐期代缴或职工基本养老保险个人缴费退返总金额的差额一次性记入城乡居保个人账户，按规定核定城乡居保个人账户养老金并进行城乡居保待遇发放。个人分账户余额达不到上述一次性记入标准的，将其个人分账户余额全部纳入城乡居保个人账户。各县级市、区按照本条第（一）项确定的月数，依据本项规定执行。</w:t>
      </w:r>
    </w:p>
    <w:p w14:paraId="675006A5">
      <w:pPr>
        <w:ind w:firstLine="632" w:firstLineChars="200"/>
        <w:rPr>
          <w:rFonts w:hint="eastAsia" w:ascii="仿宋_GB2312"/>
        </w:rPr>
      </w:pPr>
      <w:r>
        <w:rPr>
          <w:rFonts w:hint="eastAsia" w:ascii="仿宋_GB2312"/>
        </w:rPr>
        <w:t>（三）保障对象征地时确认安置补助费不抵缴社会保障费用的，一次性记入城乡居保个人账户的金额在本条前两项记入标准的基础上再减去已领取的安置补助费。</w:t>
      </w:r>
    </w:p>
    <w:p w14:paraId="03BA5507">
      <w:pPr>
        <w:ind w:firstLine="632" w:firstLineChars="200"/>
        <w:rPr>
          <w:rFonts w:hint="eastAsia" w:ascii="仿宋_GB2312"/>
        </w:rPr>
      </w:pPr>
      <w:r>
        <w:rPr>
          <w:rFonts w:hint="eastAsia" w:ascii="黑体" w:hAnsi="黑体" w:eastAsia="黑体"/>
        </w:rPr>
        <w:t xml:space="preserve">第六条 </w:t>
      </w:r>
      <w:r>
        <w:rPr>
          <w:rFonts w:hint="eastAsia" w:ascii="仿宋_GB2312"/>
        </w:rPr>
        <w:t xml:space="preserve"> 保障对象个人分账户余额按本办法第五条规定记入城乡居保个人账户后仍有余额的，其余额平均分十年划入城乡居保个人账户，并按照每年划入个人账户的金额除以139增发个人账户养老金，增发金额按月支付终身。首次划转到账时间为保障对象符合待遇领取或者重新核定待遇当年度的12月份，之后历年划转到账时间均为当年度12月份，从次年1月起按月发放。</w:t>
      </w:r>
    </w:p>
    <w:p w14:paraId="3E8202AE">
      <w:pPr>
        <w:ind w:firstLine="632" w:firstLineChars="200"/>
        <w:rPr>
          <w:rFonts w:hint="eastAsia" w:ascii="仿宋_GB2312"/>
        </w:rPr>
      </w:pPr>
      <w:r>
        <w:rPr>
          <w:rFonts w:hint="eastAsia" w:ascii="仿宋_GB2312"/>
        </w:rPr>
        <w:t>个人分账户余额十年内产生的利息收入,在第十年划转完成后并入城乡居保个人账户。</w:t>
      </w:r>
    </w:p>
    <w:p w14:paraId="0724528C">
      <w:pPr>
        <w:ind w:firstLine="632" w:firstLineChars="200"/>
        <w:rPr>
          <w:rFonts w:hint="eastAsia" w:ascii="仿宋_GB2312"/>
        </w:rPr>
      </w:pPr>
      <w:r>
        <w:rPr>
          <w:rFonts w:hint="eastAsia" w:ascii="黑体" w:hAnsi="黑体" w:eastAsia="黑体"/>
        </w:rPr>
        <w:t xml:space="preserve">第七条  </w:t>
      </w:r>
      <w:r>
        <w:rPr>
          <w:rFonts w:hint="eastAsia" w:ascii="仿宋_GB2312"/>
        </w:rPr>
        <w:t>征地时已按《企业职工基本养老保险遗属待遇暂行办法》（人社部发〔2021〕18号）实施前规定领取定期遗属抚恤金的60周岁以上保障对象，可以选择停止领取定期遗属抚恤金并参加城乡居保，由社会保险经办机构按照本办法第五条、第六条规定对其个人分账户余额进行处理；也可以选择按规定继续享受定期遗属抚恤金，由社会保险经办机构将个人分账户余额一次性支付给本人。</w:t>
      </w:r>
    </w:p>
    <w:p w14:paraId="0B4F11FE">
      <w:pPr>
        <w:ind w:firstLine="632" w:firstLineChars="200"/>
        <w:rPr>
          <w:rFonts w:hint="eastAsia" w:ascii="仿宋_GB2312"/>
        </w:rPr>
      </w:pPr>
      <w:r>
        <w:rPr>
          <w:rFonts w:hint="eastAsia" w:ascii="仿宋_GB2312"/>
        </w:rPr>
        <w:t>征地时已按《企业职工基本养老保险遗属待遇暂行办法》（人社部发〔2021〕18号）实施前规定领取定期遗属抚恤金的60周岁以下完全丧失劳动能力的保障对象及55周岁至60周岁的女性保障对象，可以选择继续享受定期遗属抚恤金至60周岁时，由社会保险经办机构按本办法第五条、第六条规定对其个人分账户余额及利息进行处理并计发城乡居保待遇；也可以在征地时选择将个人分账户余额一次性领取，继续按规定享受定期遗属抚恤金。</w:t>
      </w:r>
    </w:p>
    <w:p w14:paraId="31360639">
      <w:pPr>
        <w:ind w:firstLine="632" w:firstLineChars="200"/>
        <w:rPr>
          <w:rFonts w:hint="eastAsia" w:ascii="仿宋_GB2312"/>
        </w:rPr>
      </w:pPr>
      <w:r>
        <w:rPr>
          <w:rFonts w:hint="eastAsia" w:ascii="黑体" w:hAnsi="黑体" w:eastAsia="黑体"/>
        </w:rPr>
        <w:t>第八条</w:t>
      </w:r>
      <w:r>
        <w:rPr>
          <w:rFonts w:hint="eastAsia" w:ascii="仿宋_GB2312"/>
        </w:rPr>
        <w:t xml:space="preserve">  保障对象征地时已达到基本养老保险待遇领取年龄，但未参加基本养老保险或未达到享受待遇的规定缴费年限，未享受基本养老保险待遇的（不包括在企业职工基本养老保险后延缴费期间的参保人员），按规定将其纳入城乡居民基本养老保险，社会保险经办机构按照本办法第五条、第六条规定对其个人分账户余额进行处理，并从征收土地申请依法批准的次月起计发待遇。</w:t>
      </w:r>
    </w:p>
    <w:p w14:paraId="50388A2E">
      <w:pPr>
        <w:ind w:firstLine="632" w:firstLineChars="200"/>
        <w:rPr>
          <w:rFonts w:hint="eastAsia" w:ascii="仿宋_GB2312"/>
        </w:rPr>
      </w:pPr>
      <w:r>
        <w:rPr>
          <w:rFonts w:hint="eastAsia" w:ascii="黑体" w:hAnsi="黑体" w:eastAsia="黑体"/>
        </w:rPr>
        <w:t xml:space="preserve">第九条 </w:t>
      </w:r>
      <w:r>
        <w:rPr>
          <w:rFonts w:hint="eastAsia" w:ascii="仿宋_GB2312"/>
        </w:rPr>
        <w:t xml:space="preserve"> 保障对象死亡的，其个人分账户资金剩余金额及利息可依法继承。保障对象离境定居并丧失中华人民共和国国籍的，其个人分账户资金剩余金额及利息可以一次性领取。</w:t>
      </w:r>
    </w:p>
    <w:p w14:paraId="7CF5E8E1">
      <w:pPr>
        <w:ind w:firstLine="632" w:firstLineChars="200"/>
        <w:rPr>
          <w:rFonts w:hint="eastAsia" w:ascii="仿宋_GB2312"/>
        </w:rPr>
      </w:pPr>
      <w:r>
        <w:rPr>
          <w:rFonts w:hint="eastAsia" w:ascii="黑体" w:hAnsi="黑体" w:eastAsia="黑体"/>
        </w:rPr>
        <w:t xml:space="preserve">第十条 </w:t>
      </w:r>
      <w:r>
        <w:rPr>
          <w:rFonts w:hint="eastAsia" w:ascii="仿宋_GB2312"/>
        </w:rPr>
        <w:t xml:space="preserve"> 本办法第四条、第七条、第九条规定的一次性支付或领取，社会保险经办机构应当自收到申请之日起5个工作日内办结。</w:t>
      </w:r>
    </w:p>
    <w:p w14:paraId="01E52EA9">
      <w:pPr>
        <w:ind w:firstLine="632" w:firstLineChars="200"/>
        <w:rPr>
          <w:rFonts w:hint="eastAsia" w:ascii="仿宋_GB2312"/>
        </w:rPr>
      </w:pPr>
      <w:r>
        <w:rPr>
          <w:rFonts w:hint="eastAsia" w:ascii="黑体" w:hAnsi="黑体" w:eastAsia="黑体"/>
        </w:rPr>
        <w:t xml:space="preserve">第十一条 </w:t>
      </w:r>
      <w:r>
        <w:rPr>
          <w:rFonts w:hint="eastAsia" w:ascii="仿宋_GB2312"/>
        </w:rPr>
        <w:t xml:space="preserve"> 本办法自2022年9月1日起施行，有效期至2027年8月31日。</w:t>
      </w:r>
    </w:p>
    <w:p w14:paraId="6EF1416D">
      <w:pPr>
        <w:ind w:firstLine="632" w:firstLineChars="200"/>
        <w:rPr>
          <w:rFonts w:hint="eastAsia" w:ascii="仿宋_GB2312"/>
        </w:rPr>
      </w:pPr>
      <w:r>
        <w:rPr>
          <w:rFonts w:hint="eastAsia" w:ascii="仿宋_GB2312"/>
        </w:rPr>
        <w:t>《省办法》实施之日至本办法施行前依法批准的征地项目中的被征地农民社会保障资金个人分账户余额按本办法执行。《省办法》实施前已依法批准的征地项目，被征地农民仍按原保障规定执行。《省办法》实施前已享受被征地农民基本生活保障和社会保障待遇的，不适用本办法。</w:t>
      </w:r>
    </w:p>
    <w:p w14:paraId="76AD7E16">
      <w:pPr>
        <w:spacing w:line="572" w:lineRule="exact"/>
      </w:pPr>
    </w:p>
    <w:p w14:paraId="45C31D70">
      <w:pPr>
        <w:spacing w:line="14" w:lineRule="exact"/>
      </w:pPr>
    </w:p>
    <w:sectPr>
      <w:footerReference r:id="rId5" w:type="first"/>
      <w:footerReference r:id="rId3" w:type="default"/>
      <w:footerReference r:id="rId4" w:type="even"/>
      <w:pgSz w:w="11906" w:h="16838"/>
      <w:pgMar w:top="2041" w:right="1474" w:bottom="1985" w:left="1588" w:header="851" w:footer="1520" w:gutter="0"/>
      <w:pgNumType w:start="1" w:chapStyle="1"/>
      <w:cols w:space="425" w:num="1"/>
      <w:docGrid w:type="linesAndChars" w:linePitch="58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鼎CS仿宋体">
    <w:altName w:val="宋体"/>
    <w:panose1 w:val="00000000000000000000"/>
    <w:charset w:val="86"/>
    <w:family w:val="modern"/>
    <w:pitch w:val="default"/>
    <w:sig w:usb0="00000000" w:usb1="00000000" w:usb2="00000010" w:usb3="00000000" w:csb0="00040000"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9D96">
    <w:pPr>
      <w:pStyle w:val="9"/>
      <w:ind w:left="320" w:leftChars="100" w:right="320" w:rightChars="100"/>
      <w:jc w:val="right"/>
      <w:rPr>
        <w:rFonts w:ascii="宋体" w:hAnsi="宋体" w:eastAsia="宋体"/>
        <w:sz w:val="28"/>
        <w:szCs w:val="28"/>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1</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1610">
    <w:pPr>
      <w:pStyle w:val="9"/>
      <w:ind w:left="320" w:leftChars="100" w:right="320" w:rightChars="100"/>
      <w:rPr>
        <w:rFonts w:ascii="宋体" w:hAnsi="宋体" w:eastAsia="宋体"/>
      </w:rPr>
    </w:pPr>
    <w:r>
      <w:rPr>
        <w:rStyle w:val="18"/>
        <w:rFonts w:hint="eastAsia" w:ascii="宋体" w:hAnsi="宋体" w:eastAsia="宋体"/>
        <w:sz w:val="28"/>
        <w:szCs w:val="28"/>
      </w:rPr>
      <w:t xml:space="preserve">— </w:t>
    </w:r>
    <w:r>
      <w:rPr>
        <w:rStyle w:val="18"/>
        <w:rFonts w:ascii="宋体" w:hAnsi="宋体" w:eastAsia="宋体"/>
        <w:sz w:val="28"/>
        <w:szCs w:val="28"/>
      </w:rPr>
      <w:fldChar w:fldCharType="begin"/>
    </w:r>
    <w:r>
      <w:rPr>
        <w:rStyle w:val="18"/>
        <w:rFonts w:ascii="宋体" w:hAnsi="宋体" w:eastAsia="宋体"/>
        <w:sz w:val="28"/>
        <w:szCs w:val="28"/>
      </w:rPr>
      <w:instrText xml:space="preserve">PAGE  </w:instrText>
    </w:r>
    <w:r>
      <w:rPr>
        <w:rStyle w:val="18"/>
        <w:rFonts w:ascii="宋体" w:hAnsi="宋体" w:eastAsia="宋体"/>
        <w:sz w:val="28"/>
        <w:szCs w:val="28"/>
      </w:rPr>
      <w:fldChar w:fldCharType="separate"/>
    </w:r>
    <w:r>
      <w:rPr>
        <w:rStyle w:val="18"/>
        <w:rFonts w:ascii="宋体" w:hAnsi="宋体" w:eastAsia="宋体"/>
        <w:sz w:val="28"/>
        <w:szCs w:val="28"/>
      </w:rPr>
      <w:t>2</w:t>
    </w:r>
    <w:r>
      <w:rPr>
        <w:rStyle w:val="18"/>
        <w:rFonts w:ascii="宋体" w:hAnsi="宋体" w:eastAsia="宋体"/>
        <w:sz w:val="28"/>
        <w:szCs w:val="28"/>
      </w:rPr>
      <w:fldChar w:fldCharType="end"/>
    </w:r>
    <w:r>
      <w:rPr>
        <w:rStyle w:val="18"/>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EEF1">
    <w:pPr>
      <w:pStyle w:val="9"/>
      <w:jc w:val="center"/>
      <w:rPr>
        <w:sz w:val="32"/>
      </w:rPr>
    </w:pPr>
    <w:r>
      <w:rPr>
        <w:rStyle w:val="18"/>
        <w:rFonts w:hint="eastAsia"/>
        <w:sz w:val="32"/>
      </w:rPr>
      <w:t xml:space="preserve">— </w:t>
    </w:r>
    <w:r>
      <w:rPr>
        <w:rStyle w:val="18"/>
        <w:rFonts w:hint="eastAsia"/>
        <w:sz w:val="30"/>
      </w:rPr>
      <w:fldChar w:fldCharType="begin"/>
    </w:r>
    <w:r>
      <w:rPr>
        <w:rStyle w:val="18"/>
        <w:rFonts w:hint="eastAsia"/>
        <w:sz w:val="30"/>
      </w:rPr>
      <w:instrText xml:space="preserve"> PAGE </w:instrText>
    </w:r>
    <w:r>
      <w:rPr>
        <w:rStyle w:val="18"/>
        <w:rFonts w:hint="eastAsia"/>
        <w:sz w:val="30"/>
      </w:rPr>
      <w:fldChar w:fldCharType="separate"/>
    </w:r>
    <w:r>
      <w:rPr>
        <w:rStyle w:val="18"/>
        <w:sz w:val="30"/>
      </w:rPr>
      <w:t>1</w:t>
    </w:r>
    <w:r>
      <w:rPr>
        <w:rStyle w:val="18"/>
        <w:rFonts w:hint="eastAsia"/>
        <w:sz w:val="30"/>
      </w:rPr>
      <w:fldChar w:fldCharType="end"/>
    </w:r>
    <w:r>
      <w:rPr>
        <w:rStyle w:val="18"/>
        <w:rFonts w:hint="eastAsia"/>
        <w:sz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705BA"/>
    <w:multiLevelType w:val="multilevel"/>
    <w:tmpl w:val="548705BA"/>
    <w:lvl w:ilvl="0" w:tentative="0">
      <w:start w:val="1"/>
      <w:numFmt w:val="japaneseCounting"/>
      <w:pStyle w:val="25"/>
      <w:lvlText w:val="（%1）"/>
      <w:lvlJc w:val="left"/>
      <w:pPr>
        <w:tabs>
          <w:tab w:val="left" w:pos="1707"/>
        </w:tabs>
        <w:ind w:left="1707" w:hanging="1080"/>
      </w:pPr>
      <w:rPr>
        <w:rFonts w:hint="eastAsia"/>
      </w:rPr>
    </w:lvl>
    <w:lvl w:ilvl="1" w:tentative="0">
      <w:start w:val="1"/>
      <w:numFmt w:val="lowerLetter"/>
      <w:lvlText w:val="%2)"/>
      <w:lvlJc w:val="left"/>
      <w:pPr>
        <w:tabs>
          <w:tab w:val="left" w:pos="1467"/>
        </w:tabs>
        <w:ind w:left="1467" w:hanging="420"/>
      </w:pPr>
    </w:lvl>
    <w:lvl w:ilvl="2" w:tentative="0">
      <w:start w:val="1"/>
      <w:numFmt w:val="lowerRoman"/>
      <w:lvlText w:val="%3."/>
      <w:lvlJc w:val="right"/>
      <w:pPr>
        <w:tabs>
          <w:tab w:val="left" w:pos="1887"/>
        </w:tabs>
        <w:ind w:left="1887" w:hanging="420"/>
      </w:pPr>
    </w:lvl>
    <w:lvl w:ilvl="3" w:tentative="0">
      <w:start w:val="1"/>
      <w:numFmt w:val="decimal"/>
      <w:lvlText w:val="%4."/>
      <w:lvlJc w:val="left"/>
      <w:pPr>
        <w:tabs>
          <w:tab w:val="left" w:pos="2307"/>
        </w:tabs>
        <w:ind w:left="2307" w:hanging="420"/>
      </w:pPr>
    </w:lvl>
    <w:lvl w:ilvl="4" w:tentative="0">
      <w:start w:val="1"/>
      <w:numFmt w:val="lowerLetter"/>
      <w:lvlText w:val="%5)"/>
      <w:lvlJc w:val="left"/>
      <w:pPr>
        <w:tabs>
          <w:tab w:val="left" w:pos="2727"/>
        </w:tabs>
        <w:ind w:left="2727" w:hanging="420"/>
      </w:pPr>
    </w:lvl>
    <w:lvl w:ilvl="5" w:tentative="0">
      <w:start w:val="1"/>
      <w:numFmt w:val="lowerRoman"/>
      <w:lvlText w:val="%6."/>
      <w:lvlJc w:val="right"/>
      <w:pPr>
        <w:tabs>
          <w:tab w:val="left" w:pos="3147"/>
        </w:tabs>
        <w:ind w:left="3147" w:hanging="420"/>
      </w:pPr>
    </w:lvl>
    <w:lvl w:ilvl="6" w:tentative="0">
      <w:start w:val="1"/>
      <w:numFmt w:val="decimal"/>
      <w:lvlText w:val="%7."/>
      <w:lvlJc w:val="left"/>
      <w:pPr>
        <w:tabs>
          <w:tab w:val="left" w:pos="3567"/>
        </w:tabs>
        <w:ind w:left="3567" w:hanging="420"/>
      </w:pPr>
    </w:lvl>
    <w:lvl w:ilvl="7" w:tentative="0">
      <w:start w:val="1"/>
      <w:numFmt w:val="lowerLetter"/>
      <w:lvlText w:val="%8)"/>
      <w:lvlJc w:val="left"/>
      <w:pPr>
        <w:tabs>
          <w:tab w:val="left" w:pos="3987"/>
        </w:tabs>
        <w:ind w:left="3987" w:hanging="420"/>
      </w:pPr>
    </w:lvl>
    <w:lvl w:ilvl="8" w:tentative="0">
      <w:start w:val="1"/>
      <w:numFmt w:val="lowerRoman"/>
      <w:lvlText w:val="%9."/>
      <w:lvlJc w:val="right"/>
      <w:pPr>
        <w:tabs>
          <w:tab w:val="left" w:pos="4407"/>
        </w:tabs>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evenAndOddHeaders w:val="1"/>
  <w:drawingGridHorizontalSpacing w:val="158"/>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ZjQ0ZmQyNDZhOTAyNmE5OTM5NjZhOTg2M2M5NDAifQ=="/>
  </w:docVars>
  <w:rsids>
    <w:rsidRoot w:val="001F42A0"/>
    <w:rsid w:val="000011EB"/>
    <w:rsid w:val="00004058"/>
    <w:rsid w:val="000043A3"/>
    <w:rsid w:val="00010BCB"/>
    <w:rsid w:val="00011BD7"/>
    <w:rsid w:val="000721E4"/>
    <w:rsid w:val="0007710A"/>
    <w:rsid w:val="00077BA6"/>
    <w:rsid w:val="00094AB6"/>
    <w:rsid w:val="000A198D"/>
    <w:rsid w:val="000A551C"/>
    <w:rsid w:val="000B0BA9"/>
    <w:rsid w:val="000B3FB9"/>
    <w:rsid w:val="000B5C8D"/>
    <w:rsid w:val="000B756E"/>
    <w:rsid w:val="000C6819"/>
    <w:rsid w:val="000D0B49"/>
    <w:rsid w:val="00104C6F"/>
    <w:rsid w:val="00116805"/>
    <w:rsid w:val="00117539"/>
    <w:rsid w:val="001279A8"/>
    <w:rsid w:val="0015474D"/>
    <w:rsid w:val="001649D8"/>
    <w:rsid w:val="001671E5"/>
    <w:rsid w:val="00171838"/>
    <w:rsid w:val="001851DF"/>
    <w:rsid w:val="00193FB2"/>
    <w:rsid w:val="00197E1B"/>
    <w:rsid w:val="001A447F"/>
    <w:rsid w:val="001B11DF"/>
    <w:rsid w:val="001C735F"/>
    <w:rsid w:val="001D2487"/>
    <w:rsid w:val="001D3A09"/>
    <w:rsid w:val="001F2847"/>
    <w:rsid w:val="001F42A0"/>
    <w:rsid w:val="00200649"/>
    <w:rsid w:val="00201C66"/>
    <w:rsid w:val="00201CDF"/>
    <w:rsid w:val="00215A72"/>
    <w:rsid w:val="00224F20"/>
    <w:rsid w:val="00250057"/>
    <w:rsid w:val="0025247C"/>
    <w:rsid w:val="00256EA2"/>
    <w:rsid w:val="002663BF"/>
    <w:rsid w:val="002A5224"/>
    <w:rsid w:val="002B1523"/>
    <w:rsid w:val="002B6B7D"/>
    <w:rsid w:val="002C3722"/>
    <w:rsid w:val="002C5D4A"/>
    <w:rsid w:val="002E547F"/>
    <w:rsid w:val="003032F5"/>
    <w:rsid w:val="003037D6"/>
    <w:rsid w:val="003048FF"/>
    <w:rsid w:val="0030655D"/>
    <w:rsid w:val="00330727"/>
    <w:rsid w:val="00330E10"/>
    <w:rsid w:val="003353D4"/>
    <w:rsid w:val="003465D2"/>
    <w:rsid w:val="003531D0"/>
    <w:rsid w:val="00357934"/>
    <w:rsid w:val="0036428B"/>
    <w:rsid w:val="0037035F"/>
    <w:rsid w:val="00376849"/>
    <w:rsid w:val="003A1F1C"/>
    <w:rsid w:val="003A6744"/>
    <w:rsid w:val="003B5CB5"/>
    <w:rsid w:val="003E69FE"/>
    <w:rsid w:val="003F2696"/>
    <w:rsid w:val="003F467B"/>
    <w:rsid w:val="0042038A"/>
    <w:rsid w:val="0045754D"/>
    <w:rsid w:val="004642BD"/>
    <w:rsid w:val="00464303"/>
    <w:rsid w:val="00466A64"/>
    <w:rsid w:val="0047105E"/>
    <w:rsid w:val="0048374C"/>
    <w:rsid w:val="004B05B9"/>
    <w:rsid w:val="004B06ED"/>
    <w:rsid w:val="004B1B57"/>
    <w:rsid w:val="004B60EE"/>
    <w:rsid w:val="004E1506"/>
    <w:rsid w:val="004F3A9F"/>
    <w:rsid w:val="0050326D"/>
    <w:rsid w:val="00521CF2"/>
    <w:rsid w:val="00532ABE"/>
    <w:rsid w:val="00555439"/>
    <w:rsid w:val="00586F5E"/>
    <w:rsid w:val="00592B35"/>
    <w:rsid w:val="00597563"/>
    <w:rsid w:val="00597CB2"/>
    <w:rsid w:val="005A4BDA"/>
    <w:rsid w:val="005C14B3"/>
    <w:rsid w:val="005C63E4"/>
    <w:rsid w:val="005D0C3C"/>
    <w:rsid w:val="005D27D3"/>
    <w:rsid w:val="005E2F40"/>
    <w:rsid w:val="00620C4B"/>
    <w:rsid w:val="00624858"/>
    <w:rsid w:val="00637F92"/>
    <w:rsid w:val="00641647"/>
    <w:rsid w:val="00646F92"/>
    <w:rsid w:val="00650663"/>
    <w:rsid w:val="006527D3"/>
    <w:rsid w:val="0065433A"/>
    <w:rsid w:val="00656CE8"/>
    <w:rsid w:val="00665F3E"/>
    <w:rsid w:val="00680B41"/>
    <w:rsid w:val="0068332A"/>
    <w:rsid w:val="006A3A31"/>
    <w:rsid w:val="006A4982"/>
    <w:rsid w:val="006D05E4"/>
    <w:rsid w:val="006D1B9A"/>
    <w:rsid w:val="006D783B"/>
    <w:rsid w:val="006E536F"/>
    <w:rsid w:val="00725292"/>
    <w:rsid w:val="00726445"/>
    <w:rsid w:val="0073219F"/>
    <w:rsid w:val="0073568F"/>
    <w:rsid w:val="00761204"/>
    <w:rsid w:val="00783836"/>
    <w:rsid w:val="00784ADD"/>
    <w:rsid w:val="00795F68"/>
    <w:rsid w:val="007A49C7"/>
    <w:rsid w:val="007B1B9E"/>
    <w:rsid w:val="007B2127"/>
    <w:rsid w:val="007D43D7"/>
    <w:rsid w:val="007D6CEA"/>
    <w:rsid w:val="007E1275"/>
    <w:rsid w:val="007E4CBE"/>
    <w:rsid w:val="007E6112"/>
    <w:rsid w:val="00806074"/>
    <w:rsid w:val="008119AF"/>
    <w:rsid w:val="00827D15"/>
    <w:rsid w:val="00835B83"/>
    <w:rsid w:val="00855BB7"/>
    <w:rsid w:val="008676C9"/>
    <w:rsid w:val="00873A72"/>
    <w:rsid w:val="008A648D"/>
    <w:rsid w:val="008D3F64"/>
    <w:rsid w:val="008E4578"/>
    <w:rsid w:val="008E790D"/>
    <w:rsid w:val="008F6E6C"/>
    <w:rsid w:val="00910F69"/>
    <w:rsid w:val="00921488"/>
    <w:rsid w:val="00927CE7"/>
    <w:rsid w:val="009343F0"/>
    <w:rsid w:val="00943333"/>
    <w:rsid w:val="00963CF0"/>
    <w:rsid w:val="009860ED"/>
    <w:rsid w:val="00990745"/>
    <w:rsid w:val="00996ACB"/>
    <w:rsid w:val="009A12FE"/>
    <w:rsid w:val="009A4006"/>
    <w:rsid w:val="009A7AE1"/>
    <w:rsid w:val="009B3336"/>
    <w:rsid w:val="009C13B5"/>
    <w:rsid w:val="009C3117"/>
    <w:rsid w:val="009C4AB4"/>
    <w:rsid w:val="009E21FC"/>
    <w:rsid w:val="009F1085"/>
    <w:rsid w:val="009F49B3"/>
    <w:rsid w:val="00A2118F"/>
    <w:rsid w:val="00A2228C"/>
    <w:rsid w:val="00A42D5E"/>
    <w:rsid w:val="00A56AA0"/>
    <w:rsid w:val="00A619E3"/>
    <w:rsid w:val="00A64A26"/>
    <w:rsid w:val="00A66763"/>
    <w:rsid w:val="00A83409"/>
    <w:rsid w:val="00A84695"/>
    <w:rsid w:val="00A94790"/>
    <w:rsid w:val="00AB141C"/>
    <w:rsid w:val="00AB439C"/>
    <w:rsid w:val="00AB4D6F"/>
    <w:rsid w:val="00AB7B57"/>
    <w:rsid w:val="00AC2516"/>
    <w:rsid w:val="00AC2BA9"/>
    <w:rsid w:val="00AE2491"/>
    <w:rsid w:val="00AE42A9"/>
    <w:rsid w:val="00B02548"/>
    <w:rsid w:val="00B076B8"/>
    <w:rsid w:val="00B1546A"/>
    <w:rsid w:val="00B21DF0"/>
    <w:rsid w:val="00B3440F"/>
    <w:rsid w:val="00B37125"/>
    <w:rsid w:val="00B41AB5"/>
    <w:rsid w:val="00B41E2F"/>
    <w:rsid w:val="00B41EE6"/>
    <w:rsid w:val="00B44001"/>
    <w:rsid w:val="00B5216C"/>
    <w:rsid w:val="00B775B9"/>
    <w:rsid w:val="00B87BD0"/>
    <w:rsid w:val="00B963B3"/>
    <w:rsid w:val="00BB4307"/>
    <w:rsid w:val="00BB471B"/>
    <w:rsid w:val="00BF0878"/>
    <w:rsid w:val="00BF0BB7"/>
    <w:rsid w:val="00BF267A"/>
    <w:rsid w:val="00C03F02"/>
    <w:rsid w:val="00C21997"/>
    <w:rsid w:val="00C25B30"/>
    <w:rsid w:val="00C276C5"/>
    <w:rsid w:val="00C27E35"/>
    <w:rsid w:val="00C32AD3"/>
    <w:rsid w:val="00C334E9"/>
    <w:rsid w:val="00C428FC"/>
    <w:rsid w:val="00C50EE0"/>
    <w:rsid w:val="00C60702"/>
    <w:rsid w:val="00C6608E"/>
    <w:rsid w:val="00C864ED"/>
    <w:rsid w:val="00C96C5E"/>
    <w:rsid w:val="00CA4178"/>
    <w:rsid w:val="00CA48EA"/>
    <w:rsid w:val="00CA5EDA"/>
    <w:rsid w:val="00CB0360"/>
    <w:rsid w:val="00CB113F"/>
    <w:rsid w:val="00CC2BA8"/>
    <w:rsid w:val="00CC2F65"/>
    <w:rsid w:val="00CC4F47"/>
    <w:rsid w:val="00CC5C33"/>
    <w:rsid w:val="00CF4F1D"/>
    <w:rsid w:val="00D11FCE"/>
    <w:rsid w:val="00D167E1"/>
    <w:rsid w:val="00D21BB9"/>
    <w:rsid w:val="00D21FD5"/>
    <w:rsid w:val="00D30E41"/>
    <w:rsid w:val="00D42322"/>
    <w:rsid w:val="00D504F3"/>
    <w:rsid w:val="00D51B84"/>
    <w:rsid w:val="00D73604"/>
    <w:rsid w:val="00D82355"/>
    <w:rsid w:val="00D96F85"/>
    <w:rsid w:val="00DA3A80"/>
    <w:rsid w:val="00DD0655"/>
    <w:rsid w:val="00DD5DA6"/>
    <w:rsid w:val="00DE0DCA"/>
    <w:rsid w:val="00DE3428"/>
    <w:rsid w:val="00E01BC5"/>
    <w:rsid w:val="00E123FC"/>
    <w:rsid w:val="00E16B61"/>
    <w:rsid w:val="00E22258"/>
    <w:rsid w:val="00E30BDA"/>
    <w:rsid w:val="00E40EE9"/>
    <w:rsid w:val="00E44EC2"/>
    <w:rsid w:val="00E47684"/>
    <w:rsid w:val="00E5194D"/>
    <w:rsid w:val="00E6136C"/>
    <w:rsid w:val="00E8265A"/>
    <w:rsid w:val="00E86047"/>
    <w:rsid w:val="00E9418F"/>
    <w:rsid w:val="00EB25AA"/>
    <w:rsid w:val="00EB3EEE"/>
    <w:rsid w:val="00ED4CE6"/>
    <w:rsid w:val="00F006A0"/>
    <w:rsid w:val="00F01808"/>
    <w:rsid w:val="00F04A92"/>
    <w:rsid w:val="00F3482B"/>
    <w:rsid w:val="00F446CF"/>
    <w:rsid w:val="00F5791D"/>
    <w:rsid w:val="00F62BE2"/>
    <w:rsid w:val="00F63707"/>
    <w:rsid w:val="00F67A50"/>
    <w:rsid w:val="00F765E5"/>
    <w:rsid w:val="00F80252"/>
    <w:rsid w:val="00F8118A"/>
    <w:rsid w:val="00F9021A"/>
    <w:rsid w:val="00FB3B25"/>
    <w:rsid w:val="00FB5D05"/>
    <w:rsid w:val="00FC28A0"/>
    <w:rsid w:val="00FD25F5"/>
    <w:rsid w:val="00FD5971"/>
    <w:rsid w:val="00FE6084"/>
    <w:rsid w:val="00FF22B2"/>
    <w:rsid w:val="00FF3DC8"/>
    <w:rsid w:val="3FAF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z w:val="32"/>
      <w:szCs w:val="32"/>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3"/>
    <w:basedOn w:val="1"/>
    <w:semiHidden/>
    <w:qFormat/>
    <w:uiPriority w:val="0"/>
    <w:pPr>
      <w:spacing w:line="560" w:lineRule="atLeast"/>
      <w:ind w:right="-544" w:rightChars="-259"/>
    </w:pPr>
    <w:rPr>
      <w:rFonts w:ascii="黑体" w:eastAsia="黑体"/>
      <w:sz w:val="24"/>
    </w:rPr>
  </w:style>
  <w:style w:type="paragraph" w:styleId="3">
    <w:name w:val="Body Text"/>
    <w:basedOn w:val="1"/>
    <w:semiHidden/>
    <w:qFormat/>
    <w:uiPriority w:val="0"/>
    <w:pPr>
      <w:adjustRightInd w:val="0"/>
      <w:snapToGrid w:val="0"/>
      <w:spacing w:line="480" w:lineRule="auto"/>
      <w:ind w:right="706" w:rightChars="310"/>
      <w:jc w:val="center"/>
    </w:pPr>
    <w:rPr>
      <w:rFonts w:ascii="宋体" w:eastAsia="宋体"/>
      <w:sz w:val="44"/>
      <w:szCs w:val="44"/>
    </w:rPr>
  </w:style>
  <w:style w:type="paragraph" w:styleId="4">
    <w:name w:val="Body Text Indent"/>
    <w:basedOn w:val="1"/>
    <w:qFormat/>
    <w:uiPriority w:val="0"/>
    <w:pPr>
      <w:spacing w:line="580" w:lineRule="exact"/>
      <w:ind w:firstLine="624" w:firstLineChars="200"/>
    </w:pPr>
  </w:style>
  <w:style w:type="paragraph" w:styleId="5">
    <w:name w:val="Plain Text"/>
    <w:basedOn w:val="1"/>
    <w:qFormat/>
    <w:uiPriority w:val="0"/>
    <w:rPr>
      <w:rFonts w:ascii="宋体" w:hAnsi="Courier New" w:eastAsia="宋体"/>
      <w:sz w:val="21"/>
      <w:szCs w:val="20"/>
    </w:rPr>
  </w:style>
  <w:style w:type="paragraph" w:styleId="6">
    <w:name w:val="Date"/>
    <w:basedOn w:val="1"/>
    <w:next w:val="1"/>
    <w:qFormat/>
    <w:uiPriority w:val="0"/>
    <w:pPr>
      <w:adjustRightInd w:val="0"/>
      <w:spacing w:line="312" w:lineRule="atLeast"/>
      <w:jc w:val="right"/>
      <w:textAlignment w:val="baseline"/>
    </w:pPr>
    <w:rPr>
      <w:rFonts w:eastAsia="宋体"/>
      <w:sz w:val="21"/>
      <w:szCs w:val="20"/>
    </w:rPr>
  </w:style>
  <w:style w:type="paragraph" w:styleId="7">
    <w:name w:val="Body Text Indent 2"/>
    <w:basedOn w:val="1"/>
    <w:semiHidden/>
    <w:qFormat/>
    <w:uiPriority w:val="0"/>
    <w:pPr>
      <w:pBdr>
        <w:top w:val="single" w:color="auto" w:sz="6" w:space="0"/>
        <w:bottom w:val="single" w:color="auto" w:sz="6" w:space="1"/>
      </w:pBdr>
      <w:spacing w:line="554" w:lineRule="exact"/>
      <w:ind w:firstLine="312" w:firstLineChars="100"/>
    </w:pPr>
    <w:rPr>
      <w:rFonts w:ascii="仿宋_GB2312"/>
    </w:rPr>
  </w:style>
  <w:style w:type="paragraph" w:styleId="8">
    <w:name w:val="Balloon Text"/>
    <w:basedOn w:val="1"/>
    <w:semiHidden/>
    <w:qFormat/>
    <w:uiPriority w:val="0"/>
    <w:rPr>
      <w:rFonts w:eastAsia="宋体"/>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semiHidden/>
    <w:qFormat/>
    <w:uiPriority w:val="0"/>
    <w:pPr>
      <w:adjustRightInd w:val="0"/>
      <w:snapToGrid w:val="0"/>
      <w:spacing w:line="520" w:lineRule="atLeast"/>
      <w:ind w:firstLine="640" w:firstLineChars="200"/>
    </w:pPr>
    <w:rPr>
      <w:rFonts w:ascii="黑体" w:eastAsia="黑体"/>
    </w:rPr>
  </w:style>
  <w:style w:type="paragraph" w:styleId="12">
    <w:name w:val="Body Text 2"/>
    <w:basedOn w:val="1"/>
    <w:semiHidden/>
    <w:qFormat/>
    <w:uiPriority w:val="0"/>
    <w:pPr>
      <w:spacing w:line="580" w:lineRule="exact"/>
      <w:jc w:val="center"/>
    </w:pPr>
    <w:rPr>
      <w:rFonts w:eastAsia="方正小标宋简体"/>
      <w:sz w:val="44"/>
    </w:rPr>
  </w:style>
  <w:style w:type="paragraph" w:styleId="13">
    <w:name w:val="Normal (Web)"/>
    <w:basedOn w:val="1"/>
    <w:qFormat/>
    <w:uiPriority w:val="0"/>
    <w:pPr>
      <w:widowControl/>
      <w:spacing w:before="100" w:beforeAutospacing="1" w:after="100" w:afterAutospacing="1"/>
      <w:jc w:val="left"/>
    </w:pPr>
    <w:rPr>
      <w:rFonts w:ascii="宋体" w:hAnsi="宋体" w:eastAsia="宋体"/>
      <w:sz w:val="21"/>
      <w:szCs w:val="21"/>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imes New Roman" w:eastAsia="宋体"/>
      <w:b/>
      <w:color w:val="000000"/>
      <w:spacing w:val="0"/>
      <w:w w:val="100"/>
      <w:sz w:val="21"/>
      <w:u w:val="none" w:color="000000"/>
      <w:vertAlign w:val="baseline"/>
      <w:lang w:val="en-US" w:eastAsia="zh-CN"/>
    </w:rPr>
  </w:style>
  <w:style w:type="character" w:styleId="18">
    <w:name w:val="page number"/>
    <w:basedOn w:val="16"/>
    <w:qFormat/>
    <w:uiPriority w:val="0"/>
  </w:style>
  <w:style w:type="character" w:customStyle="1" w:styleId="19">
    <w:name w:val="richtextmngstyle1"/>
    <w:basedOn w:val="16"/>
    <w:qFormat/>
    <w:uiPriority w:val="0"/>
    <w:rPr>
      <w:color w:val="000000"/>
      <w:spacing w:val="20"/>
      <w:sz w:val="28"/>
      <w:szCs w:val="28"/>
      <w:u w:val="none"/>
    </w:rPr>
  </w:style>
  <w:style w:type="character" w:customStyle="1" w:styleId="20">
    <w:name w:val="unnamed21"/>
    <w:basedOn w:val="16"/>
    <w:qFormat/>
    <w:uiPriority w:val="0"/>
    <w:rPr>
      <w:sz w:val="24"/>
      <w:szCs w:val="24"/>
      <w:u w:val="none"/>
    </w:rPr>
  </w:style>
  <w:style w:type="character" w:customStyle="1" w:styleId="21">
    <w:name w:val="10p1"/>
    <w:basedOn w:val="16"/>
    <w:qFormat/>
    <w:uiPriority w:val="0"/>
    <w:rPr>
      <w:sz w:val="21"/>
      <w:szCs w:val="21"/>
    </w:rPr>
  </w:style>
  <w:style w:type="paragraph" w:customStyle="1" w:styleId="22">
    <w:name w:val="标题3"/>
    <w:basedOn w:val="1"/>
    <w:next w:val="1"/>
    <w:qFormat/>
    <w:uiPriority w:val="0"/>
    <w:pPr>
      <w:autoSpaceDE w:val="0"/>
      <w:autoSpaceDN w:val="0"/>
      <w:snapToGrid w:val="0"/>
      <w:spacing w:line="590" w:lineRule="atLeast"/>
      <w:ind w:firstLine="624"/>
    </w:pPr>
    <w:rPr>
      <w:rFonts w:ascii="方正黑体_GBK" w:eastAsia="方正黑体_GBK"/>
      <w:snapToGrid w:val="0"/>
      <w:szCs w:val="20"/>
    </w:rPr>
  </w:style>
  <w:style w:type="character" w:customStyle="1" w:styleId="23">
    <w:name w:val="纯文本 Char"/>
    <w:basedOn w:val="16"/>
    <w:qFormat/>
    <w:uiPriority w:val="0"/>
    <w:rPr>
      <w:rFonts w:ascii="宋体" w:hAnsi="Courier New"/>
      <w:kern w:val="2"/>
      <w:sz w:val="21"/>
    </w:rPr>
  </w:style>
  <w:style w:type="character" w:customStyle="1" w:styleId="24">
    <w:name w:val="p91"/>
    <w:basedOn w:val="16"/>
    <w:qFormat/>
    <w:uiPriority w:val="0"/>
    <w:rPr>
      <w:color w:val="000000"/>
      <w:sz w:val="18"/>
      <w:szCs w:val="18"/>
      <w:u w:val="none"/>
    </w:rPr>
  </w:style>
  <w:style w:type="paragraph" w:customStyle="1" w:styleId="25">
    <w:name w:val="Char Char Char Char"/>
    <w:basedOn w:val="1"/>
    <w:autoRedefine/>
    <w:qFormat/>
    <w:uiPriority w:val="0"/>
    <w:pPr>
      <w:numPr>
        <w:ilvl w:val="0"/>
        <w:numId w:val="1"/>
      </w:numPr>
    </w:pPr>
    <w:rPr>
      <w:rFonts w:eastAsia="宋体"/>
      <w:sz w:val="24"/>
    </w:rPr>
  </w:style>
  <w:style w:type="paragraph" w:customStyle="1" w:styleId="26">
    <w:name w:val="Char2 Char Char Char"/>
    <w:basedOn w:val="1"/>
    <w:qFormat/>
    <w:uiPriority w:val="0"/>
    <w:rPr>
      <w:rFonts w:ascii="Tahoma" w:hAnsi="Tahoma" w:eastAsia="宋体"/>
      <w:sz w:val="24"/>
      <w:szCs w:val="20"/>
    </w:rPr>
  </w:style>
  <w:style w:type="paragraph" w:customStyle="1" w:styleId="27">
    <w:name w:val="Char1"/>
    <w:basedOn w:val="1"/>
    <w:qFormat/>
    <w:uiPriority w:val="0"/>
    <w:rPr>
      <w:rFonts w:eastAsia="宋体"/>
      <w:sz w:val="21"/>
    </w:rPr>
  </w:style>
  <w:style w:type="character" w:customStyle="1" w:styleId="28">
    <w:name w:val="页眉 Char"/>
    <w:basedOn w:val="16"/>
    <w:link w:val="10"/>
    <w:qFormat/>
    <w:uiPriority w:val="0"/>
    <w:rPr>
      <w:rFonts w:eastAsia="文鼎CS仿宋体"/>
      <w:spacing w:val="-4"/>
      <w:kern w:val="2"/>
      <w:sz w:val="18"/>
      <w:szCs w:val="18"/>
    </w:rPr>
  </w:style>
  <w:style w:type="paragraph" w:customStyle="1" w:styleId="29">
    <w:name w:val="普通 (Web)"/>
    <w:basedOn w:val="1"/>
    <w:qFormat/>
    <w:uiPriority w:val="0"/>
    <w:pPr>
      <w:widowControl/>
      <w:spacing w:before="100" w:beforeAutospacing="1" w:after="100" w:afterAutospacing="1"/>
      <w:jc w:val="left"/>
    </w:pPr>
    <w:rPr>
      <w:rFonts w:ascii="宋体" w:hAnsi="宋体" w:eastAsia="宋体"/>
      <w:sz w:val="24"/>
    </w:rPr>
  </w:style>
  <w:style w:type="paragraph" w:customStyle="1" w:styleId="30">
    <w:name w:val="标题1"/>
    <w:basedOn w:val="1"/>
    <w:next w:val="1"/>
    <w:qFormat/>
    <w:uiPriority w:val="0"/>
    <w:pPr>
      <w:tabs>
        <w:tab w:val="left" w:pos="9193"/>
        <w:tab w:val="left" w:pos="9827"/>
      </w:tabs>
      <w:autoSpaceDE w:val="0"/>
      <w:autoSpaceDN w:val="0"/>
      <w:snapToGrid w:val="0"/>
      <w:spacing w:line="700" w:lineRule="atLeast"/>
      <w:jc w:val="center"/>
    </w:pPr>
    <w:rPr>
      <w:rFonts w:ascii="汉鼎简大宋" w:eastAsia="汉鼎简大宋"/>
      <w:sz w:val="44"/>
      <w:szCs w:val="20"/>
    </w:rPr>
  </w:style>
  <w:style w:type="paragraph" w:customStyle="1" w:styleId="31">
    <w:name w:val="Char Char Char Char Char Char Char"/>
    <w:basedOn w:val="1"/>
    <w:qFormat/>
    <w:uiPriority w:val="0"/>
    <w:pPr>
      <w:widowControl/>
      <w:spacing w:after="160" w:line="240" w:lineRule="exact"/>
      <w:jc w:val="left"/>
    </w:pPr>
    <w:rPr>
      <w:rFonts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wen\AppData\Roaming\Microsoft\Templates\&#33487;&#24220;&#35268;&#2338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苏府规字</Template>
  <Company>jgys</Company>
  <Pages>6</Pages>
  <Words>2574</Words>
  <Characters>2618</Characters>
  <Lines>19</Lines>
  <Paragraphs>5</Paragraphs>
  <TotalTime>20</TotalTime>
  <ScaleCrop>false</ScaleCrop>
  <LinksUpToDate>false</LinksUpToDate>
  <CharactersWithSpaces>2659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2022-08-02T05:55:00Z</dcterms:created>
  <dc:creator>王悦</dc:creator>
  <cp:lastModifiedBy>chenli</cp:lastModifiedBy>
  <cp:lastPrinted>2013-06-20T07:21:00Z</cp:lastPrinted>
  <dcterms:modified xsi:type="dcterms:W3CDTF">2024-07-31T03:00:19Z</dcterms:modified>
  <dc:title>苏府规字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3E724333F4C74BB3802607F1B5E69D69_12</vt:lpwstr>
  </property>
</Properties>
</file>