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B3C" w:rsidRDefault="005E4B3C">
      <w:pPr>
        <w:overflowPunct w:val="0"/>
        <w:adjustRightInd w:val="0"/>
        <w:snapToGrid w:val="0"/>
        <w:spacing w:line="580" w:lineRule="exact"/>
        <w:jc w:val="center"/>
        <w:rPr>
          <w:rFonts w:ascii="Times New Roman" w:eastAsia="方正小标宋简体" w:hAnsi="方正小标宋简体"/>
          <w:w w:val="90"/>
          <w:sz w:val="48"/>
          <w:szCs w:val="48"/>
        </w:rPr>
      </w:pPr>
    </w:p>
    <w:p w:rsidR="005E4B3C" w:rsidRDefault="005E4B3C">
      <w:pPr>
        <w:overflowPunct w:val="0"/>
        <w:adjustRightInd w:val="0"/>
        <w:snapToGrid w:val="0"/>
        <w:spacing w:line="580" w:lineRule="exact"/>
        <w:jc w:val="center"/>
        <w:rPr>
          <w:rFonts w:ascii="Times New Roman" w:eastAsia="方正小标宋简体" w:hAnsi="方正小标宋简体"/>
          <w:w w:val="90"/>
          <w:sz w:val="48"/>
          <w:szCs w:val="48"/>
        </w:rPr>
      </w:pPr>
    </w:p>
    <w:p w:rsidR="005E4B3C" w:rsidRDefault="005E4B3C">
      <w:pPr>
        <w:overflowPunct w:val="0"/>
        <w:adjustRightInd w:val="0"/>
        <w:snapToGrid w:val="0"/>
        <w:spacing w:line="580" w:lineRule="exact"/>
        <w:jc w:val="center"/>
        <w:rPr>
          <w:rFonts w:ascii="Times New Roman" w:eastAsia="方正小标宋简体" w:hAnsi="方正小标宋简体"/>
          <w:w w:val="90"/>
          <w:sz w:val="48"/>
          <w:szCs w:val="48"/>
        </w:rPr>
      </w:pPr>
    </w:p>
    <w:p w:rsidR="005E4B3C" w:rsidRDefault="005E4B3C">
      <w:pPr>
        <w:overflowPunct w:val="0"/>
        <w:adjustRightInd w:val="0"/>
        <w:snapToGrid w:val="0"/>
        <w:spacing w:line="580" w:lineRule="exact"/>
        <w:jc w:val="center"/>
        <w:rPr>
          <w:rFonts w:ascii="Times New Roman" w:eastAsia="方正小标宋简体" w:hAnsi="方正小标宋简体"/>
          <w:w w:val="90"/>
          <w:sz w:val="48"/>
          <w:szCs w:val="48"/>
        </w:rPr>
      </w:pPr>
    </w:p>
    <w:p w:rsidR="005E4B3C" w:rsidRDefault="005E4B3C">
      <w:pPr>
        <w:overflowPunct w:val="0"/>
        <w:adjustRightInd w:val="0"/>
        <w:snapToGrid w:val="0"/>
        <w:spacing w:line="580" w:lineRule="exact"/>
        <w:jc w:val="center"/>
        <w:rPr>
          <w:rFonts w:ascii="Times New Roman" w:eastAsia="方正小标宋简体" w:hAnsi="方正小标宋简体"/>
          <w:w w:val="90"/>
          <w:sz w:val="48"/>
          <w:szCs w:val="48"/>
        </w:rPr>
      </w:pPr>
    </w:p>
    <w:p w:rsidR="005E4B3C" w:rsidRDefault="00CC2127">
      <w:pPr>
        <w:overflowPunct w:val="0"/>
        <w:adjustRightInd w:val="0"/>
        <w:snapToGrid w:val="0"/>
        <w:spacing w:line="580" w:lineRule="exact"/>
        <w:jc w:val="center"/>
        <w:rPr>
          <w:rFonts w:ascii="Times New Roman" w:eastAsia="方正小标宋简体" w:hAnsi="Times New Roman"/>
          <w:sz w:val="48"/>
          <w:szCs w:val="48"/>
        </w:rPr>
      </w:pPr>
      <w:r>
        <w:rPr>
          <w:rFonts w:ascii="Times New Roman" w:eastAsia="方正小标宋简体" w:hAnsi="方正小标宋简体" w:hint="eastAsia"/>
          <w:w w:val="90"/>
          <w:sz w:val="48"/>
          <w:szCs w:val="48"/>
        </w:rPr>
        <w:t>《苏州市游艇业发展试点方案》</w:t>
      </w:r>
    </w:p>
    <w:p w:rsidR="005E4B3C" w:rsidRDefault="00CC2127">
      <w:pPr>
        <w:overflowPunct w:val="0"/>
        <w:adjustRightInd w:val="0"/>
        <w:snapToGrid w:val="0"/>
        <w:jc w:val="center"/>
        <w:rPr>
          <w:rFonts w:ascii="Times New Roman" w:eastAsia="方正小标宋简体" w:hAnsi="Times New Roman"/>
          <w:w w:val="90"/>
          <w:sz w:val="48"/>
          <w:szCs w:val="48"/>
        </w:rPr>
      </w:pPr>
      <w:r>
        <w:rPr>
          <w:rFonts w:ascii="Times New Roman" w:eastAsia="方正小标宋简体" w:hAnsi="方正小标宋简体" w:hint="eastAsia"/>
          <w:w w:val="90"/>
          <w:sz w:val="48"/>
          <w:szCs w:val="48"/>
        </w:rPr>
        <w:t>制定依据对照表</w:t>
      </w:r>
    </w:p>
    <w:p w:rsidR="005E4B3C" w:rsidRDefault="005E4B3C">
      <w:pPr>
        <w:overflowPunct w:val="0"/>
        <w:adjustRightInd w:val="0"/>
        <w:snapToGrid w:val="0"/>
        <w:spacing w:line="580" w:lineRule="exact"/>
        <w:jc w:val="center"/>
        <w:rPr>
          <w:rFonts w:ascii="Times New Roman" w:eastAsia="Times New Roman" w:hAnsi="Times New Roman"/>
        </w:rPr>
      </w:pPr>
    </w:p>
    <w:p w:rsidR="005E4B3C" w:rsidRDefault="005E4B3C">
      <w:pPr>
        <w:overflowPunct w:val="0"/>
        <w:adjustRightInd w:val="0"/>
        <w:snapToGrid w:val="0"/>
        <w:spacing w:line="580" w:lineRule="exact"/>
        <w:jc w:val="center"/>
        <w:rPr>
          <w:rFonts w:ascii="Times New Roman" w:eastAsia="Times New Roman" w:hAnsi="Times New Roman"/>
        </w:rPr>
      </w:pPr>
    </w:p>
    <w:p w:rsidR="005E4B3C" w:rsidRDefault="005E4B3C">
      <w:pPr>
        <w:overflowPunct w:val="0"/>
        <w:adjustRightInd w:val="0"/>
        <w:snapToGrid w:val="0"/>
        <w:spacing w:line="580" w:lineRule="exact"/>
        <w:jc w:val="center"/>
        <w:rPr>
          <w:rFonts w:ascii="Times New Roman" w:eastAsia="Times New Roman" w:hAnsi="Times New Roman"/>
        </w:rPr>
      </w:pPr>
    </w:p>
    <w:p w:rsidR="005E4B3C" w:rsidRDefault="005E4B3C">
      <w:pPr>
        <w:overflowPunct w:val="0"/>
        <w:adjustRightInd w:val="0"/>
        <w:snapToGrid w:val="0"/>
        <w:spacing w:line="580" w:lineRule="exact"/>
        <w:jc w:val="center"/>
        <w:rPr>
          <w:rFonts w:ascii="Times New Roman" w:eastAsia="Times New Roman" w:hAnsi="Times New Roman"/>
        </w:rPr>
      </w:pPr>
    </w:p>
    <w:p w:rsidR="005E4B3C" w:rsidRDefault="005E4B3C">
      <w:pPr>
        <w:overflowPunct w:val="0"/>
        <w:adjustRightInd w:val="0"/>
        <w:snapToGrid w:val="0"/>
        <w:spacing w:line="580" w:lineRule="exact"/>
        <w:jc w:val="center"/>
        <w:rPr>
          <w:rFonts w:ascii="Times New Roman" w:eastAsia="Times New Roman" w:hAnsi="Times New Roman"/>
        </w:rPr>
      </w:pPr>
    </w:p>
    <w:p w:rsidR="005E4B3C" w:rsidRDefault="005E4B3C">
      <w:pPr>
        <w:overflowPunct w:val="0"/>
        <w:adjustRightInd w:val="0"/>
        <w:snapToGrid w:val="0"/>
        <w:spacing w:line="580" w:lineRule="exact"/>
        <w:jc w:val="center"/>
        <w:rPr>
          <w:rFonts w:ascii="Times New Roman" w:eastAsia="Times New Roman" w:hAnsi="Times New Roman"/>
        </w:rPr>
      </w:pPr>
    </w:p>
    <w:p w:rsidR="005E4B3C" w:rsidRDefault="00CC2127">
      <w:pPr>
        <w:overflowPunct w:val="0"/>
        <w:adjustRightInd w:val="0"/>
        <w:snapToGrid w:val="0"/>
        <w:spacing w:line="580" w:lineRule="exact"/>
        <w:jc w:val="center"/>
        <w:rPr>
          <w:rFonts w:ascii="Times New Roman" w:eastAsia="楷体_GB2312" w:hAnsi="Times New Roman"/>
          <w:sz w:val="36"/>
          <w:szCs w:val="32"/>
        </w:rPr>
      </w:pPr>
      <w:r>
        <w:rPr>
          <w:rFonts w:ascii="Times New Roman" w:eastAsia="楷体_GB2312" w:hAnsi="Times New Roman" w:hint="eastAsia"/>
          <w:sz w:val="36"/>
          <w:szCs w:val="32"/>
        </w:rPr>
        <w:t>202</w:t>
      </w:r>
      <w:r>
        <w:rPr>
          <w:rFonts w:ascii="Times New Roman" w:eastAsia="楷体_GB2312" w:hAnsi="Times New Roman" w:hint="eastAsia"/>
          <w:sz w:val="36"/>
          <w:szCs w:val="32"/>
        </w:rPr>
        <w:t>6</w:t>
      </w:r>
      <w:r>
        <w:rPr>
          <w:rFonts w:ascii="Times New Roman" w:eastAsia="楷体_GB2312" w:hAnsi="Times New Roman" w:hint="eastAsia"/>
          <w:sz w:val="36"/>
          <w:szCs w:val="32"/>
        </w:rPr>
        <w:t>年</w:t>
      </w:r>
      <w:r>
        <w:rPr>
          <w:rFonts w:ascii="Times New Roman" w:eastAsia="楷体_GB2312" w:hAnsi="Times New Roman" w:hint="eastAsia"/>
          <w:sz w:val="36"/>
          <w:szCs w:val="32"/>
        </w:rPr>
        <w:t>3</w:t>
      </w:r>
      <w:r>
        <w:rPr>
          <w:rFonts w:ascii="Times New Roman" w:eastAsia="楷体_GB2312" w:hAnsi="Times New Roman" w:hint="eastAsia"/>
          <w:sz w:val="36"/>
          <w:szCs w:val="32"/>
        </w:rPr>
        <w:t>月</w:t>
      </w:r>
    </w:p>
    <w:p w:rsidR="005E4B3C" w:rsidRDefault="00CC2127">
      <w:pPr>
        <w:widowControl/>
        <w:jc w:val="left"/>
        <w:rPr>
          <w:rFonts w:ascii="宋体" w:eastAsia="宋体" w:hAnsi="宋体" w:cs="宋体"/>
          <w:b/>
          <w:bCs/>
          <w:kern w:val="0"/>
          <w:sz w:val="24"/>
          <w:lang w:bidi="ar"/>
        </w:rPr>
      </w:pPr>
      <w:r>
        <w:rPr>
          <w:rFonts w:ascii="宋体" w:eastAsia="宋体" w:hAnsi="宋体" w:cs="宋体"/>
          <w:b/>
          <w:bCs/>
          <w:kern w:val="0"/>
          <w:sz w:val="24"/>
          <w:lang w:bidi="ar"/>
        </w:rPr>
        <w:lastRenderedPageBreak/>
        <w:br w:type="page"/>
      </w:r>
    </w:p>
    <w:tbl>
      <w:tblPr>
        <w:tblW w:w="5000" w:type="pct"/>
        <w:tblCellMar>
          <w:top w:w="15" w:type="dxa"/>
          <w:left w:w="15" w:type="dxa"/>
          <w:bottom w:w="15" w:type="dxa"/>
          <w:right w:w="15" w:type="dxa"/>
        </w:tblCellMar>
        <w:tblLook w:val="04A0" w:firstRow="1" w:lastRow="0" w:firstColumn="1" w:lastColumn="0" w:noHBand="0" w:noVBand="1"/>
      </w:tblPr>
      <w:tblGrid>
        <w:gridCol w:w="4519"/>
        <w:gridCol w:w="4840"/>
        <w:gridCol w:w="4839"/>
      </w:tblGrid>
      <w:tr w:rsidR="005E4B3C">
        <w:trPr>
          <w:tblHeader/>
        </w:trPr>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center"/>
              <w:rPr>
                <w:rFonts w:ascii="仿宋_GB2312" w:eastAsia="仿宋_GB2312" w:hAnsi="仿宋_GB2312" w:cs="仿宋_GB2312"/>
                <w:b/>
                <w:bCs/>
                <w:sz w:val="24"/>
              </w:rPr>
            </w:pPr>
            <w:r>
              <w:rPr>
                <w:rFonts w:ascii="仿宋_GB2312" w:eastAsia="仿宋_GB2312" w:hAnsi="仿宋_GB2312" w:cs="仿宋_GB2312" w:hint="eastAsia"/>
                <w:b/>
                <w:bCs/>
                <w:kern w:val="0"/>
                <w:sz w:val="24"/>
                <w:lang w:bidi="ar"/>
              </w:rPr>
              <w:lastRenderedPageBreak/>
              <w:t>条文内容</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center"/>
              <w:rPr>
                <w:rFonts w:ascii="仿宋_GB2312" w:eastAsia="仿宋_GB2312" w:hAnsi="仿宋_GB2312" w:cs="仿宋_GB2312"/>
                <w:b/>
                <w:bCs/>
                <w:sz w:val="24"/>
              </w:rPr>
            </w:pPr>
            <w:r>
              <w:rPr>
                <w:rFonts w:ascii="仿宋_GB2312" w:eastAsia="仿宋_GB2312" w:hAnsi="仿宋_GB2312" w:cs="仿宋_GB2312" w:hint="eastAsia"/>
                <w:b/>
                <w:bCs/>
                <w:kern w:val="0"/>
                <w:sz w:val="24"/>
                <w:lang w:bidi="ar"/>
              </w:rPr>
              <w:t>依据</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center"/>
              <w:rPr>
                <w:rFonts w:ascii="仿宋_GB2312" w:eastAsia="仿宋_GB2312" w:hAnsi="仿宋_GB2312" w:cs="仿宋_GB2312"/>
                <w:b/>
                <w:bCs/>
                <w:sz w:val="24"/>
              </w:rPr>
            </w:pPr>
            <w:r>
              <w:rPr>
                <w:rFonts w:ascii="仿宋_GB2312" w:eastAsia="仿宋_GB2312" w:hAnsi="仿宋_GB2312" w:cs="仿宋_GB2312" w:hint="eastAsia"/>
                <w:b/>
                <w:bCs/>
                <w:kern w:val="0"/>
                <w:sz w:val="24"/>
                <w:lang w:bidi="ar"/>
              </w:rPr>
              <w:t>参考及说明</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t>制定目的</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为贯彻落实省委省政府关于推动游艇业发展的决策部署，按照省级相关部门试点工作要求，充分发挥苏州市场资源优势，立足游艇消费大众化发展方向，培育完善游艇业生态，更好服务苏州社会经济发展，为全省游艇业高质量发展提供一套可复制、可推广的发展路径，特制定本方案。</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D253C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《关于推动游艇业发展的若干措施》</w:t>
            </w:r>
            <w:r w:rsidR="00CC2127">
              <w:rPr>
                <w:rFonts w:ascii="仿宋_GB2312" w:eastAsia="仿宋_GB2312" w:hAnsi="仿宋_GB2312" w:cs="仿宋_GB2312" w:hint="eastAsia"/>
                <w:b/>
                <w:bCs/>
                <w:kern w:val="0"/>
                <w:sz w:val="24"/>
                <w:lang w:bidi="ar"/>
              </w:rPr>
              <w:t>（苏政办规〔</w:t>
            </w:r>
            <w:r w:rsidR="00CC2127">
              <w:rPr>
                <w:rFonts w:ascii="仿宋_GB2312" w:eastAsia="仿宋_GB2312" w:hAnsi="仿宋_GB2312" w:cs="仿宋_GB2312" w:hint="eastAsia"/>
                <w:b/>
                <w:bCs/>
                <w:kern w:val="0"/>
                <w:sz w:val="24"/>
                <w:lang w:bidi="ar"/>
              </w:rPr>
              <w:t>2025</w:t>
            </w:r>
            <w:r w:rsidR="00CC2127">
              <w:rPr>
                <w:rFonts w:ascii="仿宋_GB2312" w:eastAsia="仿宋_GB2312" w:hAnsi="仿宋_GB2312" w:cs="仿宋_GB2312" w:hint="eastAsia"/>
                <w:b/>
                <w:bCs/>
                <w:kern w:val="0"/>
                <w:sz w:val="24"/>
                <w:lang w:bidi="ar"/>
              </w:rPr>
              <w:t>〕</w:t>
            </w:r>
            <w:r w:rsidR="00CC2127">
              <w:rPr>
                <w:rFonts w:ascii="仿宋_GB2312" w:eastAsia="仿宋_GB2312" w:hAnsi="仿宋_GB2312" w:cs="仿宋_GB2312" w:hint="eastAsia"/>
                <w:b/>
                <w:bCs/>
                <w:kern w:val="0"/>
                <w:sz w:val="24"/>
                <w:lang w:bidi="ar"/>
              </w:rPr>
              <w:t>6</w:t>
            </w:r>
            <w:r w:rsidR="00CC2127">
              <w:rPr>
                <w:rFonts w:ascii="仿宋_GB2312" w:eastAsia="仿宋_GB2312" w:hAnsi="仿宋_GB2312" w:cs="仿宋_GB2312" w:hint="eastAsia"/>
                <w:b/>
                <w:bCs/>
                <w:kern w:val="0"/>
                <w:sz w:val="24"/>
                <w:lang w:bidi="ar"/>
              </w:rPr>
              <w:t>号）</w:t>
            </w:r>
          </w:p>
          <w:p w:rsidR="005E4B3C" w:rsidRDefault="00CC2127">
            <w:pPr>
              <w:widowControl/>
              <w:ind w:firstLineChars="200" w:firstLine="480"/>
              <w:jc w:val="left"/>
              <w:rPr>
                <w:rFonts w:ascii="仿宋_GB2312" w:eastAsia="仿宋_GB2312" w:hAnsi="仿宋_GB2312" w:cs="仿宋_GB2312"/>
                <w:sz w:val="24"/>
              </w:rPr>
            </w:pPr>
            <w:r>
              <w:rPr>
                <w:rFonts w:ascii="仿宋_GB2312" w:eastAsia="仿宋_GB2312" w:hAnsi="仿宋_GB2312" w:cs="仿宋_GB2312" w:hint="eastAsia"/>
                <w:kern w:val="0"/>
                <w:sz w:val="24"/>
                <w:lang w:bidi="ar"/>
              </w:rPr>
              <w:t>游艇业属于跨行业、跨领域的综合性产业，对提升现代服务业水平、促进区域经济社会发展、满足人民群众日益增长的美好生活需要具有重要意义。为贯彻落实国家和省委、省政府相关决策部署，推动全省游艇业高质量发展，进一步拉动内需、促进消费，打造发展新优势，巩固拓展经济回升向好势头，现提出以下措施。</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《海南省游艇产业发展规划纲要（</w:t>
            </w:r>
            <w:r>
              <w:rPr>
                <w:rFonts w:ascii="仿宋_GB2312" w:eastAsia="仿宋_GB2312" w:hAnsi="仿宋_GB2312" w:cs="仿宋_GB2312" w:hint="eastAsia"/>
                <w:b/>
                <w:bCs/>
                <w:kern w:val="0"/>
                <w:sz w:val="24"/>
                <w:lang w:bidi="ar"/>
              </w:rPr>
              <w:t>2021-2025</w:t>
            </w:r>
            <w:r>
              <w:rPr>
                <w:rFonts w:ascii="仿宋_GB2312" w:eastAsia="仿宋_GB2312" w:hAnsi="仿宋_GB2312" w:cs="仿宋_GB2312" w:hint="eastAsia"/>
                <w:b/>
                <w:bCs/>
                <w:kern w:val="0"/>
                <w:sz w:val="24"/>
                <w:lang w:bidi="ar"/>
              </w:rPr>
              <w:t>年）》</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（三</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发展目标</w:t>
            </w:r>
          </w:p>
          <w:p w:rsidR="005E4B3C" w:rsidRDefault="00CC2127">
            <w:pPr>
              <w:widowControl/>
              <w:ind w:firstLineChars="200" w:firstLine="480"/>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到</w:t>
            </w:r>
            <w:r>
              <w:rPr>
                <w:rFonts w:ascii="仿宋_GB2312" w:eastAsia="仿宋_GB2312" w:hAnsi="仿宋_GB2312" w:cs="仿宋_GB2312" w:hint="eastAsia"/>
                <w:kern w:val="0"/>
                <w:sz w:val="24"/>
                <w:lang w:bidi="ar"/>
              </w:rPr>
              <w:t>2025</w:t>
            </w:r>
            <w:r>
              <w:rPr>
                <w:rFonts w:ascii="仿宋_GB2312" w:eastAsia="仿宋_GB2312" w:hAnsi="仿宋_GB2312" w:cs="仿宋_GB2312" w:hint="eastAsia"/>
                <w:kern w:val="0"/>
                <w:sz w:val="24"/>
                <w:lang w:bidi="ar"/>
              </w:rPr>
              <w:t>年，海南游艇产业链体系基本形成，游艇制造和服务水平与国际接轨，游艇消费场景更加多元，游艇产业安全，绿色，智慧发展水平国内一流。</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《广东省推动游艇产</w:t>
            </w:r>
            <w:r>
              <w:rPr>
                <w:rFonts w:ascii="仿宋_GB2312" w:eastAsia="仿宋_GB2312" w:hAnsi="仿宋_GB2312" w:cs="仿宋_GB2312" w:hint="eastAsia"/>
                <w:b/>
                <w:bCs/>
                <w:kern w:val="0"/>
                <w:sz w:val="24"/>
                <w:lang w:bidi="ar"/>
              </w:rPr>
              <w:t>业高质量发展行动方案（</w:t>
            </w:r>
            <w:r>
              <w:rPr>
                <w:rFonts w:ascii="仿宋_GB2312" w:eastAsia="仿宋_GB2312" w:hAnsi="仿宋_GB2312" w:cs="仿宋_GB2312" w:hint="eastAsia"/>
                <w:b/>
                <w:bCs/>
                <w:kern w:val="0"/>
                <w:sz w:val="24"/>
                <w:lang w:bidi="ar"/>
              </w:rPr>
              <w:t>2024</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2027</w:t>
            </w:r>
            <w:r>
              <w:rPr>
                <w:rFonts w:ascii="仿宋_GB2312" w:eastAsia="仿宋_GB2312" w:hAnsi="仿宋_GB2312" w:cs="仿宋_GB2312" w:hint="eastAsia"/>
                <w:b/>
                <w:bCs/>
                <w:kern w:val="0"/>
                <w:sz w:val="24"/>
                <w:lang w:bidi="ar"/>
              </w:rPr>
              <w:t>年）》</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一、总体要求</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力争到</w:t>
            </w:r>
            <w:r>
              <w:rPr>
                <w:rFonts w:ascii="仿宋_GB2312" w:eastAsia="仿宋_GB2312" w:hAnsi="仿宋_GB2312" w:cs="仿宋_GB2312" w:hint="eastAsia"/>
                <w:kern w:val="0"/>
                <w:sz w:val="24"/>
                <w:lang w:bidi="ar"/>
              </w:rPr>
              <w:t>2027</w:t>
            </w:r>
            <w:r>
              <w:rPr>
                <w:rFonts w:ascii="仿宋_GB2312" w:eastAsia="仿宋_GB2312" w:hAnsi="仿宋_GB2312" w:cs="仿宋_GB2312" w:hint="eastAsia"/>
                <w:kern w:val="0"/>
                <w:sz w:val="24"/>
                <w:lang w:bidi="ar"/>
              </w:rPr>
              <w:t>年，我省游艇制造产业链不断升级，产业结构进一步优化，形成集研发设计、生产制造、维修保养于一体的完整产业链。建立完善的游艇基础设施体系，规划建设高标准游艇码头，提升码头设施智能化水平，建成游艇泊位数（含停靠点）不少于</w:t>
            </w:r>
            <w:r>
              <w:rPr>
                <w:rFonts w:ascii="仿宋_GB2312" w:eastAsia="仿宋_GB2312" w:hAnsi="仿宋_GB2312" w:cs="仿宋_GB2312" w:hint="eastAsia"/>
                <w:kern w:val="0"/>
                <w:sz w:val="24"/>
                <w:lang w:bidi="ar"/>
              </w:rPr>
              <w:t>2500</w:t>
            </w:r>
            <w:r>
              <w:rPr>
                <w:rFonts w:ascii="仿宋_GB2312" w:eastAsia="仿宋_GB2312" w:hAnsi="仿宋_GB2312" w:cs="仿宋_GB2312" w:hint="eastAsia"/>
                <w:kern w:val="0"/>
                <w:sz w:val="24"/>
                <w:lang w:bidi="ar"/>
              </w:rPr>
              <w:t>个，基本形成覆盖全省沿海的游艇停泊网络。提升游艇安全监管能力，扩大消费市场需求，打造一批具有广东特色的游艇旅游线路和体验项目，全省游艇登记数量达</w:t>
            </w:r>
            <w:r>
              <w:rPr>
                <w:rFonts w:ascii="仿宋_GB2312" w:eastAsia="仿宋_GB2312" w:hAnsi="仿宋_GB2312" w:cs="仿宋_GB2312" w:hint="eastAsia"/>
                <w:kern w:val="0"/>
                <w:sz w:val="24"/>
                <w:lang w:bidi="ar"/>
              </w:rPr>
              <w:t>4000</w:t>
            </w:r>
            <w:r>
              <w:rPr>
                <w:rFonts w:ascii="仿宋_GB2312" w:eastAsia="仿宋_GB2312" w:hAnsi="仿宋_GB2312" w:cs="仿宋_GB2312" w:hint="eastAsia"/>
                <w:kern w:val="0"/>
                <w:sz w:val="24"/>
                <w:lang w:bidi="ar"/>
              </w:rPr>
              <w:t>艘以上，游艇及关联产业规模达</w:t>
            </w:r>
            <w:r>
              <w:rPr>
                <w:rFonts w:ascii="仿宋_GB2312" w:eastAsia="仿宋_GB2312" w:hAnsi="仿宋_GB2312" w:cs="仿宋_GB2312" w:hint="eastAsia"/>
                <w:kern w:val="0"/>
                <w:sz w:val="24"/>
                <w:lang w:bidi="ar"/>
              </w:rPr>
              <w:t>1000</w:t>
            </w:r>
            <w:r>
              <w:rPr>
                <w:rFonts w:ascii="仿宋_GB2312" w:eastAsia="仿宋_GB2312" w:hAnsi="仿宋_GB2312" w:cs="仿宋_GB2312" w:hint="eastAsia"/>
                <w:kern w:val="0"/>
                <w:sz w:val="24"/>
                <w:lang w:bidi="ar"/>
              </w:rPr>
              <w:t>亿元以上。</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t>（一）优化游艇检验</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依法</w:t>
            </w:r>
            <w:r>
              <w:rPr>
                <w:rFonts w:ascii="仿宋_GB2312" w:eastAsia="仿宋_GB2312" w:hAnsi="仿宋_GB2312" w:cs="仿宋_GB2312" w:hint="eastAsia"/>
                <w:kern w:val="0"/>
                <w:sz w:val="24"/>
                <w:lang w:bidi="ar"/>
              </w:rPr>
              <w:t>合规的前提下，简化检验程序、优化检验流程、缩</w:t>
            </w:r>
            <w:r>
              <w:rPr>
                <w:rFonts w:ascii="仿宋_GB2312" w:eastAsia="仿宋_GB2312" w:hAnsi="仿宋_GB2312" w:cs="仿宋_GB2312" w:hint="eastAsia"/>
                <w:kern w:val="0"/>
                <w:sz w:val="24"/>
                <w:lang w:bidi="ar"/>
              </w:rPr>
              <w:lastRenderedPageBreak/>
              <w:t>短检验时间。原则上持有国外相关机构颁发的检验或认证证书的进口游艇，检验时可免予提供送审图纸；国内取得型式检验证书的新建批量游艇，可直接换发游艇适航证书。适航证书在有效期内的游艇，在我市转籍不再开展现场检验，直接换发证书。（市交通运输局）</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《游艇安全管理规定》</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第四条</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游艇应当经船舶检验机构按照</w:t>
            </w:r>
            <w:r>
              <w:rPr>
                <w:rFonts w:ascii="仿宋_GB2312" w:eastAsia="仿宋_GB2312" w:hAnsi="仿宋_GB2312" w:cs="仿宋_GB2312" w:hint="eastAsia"/>
                <w:kern w:val="0"/>
                <w:sz w:val="24"/>
                <w:lang w:bidi="ar"/>
              </w:rPr>
              <w:lastRenderedPageBreak/>
              <w:t>交通运输部批准或者认可的游艇检验规定和规范进行检验，并取得相应的船舶检验证书后方可使用。</w:t>
            </w:r>
          </w:p>
          <w:p w:rsidR="005E4B3C" w:rsidRDefault="00D253C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《关于推动游艇业发展的若干措施》</w:t>
            </w:r>
            <w:r w:rsidR="00CC2127">
              <w:rPr>
                <w:rFonts w:ascii="仿宋_GB2312" w:eastAsia="仿宋_GB2312" w:hAnsi="仿宋_GB2312" w:cs="仿宋_GB2312" w:hint="eastAsia"/>
                <w:b/>
                <w:bCs/>
                <w:kern w:val="0"/>
                <w:sz w:val="24"/>
                <w:lang w:bidi="ar"/>
              </w:rPr>
              <w:t>（苏政办规〔</w:t>
            </w:r>
            <w:r w:rsidR="00CC2127">
              <w:rPr>
                <w:rFonts w:ascii="仿宋_GB2312" w:eastAsia="仿宋_GB2312" w:hAnsi="仿宋_GB2312" w:cs="仿宋_GB2312" w:hint="eastAsia"/>
                <w:b/>
                <w:bCs/>
                <w:kern w:val="0"/>
                <w:sz w:val="24"/>
                <w:lang w:bidi="ar"/>
              </w:rPr>
              <w:t>2025</w:t>
            </w:r>
            <w:r w:rsidR="00CC2127">
              <w:rPr>
                <w:rFonts w:ascii="仿宋_GB2312" w:eastAsia="仿宋_GB2312" w:hAnsi="仿宋_GB2312" w:cs="仿宋_GB2312" w:hint="eastAsia"/>
                <w:b/>
                <w:bCs/>
                <w:kern w:val="0"/>
                <w:sz w:val="24"/>
                <w:lang w:bidi="ar"/>
              </w:rPr>
              <w:t>〕</w:t>
            </w:r>
            <w:r w:rsidR="00CC2127">
              <w:rPr>
                <w:rFonts w:ascii="仿宋_GB2312" w:eastAsia="仿宋_GB2312" w:hAnsi="仿宋_GB2312" w:cs="仿宋_GB2312" w:hint="eastAsia"/>
                <w:b/>
                <w:bCs/>
                <w:kern w:val="0"/>
                <w:sz w:val="24"/>
                <w:lang w:bidi="ar"/>
              </w:rPr>
              <w:t>6</w:t>
            </w:r>
            <w:r w:rsidR="00CC2127">
              <w:rPr>
                <w:rFonts w:ascii="仿宋_GB2312" w:eastAsia="仿宋_GB2312" w:hAnsi="仿宋_GB2312" w:cs="仿宋_GB2312" w:hint="eastAsia"/>
                <w:b/>
                <w:bCs/>
                <w:kern w:val="0"/>
                <w:sz w:val="24"/>
                <w:lang w:bidi="ar"/>
              </w:rPr>
              <w:t>号</w:t>
            </w:r>
            <w:r w:rsidR="00CC2127">
              <w:rPr>
                <w:rFonts w:ascii="仿宋_GB2312" w:eastAsia="仿宋_GB2312" w:hAnsi="仿宋_GB2312" w:cs="仿宋_GB2312" w:hint="eastAsia"/>
                <w:b/>
                <w:bCs/>
                <w:kern w:val="0"/>
                <w:sz w:val="24"/>
                <w:lang w:bidi="ar"/>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一）优化游艇检验服务。</w:t>
            </w:r>
            <w:r>
              <w:rPr>
                <w:rFonts w:ascii="仿宋_GB2312" w:eastAsia="仿宋_GB2312" w:hAnsi="仿宋_GB2312" w:cs="仿宋_GB2312" w:hint="eastAsia"/>
                <w:kern w:val="0"/>
                <w:sz w:val="24"/>
                <w:lang w:bidi="ar"/>
              </w:rPr>
              <w:t>全面提升游艇检验便利化水平，在依法合规的前提下，按照“能简则简、能快则快”的原则，简化检验程序、优化检验流程、缩短检验时间。持有</w:t>
            </w:r>
            <w:r>
              <w:rPr>
                <w:rFonts w:ascii="仿宋_GB2312" w:eastAsia="仿宋_GB2312" w:hAnsi="仿宋_GB2312" w:cs="仿宋_GB2312" w:hint="eastAsia"/>
                <w:kern w:val="0"/>
                <w:sz w:val="24"/>
                <w:lang w:bidi="ar"/>
              </w:rPr>
              <w:t>CE</w:t>
            </w:r>
            <w:r>
              <w:rPr>
                <w:rFonts w:ascii="仿宋_GB2312" w:eastAsia="仿宋_GB2312" w:hAnsi="仿宋_GB2312" w:cs="仿宋_GB2312" w:hint="eastAsia"/>
                <w:kern w:val="0"/>
                <w:sz w:val="24"/>
                <w:lang w:bidi="ar"/>
              </w:rPr>
              <w:t>和</w:t>
            </w:r>
            <w:r>
              <w:rPr>
                <w:rFonts w:ascii="仿宋_GB2312" w:eastAsia="仿宋_GB2312" w:hAnsi="仿宋_GB2312" w:cs="仿宋_GB2312" w:hint="eastAsia"/>
                <w:kern w:val="0"/>
                <w:sz w:val="24"/>
                <w:lang w:bidi="ar"/>
              </w:rPr>
              <w:t>ABYC</w:t>
            </w:r>
            <w:r>
              <w:rPr>
                <w:rFonts w:ascii="仿宋_GB2312" w:eastAsia="仿宋_GB2312" w:hAnsi="仿宋_GB2312" w:cs="仿宋_GB2312" w:hint="eastAsia"/>
                <w:kern w:val="0"/>
                <w:sz w:val="24"/>
                <w:lang w:bidi="ar"/>
              </w:rPr>
              <w:t>认证证书的进口游艇，检验时可不要求其提供图纸资料，但应核对其认证证书或检验证书与实船的符合性；国内取得型式检验证书的新建批量游艇，可直接换发游艇适航证书。适航证书在有效期内的游艇，在江苏省内转籍不再开展现场检验，直接换发证书。</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《海南省游艇管理办法》</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第三十一条</w:t>
            </w:r>
            <w:r>
              <w:rPr>
                <w:rFonts w:ascii="仿宋_GB2312" w:eastAsia="仿宋_GB2312" w:hAnsi="仿宋_GB2312" w:cs="仿宋_GB2312" w:hint="eastAsia"/>
                <w:kern w:val="0"/>
                <w:sz w:val="24"/>
                <w:lang w:bidi="ar"/>
              </w:rPr>
              <w:t>“对于持有国家认可的游艇</w:t>
            </w:r>
            <w:r>
              <w:rPr>
                <w:rFonts w:ascii="仿宋_GB2312" w:eastAsia="仿宋_GB2312" w:hAnsi="仿宋_GB2312" w:cs="仿宋_GB2312" w:hint="eastAsia"/>
                <w:kern w:val="0"/>
                <w:sz w:val="24"/>
                <w:lang w:bidi="ar"/>
              </w:rPr>
              <w:lastRenderedPageBreak/>
              <w:t>认证证书和标志的进口游艇，检验时可以免予提供图纸资料。对于已取得《旧船舶进口检验报告》的进口游艇，可以简化初次检验程序。”</w:t>
            </w:r>
          </w:p>
          <w:p w:rsidR="005E4B3C" w:rsidRDefault="005E4B3C">
            <w:pPr>
              <w:widowControl/>
              <w:ind w:firstLineChars="200" w:firstLine="480"/>
              <w:jc w:val="left"/>
              <w:rPr>
                <w:rFonts w:ascii="仿宋_GB2312" w:eastAsia="仿宋_GB2312" w:hAnsi="仿宋_GB2312" w:cs="仿宋_GB2312"/>
                <w:sz w:val="24"/>
              </w:rPr>
            </w:pP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lastRenderedPageBreak/>
              <w:t>（二）优化登记办理</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允许我市以外的游艇所有人与在苏州市内备案的游艇俱乐部签订游艇委托管理协议后，航行水域为内河的游艇可在游艇俱乐部所在地的交通运输主管部门申请办理登记手续，备齐相关材料并提交登记申请后，原则上在</w:t>
            </w:r>
            <w:r>
              <w:rPr>
                <w:rFonts w:ascii="仿宋_GB2312" w:eastAsia="仿宋_GB2312" w:hAnsi="仿宋_GB2312" w:cs="仿宋_GB2312" w:hint="eastAsia"/>
                <w:kern w:val="0"/>
                <w:sz w:val="24"/>
                <w:lang w:bidi="ar"/>
              </w:rPr>
              <w:t xml:space="preserve"> 3 </w:t>
            </w:r>
            <w:r>
              <w:rPr>
                <w:rFonts w:ascii="仿宋_GB2312" w:eastAsia="仿宋_GB2312" w:hAnsi="仿宋_GB2312" w:cs="仿宋_GB2312" w:hint="eastAsia"/>
                <w:kern w:val="0"/>
                <w:sz w:val="24"/>
                <w:lang w:bidi="ar"/>
              </w:rPr>
              <w:t>个工作日内完成登记。航行水域涉及海上</w:t>
            </w:r>
            <w:r>
              <w:rPr>
                <w:rFonts w:ascii="仿宋_GB2312" w:eastAsia="仿宋_GB2312" w:hAnsi="仿宋_GB2312" w:cs="仿宋_GB2312" w:hint="eastAsia"/>
                <w:kern w:val="0"/>
                <w:sz w:val="24"/>
                <w:lang w:bidi="ar"/>
              </w:rPr>
              <w:lastRenderedPageBreak/>
              <w:t>的游艇，在游艇俱乐部备案管理的所在地直属海事管理机构按照交通运输部海事局的相关规定办理登记手续。（市交通运输</w:t>
            </w:r>
            <w:r>
              <w:rPr>
                <w:rFonts w:ascii="仿宋_GB2312" w:eastAsia="仿宋_GB2312" w:hAnsi="仿宋_GB2312" w:cs="仿宋_GB2312" w:hint="eastAsia"/>
                <w:kern w:val="0"/>
                <w:sz w:val="24"/>
                <w:lang w:bidi="ar"/>
              </w:rPr>
              <w:t>局牵头，张家港海事局、太仓海事局、常熟海事局参与）</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D253C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《关于推动游艇业发展的若干措施》</w:t>
            </w:r>
            <w:r w:rsidR="00CC2127">
              <w:rPr>
                <w:rFonts w:ascii="仿宋_GB2312" w:eastAsia="仿宋_GB2312" w:hAnsi="仿宋_GB2312" w:cs="仿宋_GB2312" w:hint="eastAsia"/>
                <w:b/>
                <w:bCs/>
                <w:kern w:val="0"/>
                <w:sz w:val="24"/>
                <w:lang w:bidi="ar"/>
              </w:rPr>
              <w:t>（苏政办规〔</w:t>
            </w:r>
            <w:r w:rsidR="00CC2127">
              <w:rPr>
                <w:rFonts w:ascii="仿宋_GB2312" w:eastAsia="仿宋_GB2312" w:hAnsi="仿宋_GB2312" w:cs="仿宋_GB2312" w:hint="eastAsia"/>
                <w:b/>
                <w:bCs/>
                <w:kern w:val="0"/>
                <w:sz w:val="24"/>
                <w:lang w:bidi="ar"/>
              </w:rPr>
              <w:t>2025</w:t>
            </w:r>
            <w:r w:rsidR="00CC2127">
              <w:rPr>
                <w:rFonts w:ascii="仿宋_GB2312" w:eastAsia="仿宋_GB2312" w:hAnsi="仿宋_GB2312" w:cs="仿宋_GB2312" w:hint="eastAsia"/>
                <w:b/>
                <w:bCs/>
                <w:kern w:val="0"/>
                <w:sz w:val="24"/>
                <w:lang w:bidi="ar"/>
              </w:rPr>
              <w:t>〕</w:t>
            </w:r>
            <w:r w:rsidR="00CC2127">
              <w:rPr>
                <w:rFonts w:ascii="仿宋_GB2312" w:eastAsia="仿宋_GB2312" w:hAnsi="仿宋_GB2312" w:cs="仿宋_GB2312" w:hint="eastAsia"/>
                <w:b/>
                <w:bCs/>
                <w:kern w:val="0"/>
                <w:sz w:val="24"/>
                <w:lang w:bidi="ar"/>
              </w:rPr>
              <w:t>6</w:t>
            </w:r>
            <w:r w:rsidR="00CC2127">
              <w:rPr>
                <w:rFonts w:ascii="仿宋_GB2312" w:eastAsia="仿宋_GB2312" w:hAnsi="仿宋_GB2312" w:cs="仿宋_GB2312" w:hint="eastAsia"/>
                <w:b/>
                <w:bCs/>
                <w:kern w:val="0"/>
                <w:sz w:val="24"/>
                <w:lang w:bidi="ar"/>
              </w:rPr>
              <w:t>号）</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（二）优化登记办理。</w:t>
            </w:r>
            <w:r>
              <w:rPr>
                <w:rFonts w:ascii="仿宋_GB2312" w:eastAsia="仿宋_GB2312" w:hAnsi="仿宋_GB2312" w:cs="仿宋_GB2312" w:hint="eastAsia"/>
                <w:kern w:val="0"/>
                <w:sz w:val="24"/>
                <w:lang w:bidi="ar"/>
              </w:rPr>
              <w:t>允许江苏省以外的中国公民、法人和非法人组织等游艇所有人与在江苏备案的游艇俱乐部签订游艇委托管理协议后，在游艇俱乐部所在地办理游艇登记手续。其中，航行水域为内河的游艇在</w:t>
            </w:r>
            <w:r>
              <w:rPr>
                <w:rFonts w:ascii="仿宋_GB2312" w:eastAsia="仿宋_GB2312" w:hAnsi="仿宋_GB2312" w:cs="仿宋_GB2312" w:hint="eastAsia"/>
                <w:kern w:val="0"/>
                <w:sz w:val="24"/>
                <w:lang w:bidi="ar"/>
              </w:rPr>
              <w:lastRenderedPageBreak/>
              <w:t>游艇俱乐部所在设区市交通运输主管部门申请办理登记手续，备齐相关材料并提交登记申请后，原则上</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个工作日内完成登记。</w:t>
            </w:r>
          </w:p>
          <w:p w:rsidR="005E4B3C" w:rsidRDefault="005E4B3C">
            <w:pPr>
              <w:widowControl/>
              <w:ind w:firstLineChars="200" w:firstLine="480"/>
              <w:jc w:val="left"/>
              <w:rPr>
                <w:rFonts w:ascii="仿宋_GB2312" w:eastAsia="仿宋_GB2312" w:hAnsi="仿宋_GB2312" w:cs="仿宋_GB2312"/>
                <w:sz w:val="24"/>
              </w:rPr>
            </w:pP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《中华人民共和国船舶登记条例》</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第二条</w:t>
            </w:r>
            <w:r>
              <w:rPr>
                <w:rFonts w:ascii="仿宋_GB2312" w:eastAsia="仿宋_GB2312" w:hAnsi="仿宋_GB2312" w:cs="仿宋_GB2312" w:hint="eastAsia"/>
                <w:kern w:val="0"/>
                <w:sz w:val="24"/>
                <w:lang w:bidi="ar"/>
              </w:rPr>
              <w:t>“下列船舶应当依照本条例规定进行登记：（一）在中华人民共和国境内有住所或者主要营业所的中国公民的船舶。（二）依据中华人民共和国法律设立的主要营业所在中华人民共和国境内的企业法人的船舶。但是，在该法人的注册资本中有外商</w:t>
            </w:r>
            <w:r>
              <w:rPr>
                <w:rFonts w:ascii="仿宋_GB2312" w:eastAsia="仿宋_GB2312" w:hAnsi="仿宋_GB2312" w:cs="仿宋_GB2312" w:hint="eastAsia"/>
                <w:kern w:val="0"/>
                <w:sz w:val="24"/>
                <w:lang w:bidi="ar"/>
              </w:rPr>
              <w:lastRenderedPageBreak/>
              <w:t>出资的，中方投资人的出资额不得低于</w:t>
            </w:r>
            <w:r>
              <w:rPr>
                <w:rFonts w:ascii="仿宋_GB2312" w:eastAsia="仿宋_GB2312" w:hAnsi="仿宋_GB2312" w:cs="仿宋_GB2312" w:hint="eastAsia"/>
                <w:kern w:val="0"/>
                <w:sz w:val="24"/>
                <w:lang w:bidi="ar"/>
              </w:rPr>
              <w:t>50%</w:t>
            </w:r>
            <w:r>
              <w:rPr>
                <w:rFonts w:ascii="仿宋_GB2312" w:eastAsia="仿宋_GB2312" w:hAnsi="仿宋_GB2312" w:cs="仿宋_GB2312" w:hint="eastAsia"/>
                <w:kern w:val="0"/>
                <w:sz w:val="24"/>
                <w:lang w:bidi="ar"/>
              </w:rPr>
              <w:t>。（三）中华人民共和国政府公务船舶和事业法人的船舶。（四）中华人民共和国港务监督机构认为应当登记的其他船舶。”</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《中华人民共和国内河交通安全管理条例》</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第六条</w:t>
            </w:r>
            <w:r>
              <w:rPr>
                <w:rFonts w:ascii="仿宋_GB2312" w:eastAsia="仿宋_GB2312" w:hAnsi="仿宋_GB2312" w:cs="仿宋_GB2312" w:hint="eastAsia"/>
                <w:b/>
                <w:bCs/>
                <w:kern w:val="0"/>
                <w:sz w:val="24"/>
                <w:lang w:bidi="ar"/>
              </w:rPr>
              <w:t xml:space="preserve"> </w:t>
            </w:r>
            <w:r>
              <w:rPr>
                <w:rFonts w:ascii="仿宋_GB2312" w:eastAsia="仿宋_GB2312" w:hAnsi="仿宋_GB2312" w:cs="仿宋_GB2312" w:hint="eastAsia"/>
                <w:kern w:val="0"/>
                <w:sz w:val="24"/>
                <w:lang w:bidi="ar"/>
              </w:rPr>
              <w:t>船舶具备下列条件，方可航行</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lang w:bidi="ar"/>
              </w:rPr>
              <w:t>（一）经海事管理机构认可的船舶检验机构依法检验并持有合格的船舶检验证书；（二）经海事管理机构依法登记并持有船舶登记证书；（三）配备符合国务院交通主管部门规定的船员；（四）配备必要的航行资料。</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lastRenderedPageBreak/>
              <w:t>（三）优化航行报备</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游艇所有人或游艇俱乐部在备案水域内实行首航报备，推广应用省级信息系统进行备案水域内首航报备和备案水域外的</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“一键报备”。（市交通运输局）</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《关于推动游艇业发展</w:t>
            </w:r>
            <w:r w:rsidR="00D253C7">
              <w:rPr>
                <w:rFonts w:ascii="仿宋_GB2312" w:eastAsia="仿宋_GB2312" w:hAnsi="仿宋_GB2312" w:cs="仿宋_GB2312" w:hint="eastAsia"/>
                <w:b/>
                <w:bCs/>
                <w:kern w:val="0"/>
                <w:sz w:val="24"/>
                <w:lang w:bidi="ar"/>
              </w:rPr>
              <w:t>的</w:t>
            </w:r>
            <w:r>
              <w:rPr>
                <w:rFonts w:ascii="仿宋_GB2312" w:eastAsia="仿宋_GB2312" w:hAnsi="仿宋_GB2312" w:cs="仿宋_GB2312" w:hint="eastAsia"/>
                <w:b/>
                <w:bCs/>
                <w:kern w:val="0"/>
                <w:sz w:val="24"/>
                <w:lang w:bidi="ar"/>
              </w:rPr>
              <w:t>若干措施</w:t>
            </w:r>
            <w:r w:rsidR="00D253C7">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（三）优化航行报备。</w:t>
            </w:r>
            <w:r>
              <w:rPr>
                <w:rFonts w:ascii="仿宋_GB2312" w:eastAsia="仿宋_GB2312" w:hAnsi="仿宋_GB2312" w:cs="仿宋_GB2312" w:hint="eastAsia"/>
                <w:kern w:val="0"/>
                <w:sz w:val="24"/>
                <w:lang w:bidi="ar"/>
              </w:rPr>
              <w:t>游艇所有人或游艇俱乐部在第一次出航前，实施游艇航</w:t>
            </w:r>
            <w:r>
              <w:rPr>
                <w:rFonts w:ascii="仿宋_GB2312" w:eastAsia="仿宋_GB2312" w:hAnsi="仿宋_GB2312" w:cs="仿宋_GB2312" w:hint="eastAsia"/>
                <w:kern w:val="0"/>
                <w:sz w:val="24"/>
                <w:lang w:bidi="ar"/>
              </w:rPr>
              <w:t>行水域“首航报备”。游艇每一次航行时，如航行水域超出备案范围，可通过信息化系统“一键报告”。</w:t>
            </w:r>
          </w:p>
          <w:p w:rsidR="005E4B3C" w:rsidRDefault="005E4B3C">
            <w:pPr>
              <w:widowControl/>
              <w:ind w:firstLineChars="200" w:firstLine="480"/>
              <w:jc w:val="left"/>
              <w:rPr>
                <w:rFonts w:ascii="仿宋_GB2312" w:eastAsia="仿宋_GB2312" w:hAnsi="仿宋_GB2312" w:cs="仿宋_GB2312"/>
                <w:sz w:val="24"/>
              </w:rPr>
            </w:pP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《游艇安全管理规定》</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 xml:space="preserve">第十七条　</w:t>
            </w:r>
            <w:r>
              <w:rPr>
                <w:rFonts w:ascii="仿宋_GB2312" w:eastAsia="仿宋_GB2312" w:hAnsi="仿宋_GB2312" w:cs="仿宋_GB2312" w:hint="eastAsia"/>
                <w:kern w:val="0"/>
                <w:sz w:val="24"/>
                <w:lang w:bidi="ar"/>
              </w:rPr>
              <w:t>游艇应当在其检验证书所确定的适航范围内航行。</w:t>
            </w:r>
          </w:p>
          <w:p w:rsidR="005E4B3C" w:rsidRDefault="00CC2127">
            <w:pPr>
              <w:widowControl/>
              <w:ind w:firstLineChars="200" w:firstLine="480"/>
              <w:jc w:val="left"/>
              <w:rPr>
                <w:rFonts w:ascii="仿宋_GB2312" w:eastAsia="仿宋_GB2312" w:hAnsi="仿宋_GB2312" w:cs="仿宋_GB2312"/>
                <w:sz w:val="24"/>
              </w:rPr>
            </w:pPr>
            <w:r>
              <w:rPr>
                <w:rFonts w:ascii="仿宋_GB2312" w:eastAsia="仿宋_GB2312" w:hAnsi="仿宋_GB2312" w:cs="仿宋_GB2312" w:hint="eastAsia"/>
                <w:kern w:val="0"/>
                <w:sz w:val="24"/>
                <w:lang w:bidi="ar"/>
              </w:rPr>
              <w:t>游艇所有人或者游艇俱乐部在第一次出航前，应当将游艇的航行水域向当地海事管理机构备案。游艇每一次航行时，如果航行水域超出备案范围，游艇所有人或者游艇俱乐部应当在游艇出航前向海事管理机构报告船名、航行计划、游艇操作人员或者乘员的名单、应急联系方式。</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lastRenderedPageBreak/>
              <w:t>（四）优化游艇俱乐部备案</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根据省级相关部署，做好游艇俱乐部备案试点工作，材料报送齐全后</w:t>
            </w:r>
            <w:r>
              <w:rPr>
                <w:rFonts w:ascii="仿宋_GB2312" w:eastAsia="仿宋_GB2312" w:hAnsi="仿宋_GB2312" w:cs="仿宋_GB2312" w:hint="eastAsia"/>
                <w:kern w:val="0"/>
                <w:sz w:val="24"/>
                <w:lang w:bidi="ar"/>
              </w:rPr>
              <w:t>5</w:t>
            </w:r>
            <w:r>
              <w:rPr>
                <w:rFonts w:ascii="仿宋_GB2312" w:eastAsia="仿宋_GB2312" w:hAnsi="仿宋_GB2312" w:cs="仿宋_GB2312" w:hint="eastAsia"/>
                <w:kern w:val="0"/>
                <w:sz w:val="24"/>
                <w:lang w:bidi="ar"/>
              </w:rPr>
              <w:t>个</w:t>
            </w:r>
            <w:r>
              <w:rPr>
                <w:rFonts w:ascii="仿宋_GB2312" w:eastAsia="仿宋_GB2312" w:hAnsi="仿宋_GB2312" w:cs="仿宋_GB2312" w:hint="eastAsia"/>
                <w:kern w:val="0"/>
                <w:sz w:val="24"/>
                <w:lang w:bidi="ar"/>
              </w:rPr>
              <w:t>工作日内完成备案，并做好对外公示。督促游艇俱乐部加强规范化管理，提高服务能力，鼓励引导游艇纳入俱乐部统一管理。（市交通运输局）</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（四）优化俱乐部备案。</w:t>
            </w:r>
            <w:r>
              <w:rPr>
                <w:rFonts w:ascii="仿宋_GB2312" w:eastAsia="仿宋_GB2312" w:hAnsi="仿宋_GB2312" w:cs="仿宋_GB2312" w:hint="eastAsia"/>
                <w:kern w:val="0"/>
                <w:sz w:val="24"/>
                <w:lang w:bidi="ar"/>
              </w:rPr>
              <w:t>对在江苏省注册登记的游艇俱乐部，优化备案环节、提高备案效率，鼓励引导游艇纳入俱乐部统一管理。其中，内河游艇俱乐部备案材料报送齐全后由所在设区市交通运输主管部门</w:t>
            </w:r>
            <w:r>
              <w:rPr>
                <w:rFonts w:ascii="仿宋_GB2312" w:eastAsia="仿宋_GB2312" w:hAnsi="仿宋_GB2312" w:cs="仿宋_GB2312" w:hint="eastAsia"/>
                <w:kern w:val="0"/>
                <w:sz w:val="24"/>
                <w:lang w:bidi="ar"/>
              </w:rPr>
              <w:t>5</w:t>
            </w:r>
            <w:r>
              <w:rPr>
                <w:rFonts w:ascii="仿宋_GB2312" w:eastAsia="仿宋_GB2312" w:hAnsi="仿宋_GB2312" w:cs="仿宋_GB2312" w:hint="eastAsia"/>
                <w:kern w:val="0"/>
                <w:sz w:val="24"/>
                <w:lang w:bidi="ar"/>
              </w:rPr>
              <w:t>个工作日内完成备案。</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sz w:val="24"/>
              </w:rPr>
            </w:pPr>
            <w:r>
              <w:rPr>
                <w:rFonts w:ascii="仿宋_GB2312" w:eastAsia="仿宋_GB2312" w:hAnsi="仿宋_GB2312" w:cs="仿宋_GB2312" w:hint="eastAsia"/>
                <w:b/>
                <w:bCs/>
                <w:sz w:val="24"/>
              </w:rPr>
              <w:t>《海南省游艇管理办法》（琼府〔</w:t>
            </w:r>
            <w:r>
              <w:rPr>
                <w:rFonts w:ascii="仿宋_GB2312" w:eastAsia="仿宋_GB2312" w:hAnsi="仿宋_GB2312" w:cs="仿宋_GB2312" w:hint="eastAsia"/>
                <w:b/>
                <w:bCs/>
                <w:sz w:val="24"/>
              </w:rPr>
              <w:t>2024</w:t>
            </w: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23</w:t>
            </w:r>
            <w:r>
              <w:rPr>
                <w:rFonts w:ascii="仿宋_GB2312" w:eastAsia="仿宋_GB2312" w:hAnsi="仿宋_GB2312" w:cs="仿宋_GB2312" w:hint="eastAsia"/>
                <w:b/>
                <w:bCs/>
                <w:sz w:val="24"/>
              </w:rPr>
              <w:t>号）</w:t>
            </w:r>
          </w:p>
          <w:p w:rsidR="005E4B3C" w:rsidRDefault="00CC2127">
            <w:pPr>
              <w:widowControl/>
              <w:ind w:firstLineChars="200" w:firstLine="482"/>
              <w:jc w:val="left"/>
              <w:rPr>
                <w:rFonts w:ascii="仿宋_GB2312" w:eastAsia="仿宋_GB2312" w:hAnsi="仿宋_GB2312" w:cs="仿宋_GB2312"/>
                <w:b/>
                <w:bCs/>
                <w:sz w:val="24"/>
              </w:rPr>
            </w:pPr>
            <w:r>
              <w:rPr>
                <w:rFonts w:ascii="仿宋_GB2312" w:eastAsia="仿宋_GB2312" w:hAnsi="仿宋_GB2312" w:cs="仿宋_GB2312" w:hint="eastAsia"/>
                <w:b/>
                <w:bCs/>
                <w:sz w:val="24"/>
              </w:rPr>
              <w:t>第十四条</w:t>
            </w:r>
            <w:r>
              <w:rPr>
                <w:rFonts w:ascii="仿宋_GB2312" w:eastAsia="仿宋_GB2312" w:hAnsi="仿宋_GB2312" w:cs="仿宋_GB2312" w:hint="eastAsia"/>
                <w:b/>
                <w:bCs/>
                <w:sz w:val="24"/>
              </w:rPr>
              <w:t xml:space="preserve"> </w:t>
            </w:r>
            <w:r>
              <w:rPr>
                <w:rFonts w:ascii="仿宋_GB2312" w:eastAsia="仿宋_GB2312" w:hAnsi="仿宋_GB2312" w:cs="仿宋_GB2312" w:hint="eastAsia"/>
                <w:sz w:val="24"/>
              </w:rPr>
              <w:t>游艇俱乐部依法注册后，应当向海南海事管理机构备案。涉及进出境游艇业务的，还应当向海关、出入境边防检查机关备案。</w:t>
            </w:r>
          </w:p>
          <w:p w:rsidR="005E4B3C" w:rsidRDefault="00CC2127">
            <w:pPr>
              <w:widowControl/>
              <w:ind w:firstLineChars="200" w:firstLine="482"/>
              <w:jc w:val="left"/>
              <w:rPr>
                <w:rFonts w:ascii="仿宋_GB2312" w:eastAsia="仿宋_GB2312" w:hAnsi="仿宋_GB2312" w:cs="仿宋_GB2312"/>
                <w:b/>
                <w:bCs/>
                <w:sz w:val="24"/>
              </w:rPr>
            </w:pP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广东省推动游艇产业高质量发展行动方案（</w:t>
            </w:r>
            <w:r>
              <w:rPr>
                <w:rFonts w:ascii="仿宋_GB2312" w:eastAsia="仿宋_GB2312" w:hAnsi="仿宋_GB2312" w:cs="仿宋_GB2312" w:hint="eastAsia"/>
                <w:b/>
                <w:bCs/>
                <w:sz w:val="24"/>
              </w:rPr>
              <w:t>2024</w:t>
            </w: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2027</w:t>
            </w:r>
            <w:r>
              <w:rPr>
                <w:rFonts w:ascii="仿宋_GB2312" w:eastAsia="仿宋_GB2312" w:hAnsi="仿宋_GB2312" w:cs="仿宋_GB2312" w:hint="eastAsia"/>
                <w:b/>
                <w:bCs/>
                <w:sz w:val="24"/>
              </w:rPr>
              <w:t>年）</w:t>
            </w:r>
            <w:r>
              <w:rPr>
                <w:rFonts w:ascii="仿宋_GB2312" w:eastAsia="仿宋_GB2312" w:hAnsi="仿宋_GB2312" w:cs="仿宋_GB2312" w:hint="eastAsia"/>
                <w:b/>
                <w:bCs/>
                <w:sz w:val="24"/>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t>（十四）规范游艇安全管理</w:t>
            </w:r>
            <w:r>
              <w:rPr>
                <w:rFonts w:ascii="仿宋_GB2312" w:eastAsia="仿宋_GB2312" w:hAnsi="仿宋_GB2312" w:cs="仿宋_GB2312" w:hint="eastAsia"/>
                <w:b/>
                <w:bCs/>
                <w:sz w:val="24"/>
              </w:rPr>
              <w:t xml:space="preserve"> </w:t>
            </w:r>
            <w:r>
              <w:rPr>
                <w:rFonts w:ascii="仿宋_GB2312" w:eastAsia="仿宋_GB2312" w:hAnsi="仿宋_GB2312" w:cs="仿宋_GB2312" w:hint="eastAsia"/>
                <w:sz w:val="24"/>
              </w:rPr>
              <w:t>建立游艇分级分类管理制度，落实属地责任，依法依规完善地市、县区、镇、码头（停泊点）、船主五级安全管理责任体系。明确游艇经营人安全管理职责，确保游艇适航、配备足够适任驾驶人员和通信、应急等设备。督促游艇依规配备通信设备，确保游艇航行轨迹完整、可视。加强游艇操作人员培训，提高船员专业技能水平和安全管理能力。</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t>（五）强化安全保障</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加强游艇安全综合治理，建立健全协调机制，强化多部门协同监管，守牢安全底线。督促游艇俱乐部或游艇所有人落实安全生产主体责任，为游艇配备</w:t>
            </w:r>
            <w:r>
              <w:rPr>
                <w:rFonts w:ascii="仿宋_GB2312" w:eastAsia="仿宋_GB2312" w:hAnsi="仿宋_GB2312" w:cs="仿宋_GB2312" w:hint="eastAsia"/>
                <w:kern w:val="0"/>
                <w:sz w:val="24"/>
                <w:lang w:bidi="ar"/>
              </w:rPr>
              <w:t>AIS</w:t>
            </w:r>
            <w:r>
              <w:rPr>
                <w:rFonts w:ascii="仿宋_GB2312" w:eastAsia="仿宋_GB2312" w:hAnsi="仿宋_GB2312" w:cs="仿宋_GB2312" w:hint="eastAsia"/>
                <w:kern w:val="0"/>
                <w:sz w:val="24"/>
                <w:lang w:bidi="ar"/>
              </w:rPr>
              <w:t>等通信设备，确保游艇航行轨迹完整可视。加强游艇培训机构管理，</w:t>
            </w:r>
            <w:r>
              <w:rPr>
                <w:rFonts w:ascii="仿宋_GB2312" w:eastAsia="仿宋_GB2312" w:hAnsi="仿宋_GB2312" w:cs="仿宋_GB2312" w:hint="eastAsia"/>
                <w:kern w:val="0"/>
                <w:sz w:val="24"/>
                <w:lang w:bidi="ar"/>
              </w:rPr>
              <w:lastRenderedPageBreak/>
              <w:t>提高游艇业务培训能力，提升游艇操作人员安全操作水平。依托省级游艇管理服务平台，实现游艇检验登记、开航报备、应急救助等信息互通共享，推广应用</w:t>
            </w:r>
            <w:r>
              <w:rPr>
                <w:rFonts w:ascii="仿宋_GB2312" w:eastAsia="仿宋_GB2312" w:hAnsi="仿宋_GB2312" w:cs="仿宋_GB2312" w:hint="eastAsia"/>
                <w:kern w:val="0"/>
                <w:sz w:val="24"/>
                <w:lang w:bidi="ar"/>
              </w:rPr>
              <w:t>AIS</w:t>
            </w:r>
            <w:r>
              <w:rPr>
                <w:rFonts w:ascii="仿宋_GB2312" w:eastAsia="仿宋_GB2312" w:hAnsi="仿宋_GB2312" w:cs="仿宋_GB2312" w:hint="eastAsia"/>
                <w:kern w:val="0"/>
                <w:sz w:val="24"/>
                <w:lang w:bidi="ar"/>
              </w:rPr>
              <w:t>虚拟航标，设置电子围栏，推动游艇监管服务一体化。加密气象观测点，形成精准时段、精准区域的气象播报公共服务。（市各有关部门，相关县级市（区）人民政府按职</w:t>
            </w:r>
            <w:r>
              <w:rPr>
                <w:rFonts w:ascii="仿宋_GB2312" w:eastAsia="仿宋_GB2312" w:hAnsi="仿宋_GB2312" w:cs="仿宋_GB2312" w:hint="eastAsia"/>
                <w:kern w:val="0"/>
                <w:sz w:val="24"/>
                <w:lang w:bidi="ar"/>
              </w:rPr>
              <w:t>责分工负责）</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（五）强化安全保障。</w:t>
            </w:r>
            <w:r>
              <w:rPr>
                <w:rFonts w:ascii="仿宋_GB2312" w:eastAsia="仿宋_GB2312" w:hAnsi="仿宋_GB2312" w:cs="仿宋_GB2312" w:hint="eastAsia"/>
                <w:kern w:val="0"/>
                <w:sz w:val="24"/>
                <w:lang w:bidi="ar"/>
              </w:rPr>
              <w:t>加强游艇安全综合治理，建立健全协调机制，强化多部门协同监管，守牢安全底线。交通运输主管部门、海事管理机构要督促游艇俱乐部落实安全生</w:t>
            </w:r>
            <w:r>
              <w:rPr>
                <w:rFonts w:ascii="仿宋_GB2312" w:eastAsia="仿宋_GB2312" w:hAnsi="仿宋_GB2312" w:cs="仿宋_GB2312" w:hint="eastAsia"/>
                <w:kern w:val="0"/>
                <w:sz w:val="24"/>
                <w:lang w:bidi="ar"/>
              </w:rPr>
              <w:lastRenderedPageBreak/>
              <w:t>产主体责任，提升俱乐部安全管理能力；督促游艇所有人依规为游艇配备</w:t>
            </w:r>
            <w:r>
              <w:rPr>
                <w:rFonts w:ascii="仿宋_GB2312" w:eastAsia="仿宋_GB2312" w:hAnsi="仿宋_GB2312" w:cs="仿宋_GB2312" w:hint="eastAsia"/>
                <w:kern w:val="0"/>
                <w:sz w:val="24"/>
                <w:lang w:bidi="ar"/>
              </w:rPr>
              <w:t>AIS</w:t>
            </w:r>
            <w:r>
              <w:rPr>
                <w:rFonts w:ascii="仿宋_GB2312" w:eastAsia="仿宋_GB2312" w:hAnsi="仿宋_GB2312" w:cs="仿宋_GB2312" w:hint="eastAsia"/>
                <w:kern w:val="0"/>
                <w:sz w:val="24"/>
                <w:lang w:bidi="ar"/>
              </w:rPr>
              <w:t>等通信设备，确保游艇航行轨迹完整、可视。加强游艇培训机构建设和管理，强化游艇业务培训，提升游艇操作人员安全操作水平。落实生态环保相关要求，注重保护生态安全。</w:t>
            </w:r>
          </w:p>
          <w:p w:rsidR="005E4B3C" w:rsidRDefault="005E4B3C">
            <w:pPr>
              <w:widowControl/>
              <w:jc w:val="left"/>
              <w:rPr>
                <w:rFonts w:ascii="仿宋_GB2312" w:eastAsia="仿宋_GB2312" w:hAnsi="仿宋_GB2312" w:cs="仿宋_GB2312"/>
                <w:sz w:val="24"/>
              </w:rPr>
            </w:pP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《海南省游艇管理办法》</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t>第七条</w:t>
            </w:r>
            <w:r>
              <w:rPr>
                <w:rFonts w:ascii="仿宋_GB2312" w:eastAsia="仿宋_GB2312" w:hAnsi="仿宋_GB2312" w:cs="仿宋_GB2312" w:hint="eastAsia"/>
                <w:sz w:val="24"/>
              </w:rPr>
              <w:t>“游艇码头经营人应当建立健全安全生产责任制度、安全生产规章制度，制定操作规程以及应急预案，配备安全生产管理人员和安全检查人员，对从业人员进行安全生产教育、培训并如实记录相关情况，确</w:t>
            </w:r>
            <w:r>
              <w:rPr>
                <w:rFonts w:ascii="仿宋_GB2312" w:eastAsia="仿宋_GB2312" w:hAnsi="仿宋_GB2312" w:cs="仿宋_GB2312" w:hint="eastAsia"/>
                <w:sz w:val="24"/>
              </w:rPr>
              <w:lastRenderedPageBreak/>
              <w:t>保安全生产。”</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t>《游艇安全管理规定》</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t>第二十五条</w:t>
            </w:r>
            <w:r>
              <w:rPr>
                <w:rFonts w:ascii="仿宋_GB2312" w:eastAsia="仿宋_GB2312" w:hAnsi="仿宋_GB2312" w:cs="仿宋_GB2312" w:hint="eastAsia"/>
                <w:sz w:val="24"/>
              </w:rPr>
              <w:t xml:space="preserve">　游艇的安全和防污染由游艇所有人负责。游艇所有人应当负责游艇的日常安全管理和维护保养，确保游艇处于良好的安全、技术状态，保证游艇航行、停泊以及游艇上人员的安全。委托游艇俱乐部保管的游艇，游艇所有人应当与游艇俱乐部签订协议，明确双方在游艇航行、停泊安全以及游艇的日常维护、保养及安全与防</w:t>
            </w:r>
            <w:r>
              <w:rPr>
                <w:rFonts w:ascii="仿宋_GB2312" w:eastAsia="仿宋_GB2312" w:hAnsi="仿宋_GB2312" w:cs="仿宋_GB2312" w:hint="eastAsia"/>
                <w:sz w:val="24"/>
              </w:rPr>
              <w:t>污染管理方面的责任。游艇俱乐部应当按照海事管理机构的规定及其与游艇所有人的约定，承担游艇的安全和防污染责任。</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lastRenderedPageBreak/>
              <w:t>（六）探索开展游艇租赁</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根据省级相关文件要求，支持符合条件的游艇俱乐部率先开展游艇的租赁业务试点，允许游艇俱乐部以整船租赁的方式向承租人提供游艇和驾驶劳务服务，持续提振游艇大众化消费。（市交通运输局牵头，相关县级市（区）人民政府按职责分工负责）</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（七）探索开展游艇租赁。</w:t>
            </w:r>
            <w:r>
              <w:rPr>
                <w:rFonts w:ascii="仿宋_GB2312" w:eastAsia="仿宋_GB2312" w:hAnsi="仿宋_GB2312" w:cs="仿宋_GB2312" w:hint="eastAsia"/>
                <w:kern w:val="0"/>
                <w:sz w:val="24"/>
                <w:lang w:bidi="ar"/>
              </w:rPr>
              <w:t>推进以游艇俱乐部为主体开展</w:t>
            </w:r>
            <w:r>
              <w:rPr>
                <w:rFonts w:ascii="仿宋_GB2312" w:eastAsia="仿宋_GB2312" w:hAnsi="仿宋_GB2312" w:cs="仿宋_GB2312" w:hint="eastAsia"/>
                <w:kern w:val="0"/>
                <w:sz w:val="24"/>
                <w:lang w:bidi="ar"/>
              </w:rPr>
              <w:t>12</w:t>
            </w:r>
            <w:r>
              <w:rPr>
                <w:rFonts w:ascii="仿宋_GB2312" w:eastAsia="仿宋_GB2312" w:hAnsi="仿宋_GB2312" w:cs="仿宋_GB2312" w:hint="eastAsia"/>
                <w:kern w:val="0"/>
                <w:sz w:val="24"/>
                <w:lang w:bidi="ar"/>
              </w:rPr>
              <w:t>人及以下的游艇租赁试点，允许游艇俱乐部以租赁方式向承租人提供游艇和驾驶劳务服务，促进游艇消费大众化。</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sz w:val="24"/>
              </w:rPr>
            </w:pP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海南省游艇租赁管理办法（试行）实施细则</w:t>
            </w:r>
            <w:r>
              <w:rPr>
                <w:rFonts w:ascii="仿宋_GB2312" w:eastAsia="仿宋_GB2312" w:hAnsi="仿宋_GB2312" w:cs="仿宋_GB2312" w:hint="eastAsia"/>
                <w:b/>
                <w:bCs/>
                <w:sz w:val="24"/>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t>第三条</w:t>
            </w:r>
            <w:r>
              <w:rPr>
                <w:rFonts w:ascii="仿宋_GB2312" w:eastAsia="仿宋_GB2312" w:hAnsi="仿宋_GB2312" w:cs="仿宋_GB2312" w:hint="eastAsia"/>
                <w:b/>
                <w:bCs/>
                <w:sz w:val="24"/>
              </w:rPr>
              <w:t xml:space="preserve"> </w:t>
            </w:r>
            <w:r>
              <w:rPr>
                <w:rFonts w:ascii="仿宋_GB2312" w:eastAsia="仿宋_GB2312" w:hAnsi="仿宋_GB2312" w:cs="仿宋_GB2312" w:hint="eastAsia"/>
                <w:sz w:val="24"/>
              </w:rPr>
              <w:t>本办法所称游艇租赁，是指以游览观光、休闲娱乐、商务等活动为目的，由游艇租赁业务经营人以整船租赁方式，并向承租人提供游艇和驾驶劳务服务的一种租赁活动。</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t>（七）完善游艇租赁管理</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落实省级相关部门关于商事登记、行为规范、租赁合同、</w:t>
            </w:r>
            <w:r>
              <w:rPr>
                <w:rFonts w:ascii="仿宋_GB2312" w:eastAsia="仿宋_GB2312" w:hAnsi="仿宋_GB2312" w:cs="仿宋_GB2312" w:hint="eastAsia"/>
                <w:kern w:val="0"/>
                <w:sz w:val="24"/>
                <w:lang w:bidi="ar"/>
              </w:rPr>
              <w:lastRenderedPageBreak/>
              <w:t>安全责任等核心要求，规范游艇租赁行为，保障水上交通安全。内河游艇租赁经营由市交通运输主管部门将游艇租赁业务经营人及租赁游艇相关信息进行建档管理，区县交通运输主管部门负责实施事中事后监管。（市交通运输局、市市场监管局，相关县级市（区）人民政府按职责分工负责）</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lastRenderedPageBreak/>
              <w:t xml:space="preserve">    </w:t>
            </w:r>
            <w:r>
              <w:rPr>
                <w:rFonts w:ascii="仿宋_GB2312" w:eastAsia="仿宋_GB2312" w:hAnsi="仿宋_GB2312" w:cs="仿宋_GB2312" w:hint="eastAsia"/>
                <w:b/>
                <w:bCs/>
                <w:kern w:val="0"/>
                <w:sz w:val="24"/>
                <w:lang w:bidi="ar"/>
              </w:rPr>
              <w:t>（八）完善游艇租赁管理。</w:t>
            </w:r>
            <w:r>
              <w:rPr>
                <w:rFonts w:ascii="仿宋_GB2312" w:eastAsia="仿宋_GB2312" w:hAnsi="仿宋_GB2312" w:cs="仿宋_GB2312" w:hint="eastAsia"/>
                <w:kern w:val="0"/>
                <w:sz w:val="24"/>
                <w:lang w:bidi="ar"/>
              </w:rPr>
              <w:t>探索建立覆盖游艇租赁业务全链条的管理体系，明确租赁商事登记、行为规范、租赁合同、安全责任等核心内容，规范游艇</w:t>
            </w:r>
            <w:r>
              <w:rPr>
                <w:rFonts w:ascii="仿宋_GB2312" w:eastAsia="仿宋_GB2312" w:hAnsi="仿宋_GB2312" w:cs="仿宋_GB2312" w:hint="eastAsia"/>
                <w:kern w:val="0"/>
                <w:sz w:val="24"/>
                <w:lang w:bidi="ar"/>
              </w:rPr>
              <w:t>租赁行为，保障水上交通安全。设区市交通运输主管部门负责将游艇租赁业务经营人及租赁游艇相关信息进行建档管理，同时将游艇租赁信息推送所在地直属海事管理机构。</w:t>
            </w:r>
          </w:p>
          <w:p w:rsidR="005E4B3C" w:rsidRDefault="005E4B3C">
            <w:pPr>
              <w:widowControl/>
              <w:jc w:val="left"/>
              <w:rPr>
                <w:rFonts w:ascii="仿宋_GB2312" w:eastAsia="仿宋_GB2312" w:hAnsi="仿宋_GB2312" w:cs="仿宋_GB2312"/>
                <w:sz w:val="24"/>
              </w:rPr>
            </w:pP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《海南省游艇管理办法》（琼府〔</w:t>
            </w:r>
            <w:r>
              <w:rPr>
                <w:rFonts w:ascii="仿宋_GB2312" w:eastAsia="仿宋_GB2312" w:hAnsi="仿宋_GB2312" w:cs="仿宋_GB2312" w:hint="eastAsia"/>
                <w:b/>
                <w:bCs/>
                <w:sz w:val="24"/>
              </w:rPr>
              <w:t>2024</w:t>
            </w: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23</w:t>
            </w:r>
            <w:r>
              <w:rPr>
                <w:rFonts w:ascii="仿宋_GB2312" w:eastAsia="仿宋_GB2312" w:hAnsi="仿宋_GB2312" w:cs="仿宋_GB2312" w:hint="eastAsia"/>
                <w:b/>
                <w:bCs/>
                <w:sz w:val="24"/>
              </w:rPr>
              <w:t>号）</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lastRenderedPageBreak/>
              <w:t>第十六条</w:t>
            </w:r>
            <w:r>
              <w:rPr>
                <w:rFonts w:ascii="仿宋_GB2312" w:eastAsia="仿宋_GB2312" w:hAnsi="仿宋_GB2312" w:cs="仿宋_GB2312" w:hint="eastAsia"/>
                <w:b/>
                <w:bCs/>
                <w:sz w:val="24"/>
              </w:rPr>
              <w:t xml:space="preserve">  </w:t>
            </w:r>
            <w:r>
              <w:rPr>
                <w:rFonts w:ascii="仿宋_GB2312" w:eastAsia="仿宋_GB2312" w:hAnsi="仿宋_GB2312" w:cs="仿宋_GB2312" w:hint="eastAsia"/>
                <w:sz w:val="24"/>
              </w:rPr>
              <w:t>从事租赁业务的申请人应当持以下材料向游艇租赁业务经营场所所在地市、县、自治县交通运输行政主管部门备案，并对材料真实性、合法性、完整性和有效性承担相应的法律责任：</w:t>
            </w:r>
            <w:r>
              <w:rPr>
                <w:rFonts w:ascii="仿宋_GB2312" w:eastAsia="仿宋_GB2312" w:hAnsi="仿宋_GB2312" w:cs="仿宋_GB2312" w:hint="eastAsia"/>
                <w:sz w:val="24"/>
              </w:rPr>
              <w:t>(</w:t>
            </w:r>
            <w:r>
              <w:rPr>
                <w:rFonts w:ascii="仿宋_GB2312" w:eastAsia="仿宋_GB2312" w:hAnsi="仿宋_GB2312" w:cs="仿宋_GB2312" w:hint="eastAsia"/>
                <w:sz w:val="24"/>
              </w:rPr>
              <w:t>一</w:t>
            </w:r>
            <w:r>
              <w:rPr>
                <w:rFonts w:ascii="仿宋_GB2312" w:eastAsia="仿宋_GB2312" w:hAnsi="仿宋_GB2312" w:cs="仿宋_GB2312" w:hint="eastAsia"/>
                <w:sz w:val="24"/>
              </w:rPr>
              <w:t>)</w:t>
            </w:r>
            <w:r>
              <w:rPr>
                <w:rFonts w:ascii="仿宋_GB2312" w:eastAsia="仿宋_GB2312" w:hAnsi="仿宋_GB2312" w:cs="仿宋_GB2312" w:hint="eastAsia"/>
                <w:sz w:val="24"/>
              </w:rPr>
              <w:t>《营业执照》</w:t>
            </w:r>
            <w:r>
              <w:rPr>
                <w:rFonts w:ascii="仿宋_GB2312" w:eastAsia="仿宋_GB2312" w:hAnsi="仿宋_GB2312" w:cs="仿宋_GB2312" w:hint="eastAsia"/>
                <w:sz w:val="24"/>
              </w:rPr>
              <w:t>;</w:t>
            </w:r>
          </w:p>
          <w:p w:rsidR="005E4B3C" w:rsidRDefault="00CC2127">
            <w:pPr>
              <w:widowControl/>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二</w:t>
            </w:r>
            <w:r>
              <w:rPr>
                <w:rFonts w:ascii="仿宋_GB2312" w:eastAsia="仿宋_GB2312" w:hAnsi="仿宋_GB2312" w:cs="仿宋_GB2312" w:hint="eastAsia"/>
                <w:sz w:val="24"/>
              </w:rPr>
              <w:t>)</w:t>
            </w:r>
            <w:r>
              <w:rPr>
                <w:rFonts w:ascii="仿宋_GB2312" w:eastAsia="仿宋_GB2312" w:hAnsi="仿宋_GB2312" w:cs="仿宋_GB2312" w:hint="eastAsia"/>
                <w:sz w:val="24"/>
              </w:rPr>
              <w:t>企业安全和防污染管理制度或者与游艇俱乐部签订的委托协议和游艇俱乐部备案材料等安全和防污染能力的证明材料</w:t>
            </w:r>
            <w:r>
              <w:rPr>
                <w:rFonts w:ascii="仿宋_GB2312" w:eastAsia="仿宋_GB2312" w:hAnsi="仿宋_GB2312" w:cs="仿宋_GB2312" w:hint="eastAsia"/>
                <w:sz w:val="24"/>
              </w:rPr>
              <w:t>;(</w:t>
            </w:r>
            <w:r>
              <w:rPr>
                <w:rFonts w:ascii="仿宋_GB2312" w:eastAsia="仿宋_GB2312" w:hAnsi="仿宋_GB2312" w:cs="仿宋_GB2312" w:hint="eastAsia"/>
                <w:sz w:val="24"/>
              </w:rPr>
              <w:t>三</w:t>
            </w:r>
            <w:r>
              <w:rPr>
                <w:rFonts w:ascii="仿宋_GB2312" w:eastAsia="仿宋_GB2312" w:hAnsi="仿宋_GB2312" w:cs="仿宋_GB2312" w:hint="eastAsia"/>
                <w:sz w:val="24"/>
              </w:rPr>
              <w:t>)</w:t>
            </w:r>
            <w:r>
              <w:rPr>
                <w:rFonts w:ascii="仿宋_GB2312" w:eastAsia="仿宋_GB2312" w:hAnsi="仿宋_GB2312" w:cs="仿宋_GB2312" w:hint="eastAsia"/>
                <w:sz w:val="24"/>
              </w:rPr>
              <w:t>至少</w:t>
            </w:r>
            <w:r>
              <w:rPr>
                <w:rFonts w:ascii="仿宋_GB2312" w:eastAsia="仿宋_GB2312" w:hAnsi="仿宋_GB2312" w:cs="仿宋_GB2312" w:hint="eastAsia"/>
                <w:sz w:val="24"/>
              </w:rPr>
              <w:t>1</w:t>
            </w:r>
            <w:r>
              <w:rPr>
                <w:rFonts w:ascii="仿宋_GB2312" w:eastAsia="仿宋_GB2312" w:hAnsi="仿宋_GB2312" w:cs="仿宋_GB2312" w:hint="eastAsia"/>
                <w:sz w:val="24"/>
              </w:rPr>
              <w:t>艘与从事游艇租赁业务相适应的自有游艇登记证书、游艇适航证书或者适航性证明文件和符合租赁游艇检验标准的检验证明或者入级证书</w:t>
            </w:r>
            <w:r>
              <w:rPr>
                <w:rFonts w:ascii="仿宋_GB2312" w:eastAsia="仿宋_GB2312" w:hAnsi="仿宋_GB2312" w:cs="仿宋_GB2312" w:hint="eastAsia"/>
                <w:sz w:val="24"/>
              </w:rPr>
              <w:t>(</w:t>
            </w:r>
            <w:r>
              <w:rPr>
                <w:rFonts w:ascii="仿宋_GB2312" w:eastAsia="仿宋_GB2312" w:hAnsi="仿宋_GB2312" w:cs="仿宋_GB2312" w:hint="eastAsia"/>
                <w:sz w:val="24"/>
              </w:rPr>
              <w:t>租赁游艇</w:t>
            </w:r>
            <w:r>
              <w:rPr>
                <w:rFonts w:ascii="仿宋_GB2312" w:eastAsia="仿宋_GB2312" w:hAnsi="仿宋_GB2312" w:cs="仿宋_GB2312" w:hint="eastAsia"/>
                <w:sz w:val="24"/>
              </w:rPr>
              <w:t>);(</w:t>
            </w:r>
            <w:r>
              <w:rPr>
                <w:rFonts w:ascii="仿宋_GB2312" w:eastAsia="仿宋_GB2312" w:hAnsi="仿宋_GB2312" w:cs="仿宋_GB2312" w:hint="eastAsia"/>
                <w:sz w:val="24"/>
              </w:rPr>
              <w:t>四</w:t>
            </w:r>
            <w:r>
              <w:rPr>
                <w:rFonts w:ascii="仿宋_GB2312" w:eastAsia="仿宋_GB2312" w:hAnsi="仿宋_GB2312" w:cs="仿宋_GB2312" w:hint="eastAsia"/>
                <w:sz w:val="24"/>
              </w:rPr>
              <w:t>)</w:t>
            </w:r>
            <w:r>
              <w:rPr>
                <w:rFonts w:ascii="仿宋_GB2312" w:eastAsia="仿宋_GB2312" w:hAnsi="仿宋_GB2312" w:cs="仿宋_GB2312" w:hint="eastAsia"/>
                <w:sz w:val="24"/>
              </w:rPr>
              <w:t>与从事游艇租赁业务相适应的专职安全管理人员</w:t>
            </w:r>
            <w:r>
              <w:rPr>
                <w:rFonts w:ascii="仿宋_GB2312" w:eastAsia="仿宋_GB2312" w:hAnsi="仿宋_GB2312" w:cs="仿宋_GB2312" w:hint="eastAsia"/>
                <w:sz w:val="24"/>
              </w:rPr>
              <w:t>(</w:t>
            </w:r>
            <w:r>
              <w:rPr>
                <w:rFonts w:ascii="仿宋_GB2312" w:eastAsia="仿宋_GB2312" w:hAnsi="仿宋_GB2312" w:cs="仿宋_GB2312" w:hint="eastAsia"/>
                <w:sz w:val="24"/>
              </w:rPr>
              <w:t>至少配备</w:t>
            </w:r>
            <w:r>
              <w:rPr>
                <w:rFonts w:ascii="仿宋_GB2312" w:eastAsia="仿宋_GB2312" w:hAnsi="仿宋_GB2312" w:cs="仿宋_GB2312" w:hint="eastAsia"/>
                <w:sz w:val="24"/>
              </w:rPr>
              <w:t>1</w:t>
            </w:r>
            <w:r>
              <w:rPr>
                <w:rFonts w:ascii="仿宋_GB2312" w:eastAsia="仿宋_GB2312" w:hAnsi="仿宋_GB2312" w:cs="仿宋_GB2312" w:hint="eastAsia"/>
                <w:sz w:val="24"/>
              </w:rPr>
              <w:t>名游艇安全管理人员，超过</w:t>
            </w:r>
            <w:r>
              <w:rPr>
                <w:rFonts w:ascii="仿宋_GB2312" w:eastAsia="仿宋_GB2312" w:hAnsi="仿宋_GB2312" w:cs="仿宋_GB2312" w:hint="eastAsia"/>
                <w:sz w:val="24"/>
              </w:rPr>
              <w:t>10</w:t>
            </w:r>
            <w:r>
              <w:rPr>
                <w:rFonts w:ascii="仿宋_GB2312" w:eastAsia="仿宋_GB2312" w:hAnsi="仿宋_GB2312" w:cs="仿宋_GB2312" w:hint="eastAsia"/>
                <w:sz w:val="24"/>
              </w:rPr>
              <w:t>艘的，每增加</w:t>
            </w:r>
            <w:r>
              <w:rPr>
                <w:rFonts w:ascii="仿宋_GB2312" w:eastAsia="仿宋_GB2312" w:hAnsi="仿宋_GB2312" w:cs="仿宋_GB2312" w:hint="eastAsia"/>
                <w:sz w:val="24"/>
              </w:rPr>
              <w:t>10</w:t>
            </w:r>
            <w:r>
              <w:rPr>
                <w:rFonts w:ascii="仿宋_GB2312" w:eastAsia="仿宋_GB2312" w:hAnsi="仿宋_GB2312" w:cs="仿宋_GB2312" w:hint="eastAsia"/>
                <w:sz w:val="24"/>
              </w:rPr>
              <w:t>艘增加</w:t>
            </w:r>
            <w:r>
              <w:rPr>
                <w:rFonts w:ascii="仿宋_GB2312" w:eastAsia="仿宋_GB2312" w:hAnsi="仿宋_GB2312" w:cs="仿宋_GB2312" w:hint="eastAsia"/>
                <w:sz w:val="24"/>
              </w:rPr>
              <w:t>1</w:t>
            </w:r>
            <w:r>
              <w:rPr>
                <w:rFonts w:ascii="仿宋_GB2312" w:eastAsia="仿宋_GB2312" w:hAnsi="仿宋_GB2312" w:cs="仿宋_GB2312" w:hint="eastAsia"/>
                <w:sz w:val="24"/>
              </w:rPr>
              <w:t>人，不足</w:t>
            </w:r>
            <w:r>
              <w:rPr>
                <w:rFonts w:ascii="仿宋_GB2312" w:eastAsia="仿宋_GB2312" w:hAnsi="仿宋_GB2312" w:cs="仿宋_GB2312" w:hint="eastAsia"/>
                <w:sz w:val="24"/>
              </w:rPr>
              <w:t>10</w:t>
            </w:r>
            <w:r>
              <w:rPr>
                <w:rFonts w:ascii="仿宋_GB2312" w:eastAsia="仿宋_GB2312" w:hAnsi="仿宋_GB2312" w:cs="仿宋_GB2312" w:hint="eastAsia"/>
                <w:sz w:val="24"/>
              </w:rPr>
              <w:t>艘按</w:t>
            </w:r>
            <w:r>
              <w:rPr>
                <w:rFonts w:ascii="仿宋_GB2312" w:eastAsia="仿宋_GB2312" w:hAnsi="仿宋_GB2312" w:cs="仿宋_GB2312" w:hint="eastAsia"/>
                <w:sz w:val="24"/>
              </w:rPr>
              <w:t>10</w:t>
            </w:r>
            <w:r>
              <w:rPr>
                <w:rFonts w:ascii="仿宋_GB2312" w:eastAsia="仿宋_GB2312" w:hAnsi="仿宋_GB2312" w:cs="仿宋_GB2312" w:hint="eastAsia"/>
                <w:sz w:val="24"/>
              </w:rPr>
              <w:t>艘计</w:t>
            </w:r>
            <w:r>
              <w:rPr>
                <w:rFonts w:ascii="仿宋_GB2312" w:eastAsia="仿宋_GB2312" w:hAnsi="仿宋_GB2312" w:cs="仿宋_GB2312" w:hint="eastAsia"/>
                <w:sz w:val="24"/>
              </w:rPr>
              <w:t>)</w:t>
            </w:r>
            <w:r>
              <w:rPr>
                <w:rFonts w:ascii="仿宋_GB2312" w:eastAsia="仿宋_GB2312" w:hAnsi="仿宋_GB2312" w:cs="仿宋_GB2312" w:hint="eastAsia"/>
                <w:sz w:val="24"/>
              </w:rPr>
              <w:t>任命书、适任证书，海南自由贸易港游艇驾驶员证书，或者游艇操作人员适任证书且持有海南自由贸易港租赁游艇操作人员特殊培训合</w:t>
            </w:r>
            <w:r>
              <w:rPr>
                <w:rFonts w:ascii="仿宋_GB2312" w:eastAsia="仿宋_GB2312" w:hAnsi="仿宋_GB2312" w:cs="仿宋_GB2312" w:hint="eastAsia"/>
                <w:sz w:val="24"/>
              </w:rPr>
              <w:t>格证明，以及上述人员的劳动合同。</w:t>
            </w:r>
            <w:r>
              <w:rPr>
                <w:rFonts w:ascii="仿宋_GB2312" w:eastAsia="仿宋_GB2312" w:hAnsi="仿宋_GB2312" w:cs="仿宋_GB2312" w:hint="eastAsia"/>
                <w:sz w:val="24"/>
              </w:rPr>
              <w:t>(</w:t>
            </w:r>
            <w:r>
              <w:rPr>
                <w:rFonts w:ascii="仿宋_GB2312" w:eastAsia="仿宋_GB2312" w:hAnsi="仿宋_GB2312" w:cs="仿宋_GB2312" w:hint="eastAsia"/>
                <w:sz w:val="24"/>
              </w:rPr>
              <w:t>五</w:t>
            </w:r>
            <w:r>
              <w:rPr>
                <w:rFonts w:ascii="仿宋_GB2312" w:eastAsia="仿宋_GB2312" w:hAnsi="仿宋_GB2312" w:cs="仿宋_GB2312" w:hint="eastAsia"/>
                <w:sz w:val="24"/>
              </w:rPr>
              <w:t>)</w:t>
            </w:r>
            <w:r>
              <w:rPr>
                <w:rFonts w:ascii="仿宋_GB2312" w:eastAsia="仿宋_GB2312" w:hAnsi="仿宋_GB2312" w:cs="仿宋_GB2312" w:hint="eastAsia"/>
                <w:sz w:val="24"/>
              </w:rPr>
              <w:t>申请人租用游艇泊位从事租赁业务的，应当提供与游艇码头经营人签订的有效租赁协议。</w:t>
            </w:r>
          </w:p>
          <w:p w:rsidR="005E4B3C" w:rsidRDefault="00CC2127">
            <w:pPr>
              <w:widowControl/>
              <w:ind w:firstLineChars="200" w:firstLine="482"/>
              <w:jc w:val="left"/>
              <w:rPr>
                <w:rFonts w:ascii="仿宋_GB2312" w:eastAsia="仿宋_GB2312" w:hAnsi="仿宋_GB2312" w:cs="仿宋_GB2312"/>
                <w:b/>
                <w:bCs/>
                <w:sz w:val="24"/>
              </w:rPr>
            </w:pP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广东省推动游艇产业高质量发展行动方案（</w:t>
            </w:r>
            <w:r>
              <w:rPr>
                <w:rFonts w:ascii="仿宋_GB2312" w:eastAsia="仿宋_GB2312" w:hAnsi="仿宋_GB2312" w:cs="仿宋_GB2312" w:hint="eastAsia"/>
                <w:b/>
                <w:bCs/>
                <w:sz w:val="24"/>
              </w:rPr>
              <w:t>2024</w:t>
            </w: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2027</w:t>
            </w:r>
            <w:r>
              <w:rPr>
                <w:rFonts w:ascii="仿宋_GB2312" w:eastAsia="仿宋_GB2312" w:hAnsi="仿宋_GB2312" w:cs="仿宋_GB2312" w:hint="eastAsia"/>
                <w:b/>
                <w:bCs/>
                <w:sz w:val="24"/>
              </w:rPr>
              <w:t>年）</w:t>
            </w:r>
            <w:r>
              <w:rPr>
                <w:rFonts w:ascii="仿宋_GB2312" w:eastAsia="仿宋_GB2312" w:hAnsi="仿宋_GB2312" w:cs="仿宋_GB2312" w:hint="eastAsia"/>
                <w:b/>
                <w:bCs/>
                <w:sz w:val="24"/>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lastRenderedPageBreak/>
              <w:t>（九）规范游艇租赁市场秩序。</w:t>
            </w:r>
            <w:r>
              <w:rPr>
                <w:rFonts w:ascii="仿宋_GB2312" w:eastAsia="仿宋_GB2312" w:hAnsi="仿宋_GB2312" w:cs="仿宋_GB2312" w:hint="eastAsia"/>
                <w:sz w:val="24"/>
              </w:rPr>
              <w:t>研究出台广东省游艇租赁管理办法及其实施细则等规定，加强游艇租赁运营管理。完善租赁游艇检验、游艇操作人员培训等配套制度，提高租赁游艇安全运营质量，降低游艇载客风险。</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t>（十）探索游艇租赁试点。</w:t>
            </w:r>
            <w:r>
              <w:rPr>
                <w:rFonts w:ascii="仿宋_GB2312" w:eastAsia="仿宋_GB2312" w:hAnsi="仿宋_GB2312" w:cs="仿宋_GB2312" w:hint="eastAsia"/>
                <w:sz w:val="24"/>
              </w:rPr>
              <w:t>鼓励有条件的地市积极探索建设游艇租赁试点，打造一批适合大众消费的游艇租赁示范项目。鼓励游艇俱乐部提高管理能力，增</w:t>
            </w:r>
            <w:r>
              <w:rPr>
                <w:rFonts w:ascii="仿宋_GB2312" w:eastAsia="仿宋_GB2312" w:hAnsi="仿宋_GB2312" w:cs="仿宋_GB2312" w:hint="eastAsia"/>
                <w:sz w:val="24"/>
              </w:rPr>
              <w:t>强软硬件实力，创新经营模式，扩大客群范围，提升游艇服务企业综合服务水平。</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lastRenderedPageBreak/>
              <w:t>（八）开发游艇旅游产品</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以满足游艇消费大众化发展为主导，先行在适宜水域，打造生态观光、休闲度假、水上运动等适合游艇游玩的特色旅游产品，提升游艇旅游体验。加大游艇文化宣传，开展游艇科普讲座、游艇试乘体验、游艇安全试驾等活动，以沉浸式、多样化、低门槛的参与方式，提升公众参与热情与积极性，促进扩大消费群体。（市文广旅局牵头，市交通运输局、市水务局、市体育局、相关县级市（区）人民政府按职责分工负责）</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t>（九）开发游艇旅游产品。</w:t>
            </w:r>
            <w:r>
              <w:rPr>
                <w:rFonts w:ascii="仿宋_GB2312" w:eastAsia="仿宋_GB2312" w:hAnsi="仿宋_GB2312" w:cs="仿宋_GB2312" w:hint="eastAsia"/>
                <w:sz w:val="24"/>
              </w:rPr>
              <w:t>以满足游艇消费大众化需求为导向，先行在具备游艇活动条件的水域，精心打造生态观光、休闲度假、水上运动等适合游艇游玩的特色旅游产品，提升游艇旅游体验；探索开发沿海水域游览观光、体育运动等文体旅游产品，同步优化服务保障措施。加强游艇文化宣传，开展游艇科普讲座、游艇试乘体验、游艇安全试驾等活动，以沉浸式、多样化、低门槛的</w:t>
            </w:r>
            <w:r>
              <w:rPr>
                <w:rFonts w:ascii="仿宋_GB2312" w:eastAsia="仿宋_GB2312" w:hAnsi="仿宋_GB2312" w:cs="仿宋_GB2312" w:hint="eastAsia"/>
                <w:sz w:val="24"/>
              </w:rPr>
              <w:lastRenderedPageBreak/>
              <w:t>参与方式，提升公众参与热情和积极性，扩大游艇消费群体。</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国务院办公厅关于印发《加快培育服务消费新增长点工作方案》的通知（国办发〔</w:t>
            </w:r>
            <w:r>
              <w:rPr>
                <w:rFonts w:ascii="仿宋_GB2312" w:eastAsia="仿宋_GB2312" w:hAnsi="仿宋_GB2312" w:cs="仿宋_GB2312" w:hint="eastAsia"/>
                <w:b/>
                <w:bCs/>
                <w:sz w:val="24"/>
              </w:rPr>
              <w:t>2026</w:t>
            </w: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2</w:t>
            </w:r>
            <w:r>
              <w:rPr>
                <w:rFonts w:ascii="仿宋_GB2312" w:eastAsia="仿宋_GB2312" w:hAnsi="仿宋_GB2312" w:cs="仿宋_GB2312" w:hint="eastAsia"/>
                <w:b/>
                <w:bCs/>
                <w:sz w:val="24"/>
              </w:rPr>
              <w:t>号）</w:t>
            </w:r>
          </w:p>
          <w:p w:rsidR="005E4B3C" w:rsidRDefault="00CC2127">
            <w:pPr>
              <w:widowControl/>
              <w:numPr>
                <w:ilvl w:val="0"/>
                <w:numId w:val="1"/>
              </w:numPr>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t>交通服务</w:t>
            </w:r>
            <w:r>
              <w:rPr>
                <w:rFonts w:ascii="仿宋_GB2312" w:eastAsia="仿宋_GB2312" w:hAnsi="仿宋_GB2312" w:cs="仿宋_GB2312" w:hint="eastAsia"/>
                <w:sz w:val="24"/>
              </w:rPr>
              <w:t>。促进游艇消费高质量发展，修订游艇安全管理规定等相关规章制度，保障游艇业健康发展，加强公共码头和泊位等游艇基础设施和配套服务保障。依托中国国际消费品博览会等打造游艇展示交易平台，支持有条件的地方创新推出一批游艇消费场景。</w:t>
            </w:r>
          </w:p>
          <w:p w:rsidR="005E4B3C" w:rsidRDefault="00CC2127">
            <w:pPr>
              <w:widowControl/>
              <w:ind w:firstLineChars="200" w:firstLine="482"/>
              <w:jc w:val="left"/>
              <w:rPr>
                <w:rFonts w:ascii="仿宋_GB2312" w:eastAsia="仿宋_GB2312" w:hAnsi="仿宋_GB2312" w:cs="仿宋_GB2312"/>
                <w:b/>
                <w:bCs/>
                <w:sz w:val="24"/>
              </w:rPr>
            </w:pPr>
            <w:r>
              <w:rPr>
                <w:rFonts w:ascii="仿宋_GB2312" w:eastAsia="仿宋_GB2312" w:hAnsi="仿宋_GB2312" w:cs="仿宋_GB2312" w:hint="eastAsia"/>
                <w:b/>
                <w:bCs/>
                <w:sz w:val="24"/>
              </w:rPr>
              <w:t>《海南自由贸易港游艇产业促进条例》</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lastRenderedPageBreak/>
              <w:t>第十四条</w:t>
            </w:r>
            <w:r>
              <w:rPr>
                <w:rFonts w:ascii="仿宋_GB2312" w:eastAsia="仿宋_GB2312" w:hAnsi="仿宋_GB2312" w:cs="仿宋_GB2312" w:hint="eastAsia"/>
                <w:b/>
                <w:bCs/>
                <w:sz w:val="24"/>
              </w:rPr>
              <w:t xml:space="preserve"> </w:t>
            </w:r>
            <w:r>
              <w:rPr>
                <w:rFonts w:ascii="仿宋_GB2312" w:eastAsia="仿宋_GB2312" w:hAnsi="仿宋_GB2312" w:cs="仿宋_GB2312" w:hint="eastAsia"/>
                <w:sz w:val="24"/>
              </w:rPr>
              <w:t>“县级以上人民政府旅游和文化广电体育主管部门应当鼓励和引导开展各类游艇赛事活动，开发精品游艇旅游产品，完善配套服务设施，促进游艇产业与旅游、体育产</w:t>
            </w:r>
            <w:r>
              <w:rPr>
                <w:rFonts w:ascii="仿宋_GB2312" w:eastAsia="仿宋_GB2312" w:hAnsi="仿宋_GB2312" w:cs="仿宋_GB2312" w:hint="eastAsia"/>
                <w:sz w:val="24"/>
              </w:rPr>
              <w:t>业融合发展，建设游艇旅游目的地。”</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lastRenderedPageBreak/>
              <w:t>（九）积极谋划游艇赛事</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科学规划并积极组织各类游艇赛事活动，以赛事为平台促进业界交流与合作，加强行业内部互动与资源共享，提升苏州游艇业的区域影响力与知名度。（市体育局牵头，相关县级市（区）人民政府按职责分工负责）</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（十）引导开展游艇赛事。</w:t>
            </w:r>
            <w:r>
              <w:rPr>
                <w:rFonts w:ascii="仿宋_GB2312" w:eastAsia="仿宋_GB2312" w:hAnsi="仿宋_GB2312" w:cs="仿宋_GB2312" w:hint="eastAsia"/>
                <w:kern w:val="0"/>
                <w:sz w:val="24"/>
                <w:lang w:bidi="ar"/>
              </w:rPr>
              <w:t>鼓励有条件的地区策划举办游艇相关赛事活动，促进游艇行业交流合作，提升江苏游艇业知名度。</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《海南自由贸易港游艇产业促进条例》</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第十四条</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县级以上人民政府旅游和文化广电体育主管部门应当鼓励和引导开展各类游艇赛事活动，开发精品游艇旅游产品，完善配套服务设施，促进游艇产业与旅游、体育产业融合发展，建设游艇旅游目的地。</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t>（十）加强游艇展会推介</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坚持“内部挖潜</w:t>
            </w:r>
            <w:r>
              <w:rPr>
                <w:rFonts w:ascii="仿宋_GB2312" w:eastAsia="仿宋_GB2312" w:hAnsi="仿宋_GB2312" w:cs="仿宋_GB2312" w:hint="eastAsia"/>
                <w:kern w:val="0"/>
                <w:sz w:val="24"/>
                <w:lang w:bidi="ar"/>
              </w:rPr>
              <w:t>+</w:t>
            </w:r>
            <w:r>
              <w:rPr>
                <w:rFonts w:ascii="仿宋_GB2312" w:eastAsia="仿宋_GB2312" w:hAnsi="仿宋_GB2312" w:cs="仿宋_GB2312" w:hint="eastAsia"/>
                <w:kern w:val="0"/>
                <w:sz w:val="24"/>
                <w:lang w:bidi="ar"/>
              </w:rPr>
              <w:t>外部借力”双向发力，深化游艇展示推广体系，支持游艇行业举办展会。依托旅游节等活动，举办游艇旅游推介会，加大对苏州游艇旅游消费的宣传力度，有效激活市场需求。（市商务局、市文广旅局，相关县级市（区）人民政府按职责分工负责）</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（十一）</w:t>
            </w:r>
            <w:r>
              <w:rPr>
                <w:rFonts w:ascii="仿宋_GB2312" w:eastAsia="仿宋_GB2312" w:hAnsi="仿宋_GB2312" w:cs="仿宋_GB2312" w:hint="eastAsia"/>
                <w:b/>
                <w:bCs/>
                <w:kern w:val="0"/>
                <w:sz w:val="24"/>
                <w:lang w:bidi="ar"/>
              </w:rPr>
              <w:t>加强游艇展会推介。</w:t>
            </w:r>
            <w:r>
              <w:rPr>
                <w:rFonts w:ascii="仿宋_GB2312" w:eastAsia="仿宋_GB2312" w:hAnsi="仿宋_GB2312" w:cs="仿宋_GB2312" w:hint="eastAsia"/>
                <w:kern w:val="0"/>
                <w:sz w:val="24"/>
                <w:lang w:bidi="ar"/>
              </w:rPr>
              <w:t>坚持“内部挖潜＋外部借力”双向发力，完善游艇展示推广体系，支持游艇行业在省内举办展会。依托省内旅游节展举办游艇旅游推介会，加大游艇旅游产品宣传力度，有效激活省内市场需求。积极支持省内游艇制造企业“走出去”，充分利用三亚国际游艇展、上海国际游艇展等各类活动平台，展示江苏游艇制造技术与产品优势，进一步开拓省外游艇消费</w:t>
            </w:r>
            <w:r>
              <w:rPr>
                <w:rFonts w:ascii="仿宋_GB2312" w:eastAsia="仿宋_GB2312" w:hAnsi="仿宋_GB2312" w:cs="仿宋_GB2312" w:hint="eastAsia"/>
                <w:kern w:val="0"/>
                <w:sz w:val="24"/>
                <w:lang w:bidi="ar"/>
              </w:rPr>
              <w:lastRenderedPageBreak/>
              <w:t>市场。</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《海南自由贸易港游艇产业促进条例》</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第十九条</w:t>
            </w:r>
            <w:r>
              <w:rPr>
                <w:rFonts w:ascii="仿宋_GB2312" w:eastAsia="仿宋_GB2312" w:hAnsi="仿宋_GB2312" w:cs="仿宋_GB2312" w:hint="eastAsia"/>
                <w:kern w:val="0"/>
                <w:sz w:val="24"/>
                <w:lang w:bidi="ar"/>
              </w:rPr>
              <w:t>“支持举办海南自由贸易港游艇产业国内国际展会、论坛、交易等活动，建设游艇产业设计、展示、交易、交流、合作平台，建立供需对接渠道，</w:t>
            </w:r>
            <w:r>
              <w:rPr>
                <w:rFonts w:ascii="仿宋_GB2312" w:eastAsia="仿宋_GB2312" w:hAnsi="仿宋_GB2312" w:cs="仿宋_GB2312" w:hint="eastAsia"/>
                <w:kern w:val="0"/>
                <w:sz w:val="24"/>
                <w:lang w:bidi="ar"/>
              </w:rPr>
              <w:t>提高市场开拓能力。”</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《广东省推动游艇产业高质量发展行动方案（</w:t>
            </w:r>
            <w:r>
              <w:rPr>
                <w:rFonts w:ascii="仿宋_GB2312" w:eastAsia="仿宋_GB2312" w:hAnsi="仿宋_GB2312" w:cs="仿宋_GB2312" w:hint="eastAsia"/>
                <w:b/>
                <w:bCs/>
                <w:kern w:val="0"/>
                <w:sz w:val="24"/>
                <w:lang w:bidi="ar"/>
              </w:rPr>
              <w:t>2024</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2027</w:t>
            </w:r>
            <w:r>
              <w:rPr>
                <w:rFonts w:ascii="仿宋_GB2312" w:eastAsia="仿宋_GB2312" w:hAnsi="仿宋_GB2312" w:cs="仿宋_GB2312" w:hint="eastAsia"/>
                <w:b/>
                <w:bCs/>
                <w:kern w:val="0"/>
                <w:sz w:val="24"/>
                <w:lang w:bidi="ar"/>
              </w:rPr>
              <w:t>年）》</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（十三）打造专业游艇展会。</w:t>
            </w:r>
            <w:r>
              <w:rPr>
                <w:rFonts w:ascii="仿宋_GB2312" w:eastAsia="仿宋_GB2312" w:hAnsi="仿宋_GB2312" w:cs="仿宋_GB2312" w:hint="eastAsia"/>
                <w:kern w:val="0"/>
                <w:sz w:val="24"/>
                <w:lang w:bidi="ar"/>
              </w:rPr>
              <w:t>支持省内游艇制造企业积极利用“粤贸全国”“粤贸全球”等活动平台，参加境内、外重点展会，</w:t>
            </w:r>
            <w:r>
              <w:rPr>
                <w:rFonts w:ascii="仿宋_GB2312" w:eastAsia="仿宋_GB2312" w:hAnsi="仿宋_GB2312" w:cs="仿宋_GB2312" w:hint="eastAsia"/>
                <w:kern w:val="0"/>
                <w:sz w:val="24"/>
                <w:lang w:bidi="ar"/>
              </w:rPr>
              <w:lastRenderedPageBreak/>
              <w:t>积极开拓国内外消费市场。支持以市场化方式举办游艇产业相关博览会。依托广东旅博会、广东旅游文化节等省内旅游专业节展，举办游艇旅游推介会，加大对广东游艇旅游消费的宣传力度。</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lastRenderedPageBreak/>
              <w:t>（十一）划定适航区域</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根据游艇发展需要和航行必备条件，围绕大众化游艇旅游消费需求，按照省级相关部门适航区域划定指南，以太湖、金鸡湖水域为试点</w:t>
            </w:r>
            <w:r>
              <w:rPr>
                <w:rFonts w:ascii="仿宋_GB2312" w:eastAsia="仿宋_GB2312" w:hAnsi="仿宋_GB2312" w:cs="仿宋_GB2312" w:hint="eastAsia"/>
                <w:kern w:val="0"/>
                <w:sz w:val="24"/>
                <w:lang w:bidi="ar"/>
              </w:rPr>
              <w:t>开展第一批适航水域划定并及时对外公布，后续逐步拓展至淀山湖、独墅湖、昆承湖、澄湖、尚湖、阳澄湖及其他符合游艇航行的水域。相关县级市（区）人民政府根据适航区域划定情况，完善水上应急搜救点建设，强化搜救人员及船艇配备。（市交通运输局，相关县级市（区）人民政府牵头，市自然资源局、市生态环境局、市水务局、市农业农村局、市文广旅局、市体育局、省太湖渔管办按职责分工负责）</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省交通运输厅关于印发江苏省游艇适航区域划定指南（试行）的通知（苏交执〔</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8</w:t>
            </w:r>
            <w:r>
              <w:rPr>
                <w:rFonts w:ascii="仿宋_GB2312" w:eastAsia="仿宋_GB2312" w:hAnsi="仿宋_GB2312" w:cs="仿宋_GB2312" w:hint="eastAsia"/>
                <w:b/>
                <w:bCs/>
                <w:kern w:val="0"/>
                <w:sz w:val="24"/>
                <w:lang w:bidi="ar"/>
              </w:rPr>
              <w:t>号）</w:t>
            </w:r>
          </w:p>
          <w:p w:rsidR="005E4B3C" w:rsidRDefault="00CC2127">
            <w:pPr>
              <w:widowControl/>
              <w:ind w:firstLineChars="200" w:firstLine="480"/>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江苏省游艇适航区域划定指南（试行）</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《关于推动游艇业发展的若</w:t>
            </w:r>
            <w:r>
              <w:rPr>
                <w:rFonts w:ascii="仿宋_GB2312" w:eastAsia="仿宋_GB2312" w:hAnsi="仿宋_GB2312" w:cs="仿宋_GB2312" w:hint="eastAsia"/>
                <w:b/>
                <w:bCs/>
                <w:kern w:val="0"/>
                <w:sz w:val="24"/>
                <w:lang w:bidi="ar"/>
              </w:rPr>
              <w:t>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numPr>
                <w:ilvl w:val="0"/>
                <w:numId w:val="2"/>
              </w:numPr>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划定适航区域。</w:t>
            </w:r>
            <w:r>
              <w:rPr>
                <w:rFonts w:ascii="仿宋_GB2312" w:eastAsia="仿宋_GB2312" w:hAnsi="仿宋_GB2312" w:cs="仿宋_GB2312" w:hint="eastAsia"/>
                <w:kern w:val="0"/>
                <w:sz w:val="24"/>
                <w:lang w:bidi="ar"/>
              </w:rPr>
              <w:t>对照游艇发展需要和航行必备条件，围绕大众化游艇旅游项目需求和各类游艇航行需要，省有关部门制定工作指南，明确划定标准和要求；各设区市人民政府组织相关部门对辖区内水域进行全面摸排，先行在湖区、滨水景区、封闭水域划定游艇适航区域，</w:t>
            </w:r>
            <w:r>
              <w:rPr>
                <w:rFonts w:ascii="仿宋_GB2312" w:eastAsia="仿宋_GB2312" w:hAnsi="仿宋_GB2312" w:cs="仿宋_GB2312" w:hint="eastAsia"/>
                <w:kern w:val="0"/>
                <w:sz w:val="24"/>
                <w:lang w:bidi="ar"/>
              </w:rPr>
              <w:t>2025</w:t>
            </w:r>
            <w:r>
              <w:rPr>
                <w:rFonts w:ascii="仿宋_GB2312" w:eastAsia="仿宋_GB2312" w:hAnsi="仿宋_GB2312" w:cs="仿宋_GB2312" w:hint="eastAsia"/>
                <w:kern w:val="0"/>
                <w:sz w:val="24"/>
                <w:lang w:bidi="ar"/>
              </w:rPr>
              <w:t>年底前完成第一批次适航区域划定和对社会公布工作。各设区市人民政府要根据适航区域划定情况，完善水上应急搜救点建设，强化相关人员、装备配备。</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《江苏省水上搜寻救助条例》</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lastRenderedPageBreak/>
              <w:t>第五条</w:t>
            </w:r>
            <w:r>
              <w:rPr>
                <w:rFonts w:ascii="仿宋_GB2312" w:eastAsia="仿宋_GB2312" w:hAnsi="仿宋_GB2312" w:cs="仿宋_GB2312" w:hint="eastAsia"/>
                <w:kern w:val="0"/>
                <w:sz w:val="24"/>
                <w:lang w:bidi="ar"/>
              </w:rPr>
              <w:t xml:space="preserve">　县级以上地方人民政府应当将水上搜寻救助事业纳入国民经济和社会发展规划，加强对水上搜寻救助工作的领导，建立水上搜寻救助体系，完善水上搜寻救助机制，加强水上搜寻救助能力建设。</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《福建省使用船舶从事海上休闲活动安全管理办法》</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第七条</w:t>
            </w:r>
            <w:r>
              <w:rPr>
                <w:rFonts w:ascii="仿宋_GB2312" w:eastAsia="仿宋_GB2312" w:hAnsi="仿宋_GB2312" w:cs="仿宋_GB2312" w:hint="eastAsia"/>
                <w:kern w:val="0"/>
                <w:sz w:val="24"/>
                <w:lang w:bidi="ar"/>
              </w:rPr>
              <w:t>“沿海县级以上人民政府应当组织自然资源、交通运输、文化和旅游、海洋渔业、体育、海事等有关部门划定海上休闲活动水域，设置水域边界标识或者电子围栏，确定活动水域内可活动的船舶类型、可容纳的船舶数量，规划配套的船舶靠泊设施和停泊点，并向社会公布。”</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lastRenderedPageBreak/>
              <w:t>（十二）完善配套设施</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制定出台港口外停泊点的相关制度性文件，简化相关审批程序，完善游艇码头、下水设施、系泊锚地、陆上干舱、能源补给及环保配套设施设备。结合</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“太湖揽胜”</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旅游线路停靠点改扩建，筛选一批符合标准的停靠点为停泊点或停泊水域；针对现有的游艇俱乐部码头，经多部门会商后统一对外公布为停泊点或停泊水域。充分发挥相关国企作用，加大资金投入，把游艇停泊点建设纳入客运船舶停靠站点建设统筹考虑。推进江河湖泊沿岸生态治理和文化景观提升。（市发展改革委、市商务局、市交通运输局、市文广旅局、市自然资源局、市生态环境局、市水务局、市农业农</w:t>
            </w:r>
            <w:r>
              <w:rPr>
                <w:rFonts w:ascii="仿宋_GB2312" w:eastAsia="仿宋_GB2312" w:hAnsi="仿宋_GB2312" w:cs="仿宋_GB2312" w:hint="eastAsia"/>
                <w:kern w:val="0"/>
                <w:sz w:val="24"/>
                <w:lang w:bidi="ar"/>
              </w:rPr>
              <w:t>村局，省太湖渔管办，相关县级市（区）人民政府按职责分工负责）</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《游艇安全管理规定》</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 xml:space="preserve">第二十条　</w:t>
            </w:r>
            <w:r>
              <w:rPr>
                <w:rFonts w:ascii="仿宋_GB2312" w:eastAsia="仿宋_GB2312" w:hAnsi="仿宋_GB2312" w:cs="仿宋_GB2312" w:hint="eastAsia"/>
                <w:kern w:val="0"/>
                <w:sz w:val="24"/>
                <w:lang w:bidi="ar"/>
              </w:rPr>
              <w:t>游艇应当在海事管理机构公布的专用停泊水域或者停泊点停泊。游艇的专用停泊水域或者停泊点，应当符合游艇安全靠泊、避风以及便利人员安全登离的要求。</w:t>
            </w:r>
          </w:p>
          <w:p w:rsidR="005E4B3C" w:rsidRDefault="00CC2127">
            <w:pPr>
              <w:widowControl/>
              <w:jc w:val="left"/>
              <w:rPr>
                <w:rFonts w:ascii="仿宋_GB2312" w:eastAsia="仿宋_GB2312" w:hAnsi="仿宋_GB2312" w:cs="仿宋_GB2312"/>
                <w:b/>
                <w:bCs/>
                <w:kern w:val="0"/>
                <w:sz w:val="24"/>
                <w:lang w:bidi="ar"/>
              </w:rPr>
            </w:pPr>
            <w:r>
              <w:rPr>
                <w:rFonts w:ascii="仿宋_GB2312" w:eastAsia="仿宋_GB2312" w:hAnsi="仿宋_GB2312" w:cs="仿宋_GB2312" w:hint="eastAsia"/>
                <w:kern w:val="0"/>
                <w:sz w:val="24"/>
                <w:lang w:bidi="ar"/>
              </w:rPr>
              <w:t>游艇停泊的专用水域属于港口水域的，应当符合有关港口规划。</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numPr>
                <w:ilvl w:val="0"/>
                <w:numId w:val="2"/>
              </w:numPr>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完善配套设施。</w:t>
            </w:r>
            <w:r>
              <w:rPr>
                <w:rFonts w:ascii="仿宋_GB2312" w:eastAsia="仿宋_GB2312" w:hAnsi="仿宋_GB2312" w:cs="仿宋_GB2312" w:hint="eastAsia"/>
                <w:kern w:val="0"/>
                <w:sz w:val="24"/>
                <w:lang w:bidi="ar"/>
              </w:rPr>
              <w:t>各设区市人民政府要制定出台港口外停泊点的相关制度性文件，优化相关审批程序，新建、改建、扩建一批游艇靠泊设施、下水坡道、系泊锚地、陆上干仓、补能</w:t>
            </w:r>
            <w:r>
              <w:rPr>
                <w:rFonts w:ascii="仿宋_GB2312" w:eastAsia="仿宋_GB2312" w:hAnsi="仿宋_GB2312" w:cs="仿宋_GB2312" w:hint="eastAsia"/>
                <w:kern w:val="0"/>
                <w:sz w:val="24"/>
                <w:lang w:bidi="ar"/>
              </w:rPr>
              <w:t>设施以及环保配套设施设备，探索建设电子围栏等信息化防控体系。加强沿海沿江沿河沿湖文化景观再造和生态治理，完善游艇旅游配套基础设施设备。</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《苏州市内河交通安全管理条例》</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lastRenderedPageBreak/>
              <w:t>第二十九条</w:t>
            </w:r>
            <w:r>
              <w:rPr>
                <w:rFonts w:ascii="仿宋_GB2312" w:eastAsia="仿宋_GB2312" w:hAnsi="仿宋_GB2312" w:cs="仿宋_GB2312" w:hint="eastAsia"/>
                <w:b/>
                <w:bCs/>
                <w:kern w:val="0"/>
                <w:sz w:val="24"/>
                <w:lang w:bidi="ar"/>
              </w:rPr>
              <w:t xml:space="preserve"> </w:t>
            </w:r>
            <w:r>
              <w:rPr>
                <w:rFonts w:ascii="仿宋_GB2312" w:eastAsia="仿宋_GB2312" w:hAnsi="仿宋_GB2312" w:cs="仿宋_GB2312" w:hint="eastAsia"/>
                <w:kern w:val="0"/>
                <w:sz w:val="24"/>
                <w:lang w:bidi="ar"/>
              </w:rPr>
              <w:t>游艇航行应当避开主航道、锚地、通航密集区以及其他交通管制区域，确需进入上述区域航行的，应当向地方海事管理机构报告，服从指挥，不得超速航行。</w:t>
            </w:r>
          </w:p>
          <w:p w:rsidR="005E4B3C" w:rsidRDefault="00CC2127">
            <w:pPr>
              <w:widowControl/>
              <w:jc w:val="lef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游艇应当在地方海事管理机构划定的水域停泊；临时性停泊的，不得妨碍其他船舶航行、停泊和作业。</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《海南自由贸易港游艇产业促进条例》</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第十五条</w:t>
            </w:r>
            <w:r>
              <w:rPr>
                <w:rFonts w:ascii="仿宋_GB2312" w:eastAsia="仿宋_GB2312" w:hAnsi="仿宋_GB2312" w:cs="仿宋_GB2312" w:hint="eastAsia"/>
                <w:kern w:val="0"/>
                <w:sz w:val="24"/>
                <w:lang w:bidi="ar"/>
              </w:rPr>
              <w:t>“市、县、自治县人民政府应当加强公共游艇码头、下水坡道、系泊锚地、避风港、陆上干仓、燃料补给、维修保养、安全保障、环境保护等基础设施建设。”</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《广东省推动游艇产业高质量发展行动方案（</w:t>
            </w:r>
            <w:r>
              <w:rPr>
                <w:rFonts w:ascii="仿宋_GB2312" w:eastAsia="仿宋_GB2312" w:hAnsi="仿宋_GB2312" w:cs="仿宋_GB2312" w:hint="eastAsia"/>
                <w:b/>
                <w:bCs/>
                <w:kern w:val="0"/>
                <w:sz w:val="24"/>
                <w:lang w:bidi="ar"/>
              </w:rPr>
              <w:t>2024</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2027</w:t>
            </w:r>
            <w:r>
              <w:rPr>
                <w:rFonts w:ascii="仿宋_GB2312" w:eastAsia="仿宋_GB2312" w:hAnsi="仿宋_GB2312" w:cs="仿宋_GB2312" w:hint="eastAsia"/>
                <w:b/>
                <w:bCs/>
                <w:kern w:val="0"/>
                <w:sz w:val="24"/>
                <w:lang w:bidi="ar"/>
              </w:rPr>
              <w:t>年）》</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（六）统筹推进游艇配套基础设施建设。</w:t>
            </w:r>
            <w:r>
              <w:rPr>
                <w:rFonts w:ascii="仿宋_GB2312" w:eastAsia="仿宋_GB2312" w:hAnsi="仿宋_GB2312" w:cs="仿宋_GB2312" w:hint="eastAsia"/>
                <w:kern w:val="0"/>
                <w:sz w:val="24"/>
                <w:lang w:bidi="ar"/>
              </w:rPr>
              <w:t>推动地市逐步完善公共游艇码头布局规划，按照布局规划新建一批公共游艇码头；因地制宜规划建设游艇停靠点、下水坡道、系泊锚地、陆上干舱以及环保配套设施设备等。加强对现有码头的规范管理，支持各地市结合港口规划因地制宜推动老旧码头改造为游艇码头，并完善配套设施。鼓励社会资本加大</w:t>
            </w:r>
            <w:r>
              <w:rPr>
                <w:rFonts w:ascii="仿宋_GB2312" w:eastAsia="仿宋_GB2312" w:hAnsi="仿宋_GB2312" w:cs="仿宋_GB2312" w:hint="eastAsia"/>
                <w:kern w:val="0"/>
                <w:sz w:val="24"/>
                <w:lang w:bidi="ar"/>
              </w:rPr>
              <w:t>对游艇码头建设、老旧码头改扩建的投入。完善港澳游艇停泊专区、验放专区、人员上下船智能化监控及出入口智能化门禁等查验</w:t>
            </w:r>
            <w:r>
              <w:rPr>
                <w:rFonts w:ascii="仿宋_GB2312" w:eastAsia="仿宋_GB2312" w:hAnsi="仿宋_GB2312" w:cs="仿宋_GB2312" w:hint="eastAsia"/>
                <w:kern w:val="0"/>
                <w:sz w:val="24"/>
                <w:lang w:bidi="ar"/>
              </w:rPr>
              <w:lastRenderedPageBreak/>
              <w:t>场地及监管设施，确保游艇出入境及停泊期间管理“可视、可控”。鼓励企业和个人所有或运营的游艇码头向社会开放</w:t>
            </w:r>
            <w:r>
              <w:rPr>
                <w:rFonts w:ascii="仿宋_GB2312" w:eastAsia="仿宋_GB2312" w:hAnsi="仿宋_GB2312" w:cs="仿宋_GB2312" w:hint="eastAsia"/>
                <w:kern w:val="0"/>
                <w:sz w:val="24"/>
                <w:lang w:bidi="ar"/>
              </w:rPr>
              <w:t>。</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lastRenderedPageBreak/>
              <w:t>（十三）建设综合服务中心</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适时推动在太湖、金鸡湖等旅游资源丰富的区域，依托游艇俱乐部建</w:t>
            </w:r>
            <w:r w:rsidR="00430467">
              <w:rPr>
                <w:rFonts w:ascii="仿宋_GB2312" w:eastAsia="仿宋_GB2312" w:hAnsi="仿宋_GB2312" w:cs="仿宋_GB2312" w:hint="eastAsia"/>
                <w:kern w:val="0"/>
                <w:sz w:val="24"/>
                <w:lang w:bidi="ar"/>
              </w:rPr>
              <w:t>设游艇综合服务中心，提供游艇停泊、能源补给、商务洽谈、休闲娱乐</w:t>
            </w:r>
            <w:r>
              <w:rPr>
                <w:rFonts w:ascii="仿宋_GB2312" w:eastAsia="仿宋_GB2312" w:hAnsi="仿宋_GB2312" w:cs="仿宋_GB2312" w:hint="eastAsia"/>
                <w:kern w:val="0"/>
                <w:sz w:val="24"/>
                <w:lang w:bidi="ar"/>
              </w:rPr>
              <w:t>等一体化服务功能。（相关县级市（区）人民政府牵头，市各相关部门按职责分工负责）</w:t>
            </w:r>
            <w:bookmarkStart w:id="0" w:name="_GoBack"/>
            <w:bookmarkEnd w:id="0"/>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0"/>
              <w:jc w:val="left"/>
              <w:rPr>
                <w:rFonts w:ascii="仿宋_GB2312" w:eastAsia="仿宋_GB2312" w:hAnsi="仿宋_GB2312" w:cs="仿宋_GB2312"/>
                <w:b/>
                <w:bCs/>
                <w:kern w:val="0"/>
                <w:sz w:val="24"/>
                <w:lang w:bidi="ar"/>
              </w:rPr>
            </w:pP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b/>
                <w:bCs/>
                <w:kern w:val="0"/>
                <w:sz w:val="24"/>
                <w:lang w:bidi="ar"/>
              </w:rPr>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（十四）建设综合服务中心</w:t>
            </w:r>
            <w:r>
              <w:rPr>
                <w:rFonts w:ascii="仿宋_GB2312" w:eastAsia="仿宋_GB2312" w:hAnsi="仿宋_GB2312" w:cs="仿宋_GB2312" w:hint="eastAsia"/>
                <w:kern w:val="0"/>
                <w:sz w:val="24"/>
                <w:lang w:bidi="ar"/>
              </w:rPr>
              <w:t>。推动在适合游艇活动且旅游资源丰富的区域建设集游艇停泊、供油供水、商务休闲、餐饮住宿等为一体的游艇综合服务中心，着力提供安全、智慧、便捷、舒适的综合服务。</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《海南省游艇管理办法》</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第三十四条</w:t>
            </w:r>
            <w:r>
              <w:rPr>
                <w:rFonts w:ascii="仿宋_GB2312" w:eastAsia="仿宋_GB2312" w:hAnsi="仿宋_GB2312" w:cs="仿宋_GB2312" w:hint="eastAsia"/>
                <w:b/>
                <w:bCs/>
                <w:kern w:val="0"/>
                <w:sz w:val="24"/>
                <w:lang w:bidi="ar"/>
              </w:rPr>
              <w:t xml:space="preserve">  </w:t>
            </w:r>
            <w:r>
              <w:rPr>
                <w:rFonts w:ascii="仿宋_GB2312" w:eastAsia="仿宋_GB2312" w:hAnsi="仿宋_GB2312" w:cs="仿宋_GB2312" w:hint="eastAsia"/>
                <w:kern w:val="0"/>
                <w:sz w:val="24"/>
                <w:lang w:bidi="ar"/>
              </w:rPr>
              <w:t>省人民政府交通运输行政主管部门应当整合构建全省统一的游艇综合服务平台，依托省大数据共享交换平台实现信息互联共享，实现监管业务集成整合和流程优化统一。</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《广东省推动游艇产业高质量发展行动方案（</w:t>
            </w:r>
            <w:r>
              <w:rPr>
                <w:rFonts w:ascii="仿宋_GB2312" w:eastAsia="仿宋_GB2312" w:hAnsi="仿宋_GB2312" w:cs="仿宋_GB2312" w:hint="eastAsia"/>
                <w:b/>
                <w:bCs/>
                <w:kern w:val="0"/>
                <w:sz w:val="24"/>
                <w:lang w:bidi="ar"/>
              </w:rPr>
              <w:t>2024</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2027</w:t>
            </w:r>
            <w:r>
              <w:rPr>
                <w:rFonts w:ascii="仿宋_GB2312" w:eastAsia="仿宋_GB2312" w:hAnsi="仿宋_GB2312" w:cs="仿宋_GB2312" w:hint="eastAsia"/>
                <w:b/>
                <w:bCs/>
                <w:kern w:val="0"/>
                <w:sz w:val="24"/>
                <w:lang w:bidi="ar"/>
              </w:rPr>
              <w:t>年）》</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（七）完善游艇综</w:t>
            </w:r>
            <w:r>
              <w:rPr>
                <w:rFonts w:ascii="仿宋_GB2312" w:eastAsia="仿宋_GB2312" w:hAnsi="仿宋_GB2312" w:cs="仿宋_GB2312" w:hint="eastAsia"/>
                <w:b/>
                <w:bCs/>
                <w:kern w:val="0"/>
                <w:sz w:val="24"/>
                <w:lang w:bidi="ar"/>
              </w:rPr>
              <w:t>合服务中心。</w:t>
            </w:r>
            <w:r>
              <w:rPr>
                <w:rFonts w:ascii="仿宋_GB2312" w:eastAsia="仿宋_GB2312" w:hAnsi="仿宋_GB2312" w:cs="仿宋_GB2312" w:hint="eastAsia"/>
                <w:kern w:val="0"/>
                <w:sz w:val="24"/>
                <w:lang w:bidi="ar"/>
              </w:rPr>
              <w:t>推动在滨海和东江、西江、北江、潭江等沿线旅游资源丰富的节点区域建设一批集游艇停泊、供油供水、商务休闲、餐饮住宿等为一体的游艇综合服务中心，打造智慧、便捷的电子政务服务，提高综合服务水平。</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t>（十四）推动研发设计创新</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支持企业研</w:t>
            </w:r>
            <w:r>
              <w:rPr>
                <w:rFonts w:ascii="仿宋_GB2312" w:eastAsia="仿宋_GB2312" w:hAnsi="仿宋_GB2312" w:cs="仿宋_GB2312" w:hint="eastAsia"/>
                <w:kern w:val="0"/>
                <w:sz w:val="24"/>
                <w:lang w:bidi="ar"/>
              </w:rPr>
              <w:lastRenderedPageBreak/>
              <w:t>发适合大众化消费的游艇，形成系列化产品。提升游艇工业美学设计、舱室空间利用、内装设计等游艇设计能力。加强游艇动力设备、齿轮箱等游艇关键核心部件研发。支持游艇制造企业加大对锂电池和电力推进设备的研发投资，提升新能源电动游艇的装备集成能力。鼓励开发智能航行辅助系统，实现游艇自动避障、航线规划等功能。（市工信局牵头，市发展改革委、相关县级市（区）人民政府按职责分工负责）</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lastRenderedPageBreak/>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w:t>
            </w:r>
            <w:r>
              <w:rPr>
                <w:rFonts w:ascii="仿宋_GB2312" w:eastAsia="仿宋_GB2312" w:hAnsi="仿宋_GB2312" w:cs="仿宋_GB2312" w:hint="eastAsia"/>
                <w:b/>
                <w:bCs/>
                <w:kern w:val="0"/>
                <w:sz w:val="24"/>
                <w:lang w:bidi="ar"/>
              </w:rPr>
              <w:lastRenderedPageBreak/>
              <w:t>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（十五）推动研发设计创新。</w:t>
            </w:r>
            <w:r>
              <w:rPr>
                <w:rFonts w:ascii="仿宋_GB2312" w:eastAsia="仿宋_GB2312" w:hAnsi="仿宋_GB2312" w:cs="仿宋_GB2312" w:hint="eastAsia"/>
                <w:kern w:val="0"/>
                <w:sz w:val="24"/>
                <w:lang w:bidi="ar"/>
              </w:rPr>
              <w:t>支持设计院所及企业研发适合大众化消费的游艇，</w:t>
            </w:r>
            <w:r>
              <w:rPr>
                <w:rFonts w:ascii="仿宋_GB2312" w:eastAsia="仿宋_GB2312" w:hAnsi="仿宋_GB2312" w:cs="仿宋_GB2312" w:hint="eastAsia"/>
                <w:kern w:val="0"/>
                <w:sz w:val="24"/>
                <w:lang w:bidi="ar"/>
              </w:rPr>
              <w:t>形成系列化产品。提升游艇工业美学设计、舱室空间利用、内装设计等游艇设计能力。加强游艇动力设备、齿轮箱等游艇关键核心部件研发。支持游艇制造企业加大对锂电池和电力推进设备的研发投资，提升新能源电动游艇的装备集成能力。鼓励开发智能航行辅助系统，实现游艇自动避障、航线规划等功能。</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《海南自由贸易港游艇产业促进条例》</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第十二条</w:t>
            </w:r>
            <w:r>
              <w:rPr>
                <w:rFonts w:ascii="仿宋_GB2312" w:eastAsia="仿宋_GB2312" w:hAnsi="仿宋_GB2312" w:cs="仿宋_GB2312" w:hint="eastAsia"/>
                <w:kern w:val="0"/>
                <w:sz w:val="24"/>
                <w:lang w:bidi="ar"/>
              </w:rPr>
              <w:t>“县级以上人民政府工业和信息化主管部门应当会同有关部门制定政策措施，推动游艇研发、设计、制造、维修等产业发展。对列入海南自由贸易港鼓励类产业目录的游艇研发、设计、制造、维修及配套产业，按照有关规</w:t>
            </w:r>
            <w:r>
              <w:rPr>
                <w:rFonts w:ascii="仿宋_GB2312" w:eastAsia="仿宋_GB2312" w:hAnsi="仿宋_GB2312" w:cs="仿宋_GB2312" w:hint="eastAsia"/>
                <w:kern w:val="0"/>
                <w:sz w:val="24"/>
                <w:lang w:bidi="ar"/>
              </w:rPr>
              <w:t>定享受税收优惠政策。”</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《广东省推动游艇产业高质量发展行动方案（</w:t>
            </w:r>
            <w:r>
              <w:rPr>
                <w:rFonts w:ascii="仿宋_GB2312" w:eastAsia="仿宋_GB2312" w:hAnsi="仿宋_GB2312" w:cs="仿宋_GB2312" w:hint="eastAsia"/>
                <w:b/>
                <w:bCs/>
                <w:kern w:val="0"/>
                <w:sz w:val="24"/>
                <w:lang w:bidi="ar"/>
              </w:rPr>
              <w:t>2024</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2027</w:t>
            </w:r>
            <w:r>
              <w:rPr>
                <w:rFonts w:ascii="仿宋_GB2312" w:eastAsia="仿宋_GB2312" w:hAnsi="仿宋_GB2312" w:cs="仿宋_GB2312" w:hint="eastAsia"/>
                <w:b/>
                <w:bCs/>
                <w:kern w:val="0"/>
                <w:sz w:val="24"/>
                <w:lang w:bidi="ar"/>
              </w:rPr>
              <w:t>年）》</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（二）增强游艇研发能力。</w:t>
            </w:r>
            <w:r>
              <w:rPr>
                <w:rFonts w:ascii="仿宋_GB2312" w:eastAsia="仿宋_GB2312" w:hAnsi="仿宋_GB2312" w:cs="仿宋_GB2312" w:hint="eastAsia"/>
                <w:kern w:val="0"/>
                <w:sz w:val="24"/>
                <w:lang w:bidi="ar"/>
              </w:rPr>
              <w:t>聚焦推动游艇制造业高端化、智能化、绿色化发展，开展新能源清洁能源动力技术、环保材料、减震降噪和智能驾驶、北斗定位、远程可视化监管、数字化运维等技术应用研究。支持企业面向国内大众化消费需求研发系列标准化产品，采用数字化、规模化、绿色化的生产制造工艺，提升技术水平和建造品质。加强配套供应链建设，支持研发制造船用发动机、纯电动力系统、混动系统、智能仪器仪表、高效推进器等游艇关键核心零部件及辅助设备。瞄</w:t>
            </w:r>
            <w:r>
              <w:rPr>
                <w:rFonts w:ascii="仿宋_GB2312" w:eastAsia="仿宋_GB2312" w:hAnsi="仿宋_GB2312" w:cs="仿宋_GB2312" w:hint="eastAsia"/>
                <w:kern w:val="0"/>
                <w:sz w:val="24"/>
                <w:lang w:bidi="ar"/>
              </w:rPr>
              <w:t>准产业链关键环节和领军企业，开展精准招商引资，提升产业链配套能力。</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lastRenderedPageBreak/>
              <w:t>（十五）提升全链制造能力</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以满足大众消费需求为重点，大力发展中小型游艇，</w:t>
            </w:r>
            <w:r>
              <w:rPr>
                <w:rFonts w:ascii="仿宋_GB2312" w:eastAsia="仿宋_GB2312" w:hAnsi="仿宋_GB2312" w:cs="仿宋_GB2312" w:hint="eastAsia"/>
                <w:kern w:val="0"/>
                <w:sz w:val="24"/>
                <w:lang w:bidi="ar"/>
              </w:rPr>
              <w:lastRenderedPageBreak/>
              <w:t>推进产品制造批量化，推动游艇从</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“小众高端”</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向</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“大众普及”</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转型。加强游艇配套供应链建设，支持企业制造纯电动力系统等游艇关键核心零部件及辅助设备。鼓励制造新能源清洁能源新型游艇，提升先进复合材料及铝合金游艇制造能力。支持游艇维修业发展。（市工信局牵头，市发展改革委，相关县级市（区）人民政府按职责分工负责）</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lastRenderedPageBreak/>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lastRenderedPageBreak/>
              <w:t>（十六）提升全链制造能力。</w:t>
            </w:r>
            <w:r>
              <w:rPr>
                <w:rFonts w:ascii="仿宋_GB2312" w:eastAsia="仿宋_GB2312" w:hAnsi="仿宋_GB2312" w:cs="仿宋_GB2312" w:hint="eastAsia"/>
                <w:kern w:val="0"/>
                <w:sz w:val="24"/>
                <w:lang w:bidi="ar"/>
              </w:rPr>
              <w:t>以满足大众化消费需求为重点，大力发展中小型游艇，推进相关产品批量化生产，推动游艇从“小众高端”向“大众普及”转型。加强游艇配套供应链建设，支持企业制造纯电动力系统等游艇关键核心零部件及辅助设备。鼓励制造新能源清洁能源新型游艇，提升先进复合材料及铝合金游艇制造能力。支持游艇维修业发展。</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《海南自由贸易港游艇产业促进条例》</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第十二条</w:t>
            </w:r>
            <w:r>
              <w:rPr>
                <w:rFonts w:ascii="仿宋_GB2312" w:eastAsia="仿宋_GB2312" w:hAnsi="仿宋_GB2312" w:cs="仿宋_GB2312" w:hint="eastAsia"/>
                <w:kern w:val="0"/>
                <w:sz w:val="24"/>
                <w:lang w:bidi="ar"/>
              </w:rPr>
              <w:t>“县级以上人民政府工业和信</w:t>
            </w:r>
            <w:r>
              <w:rPr>
                <w:rFonts w:ascii="仿宋_GB2312" w:eastAsia="仿宋_GB2312" w:hAnsi="仿宋_GB2312" w:cs="仿宋_GB2312" w:hint="eastAsia"/>
                <w:kern w:val="0"/>
                <w:sz w:val="24"/>
                <w:lang w:bidi="ar"/>
              </w:rPr>
              <w:lastRenderedPageBreak/>
              <w:t>息化主管部门应当会同有关部门制定政策措施，推动游艇研发、设计、制造、维修等产业发展。对列入海南自由贸易港鼓励类产业目录的游艇研发、设计、制造、维修及配套产业，按照有关规定享受税收优惠政策。”</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《广东省推动游艇产业高质量发展行动方案（</w:t>
            </w:r>
            <w:r>
              <w:rPr>
                <w:rFonts w:ascii="仿宋_GB2312" w:eastAsia="仿宋_GB2312" w:hAnsi="仿宋_GB2312" w:cs="仿宋_GB2312" w:hint="eastAsia"/>
                <w:b/>
                <w:bCs/>
                <w:kern w:val="0"/>
                <w:sz w:val="24"/>
                <w:lang w:bidi="ar"/>
              </w:rPr>
              <w:t>2024</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2027</w:t>
            </w:r>
            <w:r>
              <w:rPr>
                <w:rFonts w:ascii="仿宋_GB2312" w:eastAsia="仿宋_GB2312" w:hAnsi="仿宋_GB2312" w:cs="仿宋_GB2312" w:hint="eastAsia"/>
                <w:b/>
                <w:bCs/>
                <w:kern w:val="0"/>
                <w:sz w:val="24"/>
                <w:lang w:bidi="ar"/>
              </w:rPr>
              <w:t>年）》</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（一）培育游艇制造业龙头骨干企业。</w:t>
            </w:r>
            <w:r>
              <w:rPr>
                <w:rFonts w:ascii="仿宋_GB2312" w:eastAsia="仿宋_GB2312" w:hAnsi="仿宋_GB2312" w:cs="仿宋_GB2312" w:hint="eastAsia"/>
                <w:kern w:val="0"/>
                <w:sz w:val="24"/>
                <w:lang w:bidi="ar"/>
              </w:rPr>
              <w:t>支持龙头骨干企业做大做强，打造自主游艇品牌，提升国际影响力。加快构建中小企业梯度培育体系，力争每年在游艇相关产业领域培育一批省级“专精特新”企业、“单项冠军”企业。</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lastRenderedPageBreak/>
              <w:t>（十六）推动游艇业集聚发展</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依托苏州太湖国家旅游度假区、金鸡湖商务区等游艇消费和配套产业集中度高的区域，探索建设具有苏州特色的游艇业集聚区。（市发展改革委、市工信局、市商务局、市文广旅局，相关县级市（区）人民政府按职责分工负责）</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（十七）推动游艇业集聚发展。</w:t>
            </w:r>
            <w:r>
              <w:rPr>
                <w:rFonts w:ascii="仿宋_GB2312" w:eastAsia="仿宋_GB2312" w:hAnsi="仿宋_GB2312" w:cs="仿宋_GB2312" w:hint="eastAsia"/>
                <w:kern w:val="0"/>
                <w:sz w:val="24"/>
                <w:lang w:bidi="ar"/>
              </w:rPr>
              <w:t>依托南京区域性航运物流中心及苏州、无锡、常州等游艇配套产业集中度高的区域，合力建设特色明显、集聚发展的游艇业集群。</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《广东省推动游艇产业高质量发展行动方案（</w:t>
            </w:r>
            <w:r>
              <w:rPr>
                <w:rFonts w:ascii="仿宋_GB2312" w:eastAsia="仿宋_GB2312" w:hAnsi="仿宋_GB2312" w:cs="仿宋_GB2312" w:hint="eastAsia"/>
                <w:b/>
                <w:bCs/>
                <w:kern w:val="0"/>
                <w:sz w:val="24"/>
                <w:lang w:bidi="ar"/>
              </w:rPr>
              <w:t>2024</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2027</w:t>
            </w:r>
            <w:r>
              <w:rPr>
                <w:rFonts w:ascii="仿宋_GB2312" w:eastAsia="仿宋_GB2312" w:hAnsi="仿宋_GB2312" w:cs="仿宋_GB2312" w:hint="eastAsia"/>
                <w:b/>
                <w:bCs/>
                <w:kern w:val="0"/>
                <w:sz w:val="24"/>
                <w:lang w:bidi="ar"/>
              </w:rPr>
              <w:t>年）》</w:t>
            </w:r>
          </w:p>
          <w:p w:rsidR="005E4B3C" w:rsidRDefault="00CC2127">
            <w:pPr>
              <w:widowControl/>
              <w:numPr>
                <w:ilvl w:val="0"/>
                <w:numId w:val="3"/>
              </w:numPr>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建设游艇产业特色产业园。</w:t>
            </w:r>
            <w:r>
              <w:rPr>
                <w:rFonts w:ascii="仿宋_GB2312" w:eastAsia="仿宋_GB2312" w:hAnsi="仿宋_GB2312" w:cs="仿宋_GB2312" w:hint="eastAsia"/>
                <w:kern w:val="0"/>
                <w:sz w:val="24"/>
                <w:lang w:bidi="ar"/>
              </w:rPr>
              <w:t>按照“产业集</w:t>
            </w:r>
            <w:r>
              <w:rPr>
                <w:rFonts w:ascii="仿宋_GB2312" w:eastAsia="仿宋_GB2312" w:hAnsi="仿宋_GB2312" w:cs="仿宋_GB2312" w:hint="eastAsia"/>
                <w:kern w:val="0"/>
                <w:sz w:val="24"/>
                <w:lang w:bidi="ar"/>
              </w:rPr>
              <w:t>聚、优化布局”的原则，依托省级以上开发区省市合力建设</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个左右特色突出、产业集聚的特色产业园，吸引产业、人才、资金、创新等资源集聚，形成覆盖技术研发、维修保养、运营服务、教育培训等业态，为培育具有国内竞争力的游艇产业集群提供有力支撑。</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《海南自由贸易港游艇产业促进条例》</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第十条</w:t>
            </w:r>
            <w:r>
              <w:rPr>
                <w:rFonts w:ascii="仿宋_GB2312" w:eastAsia="仿宋_GB2312" w:hAnsi="仿宋_GB2312" w:cs="仿宋_GB2312" w:hint="eastAsia"/>
                <w:kern w:val="0"/>
                <w:sz w:val="24"/>
                <w:lang w:bidi="ar"/>
              </w:rPr>
              <w:t>“县级以上人民政府应当根据全省游艇产业发展规划和重点产业园区定位，引导游艇关联产业向重点产业园区聚集，提高产业配套能力，培育游艇产业集群。”</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rsidP="00D253C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lastRenderedPageBreak/>
              <w:t>（十七）加强组织领导</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建立市级工作专班，明确一名市领导牵头负责，市交通、发改、财政、文旅、资</w:t>
            </w:r>
            <w:r>
              <w:rPr>
                <w:rFonts w:ascii="仿宋_GB2312" w:eastAsia="仿宋_GB2312" w:hAnsi="仿宋_GB2312" w:cs="仿宋_GB2312" w:hint="eastAsia"/>
                <w:kern w:val="0"/>
                <w:sz w:val="24"/>
                <w:lang w:bidi="ar"/>
              </w:rPr>
              <w:t>规、生态、水务、商务、工信、应急、通信、气象、体育、农业等部门为专班成员，按照</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“分工负责、逐级推动、协同联动”</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的原则，明确职责分工，共同推进试点工作。（市交通运输局、市发展改革委、</w:t>
            </w:r>
            <w:r>
              <w:rPr>
                <w:rFonts w:ascii="仿宋_GB2312" w:eastAsia="仿宋_GB2312" w:hAnsi="仿宋_GB2312" w:cs="仿宋_GB2312" w:hint="eastAsia"/>
                <w:kern w:val="0"/>
                <w:sz w:val="24"/>
                <w:lang w:bidi="ar"/>
              </w:rPr>
              <w:t>市商务局、市文广旅局、市市场监管局、市工信局、市自然资源局、市生态环境局、市农业农村局、市水务局、市气象局、市体育局、市通管办、张家港海事局、太仓海事局、常熟海事局，相关县级市（区）人民政府按职责分工负责）</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（十八）加强组织推进和规划引领。</w:t>
            </w:r>
            <w:r>
              <w:rPr>
                <w:rFonts w:ascii="仿宋_GB2312" w:eastAsia="仿宋_GB2312" w:hAnsi="仿宋_GB2312" w:cs="仿宋_GB2312" w:hint="eastAsia"/>
                <w:kern w:val="0"/>
                <w:sz w:val="24"/>
                <w:lang w:bidi="ar"/>
              </w:rPr>
              <w:t>充分发挥省推动游</w:t>
            </w:r>
            <w:r>
              <w:rPr>
                <w:rFonts w:ascii="仿宋_GB2312" w:eastAsia="仿宋_GB2312" w:hAnsi="仿宋_GB2312" w:cs="仿宋_GB2312" w:hint="eastAsia"/>
                <w:kern w:val="0"/>
                <w:sz w:val="24"/>
                <w:lang w:bidi="ar"/>
              </w:rPr>
              <w:t>艇业发展工作专班的作用，切实加强对全省游艇业发展的统筹协调，省交通运输厅会同省发展改革委、省工业和信息化厅、省商务厅、省文化和旅游厅、省体育局等部门加强协同、各负其责，形成推进合力。编制江苏省游艇业发展专项规划，进一步明确游艇业发展目标、重点任务和保障措施，统筹推进全省游艇业高质量发展。</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《广东省推动游艇产业高质量发展行动方案（</w:t>
            </w:r>
            <w:r>
              <w:rPr>
                <w:rFonts w:ascii="仿宋_GB2312" w:eastAsia="仿宋_GB2312" w:hAnsi="仿宋_GB2312" w:cs="仿宋_GB2312" w:hint="eastAsia"/>
                <w:b/>
                <w:bCs/>
                <w:kern w:val="0"/>
                <w:sz w:val="24"/>
                <w:lang w:bidi="ar"/>
              </w:rPr>
              <w:t>2024</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2027</w:t>
            </w:r>
            <w:r>
              <w:rPr>
                <w:rFonts w:ascii="仿宋_GB2312" w:eastAsia="仿宋_GB2312" w:hAnsi="仿宋_GB2312" w:cs="仿宋_GB2312" w:hint="eastAsia"/>
                <w:b/>
                <w:bCs/>
                <w:kern w:val="0"/>
                <w:sz w:val="24"/>
                <w:lang w:bidi="ar"/>
              </w:rPr>
              <w:t>年）》</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t>（十八）加强统筹协调。</w:t>
            </w:r>
            <w:r>
              <w:rPr>
                <w:rFonts w:ascii="仿宋_GB2312" w:eastAsia="仿宋_GB2312" w:hAnsi="仿宋_GB2312" w:cs="仿宋_GB2312" w:hint="eastAsia"/>
                <w:sz w:val="24"/>
              </w:rPr>
              <w:t>加强对全省游艇产业发展工作的统筹协调，制定出台广东省游艇产业中长期发展规划，明确游艇产业发展目标，因地制宜确定粤港澳大湾区内地城市群游艇产业发展重点，实现优势互补、错位发展。</w:t>
            </w:r>
          </w:p>
        </w:tc>
      </w:tr>
      <w:tr w:rsidR="005E4B3C">
        <w:tc>
          <w:tcPr>
            <w:tcW w:w="1591"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jc w:val="left"/>
              <w:rPr>
                <w:rFonts w:ascii="仿宋_GB2312" w:eastAsia="仿宋_GB2312" w:hAnsi="仿宋_GB2312" w:cs="仿宋_GB2312"/>
                <w:sz w:val="24"/>
              </w:rPr>
            </w:pPr>
            <w:r>
              <w:rPr>
                <w:rStyle w:val="a3"/>
                <w:rFonts w:ascii="仿宋_GB2312" w:eastAsia="仿宋_GB2312" w:hAnsi="仿宋_GB2312" w:cs="仿宋_GB2312" w:hint="eastAsia"/>
                <w:kern w:val="0"/>
                <w:sz w:val="24"/>
                <w:lang w:bidi="ar"/>
              </w:rPr>
              <w:t>（十八）加大金融保险支持</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积极探索针对游艇设计建造、购置消费、配套基础设施建设的金融贷款和融资租赁等服务，积</w:t>
            </w:r>
            <w:r>
              <w:rPr>
                <w:rFonts w:ascii="仿宋_GB2312" w:eastAsia="仿宋_GB2312" w:hAnsi="仿宋_GB2312" w:cs="仿宋_GB2312" w:hint="eastAsia"/>
                <w:kern w:val="0"/>
                <w:sz w:val="24"/>
                <w:lang w:bidi="ar"/>
              </w:rPr>
              <w:lastRenderedPageBreak/>
              <w:t>极争取纳入省</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“交运贷”“交运租”</w:t>
            </w:r>
            <w:r>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贴息支持范围。鼓励保险机构开发游艇保险产品，优化承保流程和服务体验，满足多样化保障需求。（苏州金融监管分局、市财政局、市发展改革委、市工信局、市交通运输局、市商务局、市文广旅局，相关县级市（</w:t>
            </w:r>
            <w:r>
              <w:rPr>
                <w:rFonts w:ascii="仿宋_GB2312" w:eastAsia="仿宋_GB2312" w:hAnsi="仿宋_GB2312" w:cs="仿宋_GB2312" w:hint="eastAsia"/>
                <w:kern w:val="0"/>
                <w:sz w:val="24"/>
                <w:lang w:bidi="ar"/>
              </w:rPr>
              <w:t>区）人民政府按职责分工负责）</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lastRenderedPageBreak/>
              <w:t>《关于推动游艇业发展的若干措施》</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苏政办规〔</w:t>
            </w:r>
            <w:r>
              <w:rPr>
                <w:rFonts w:ascii="仿宋_GB2312" w:eastAsia="仿宋_GB2312" w:hAnsi="仿宋_GB2312" w:cs="仿宋_GB2312" w:hint="eastAsia"/>
                <w:b/>
                <w:bCs/>
                <w:kern w:val="0"/>
                <w:sz w:val="24"/>
                <w:lang w:bidi="ar"/>
              </w:rPr>
              <w:t>2025</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6</w:t>
            </w:r>
            <w:r>
              <w:rPr>
                <w:rFonts w:ascii="仿宋_GB2312" w:eastAsia="仿宋_GB2312" w:hAnsi="仿宋_GB2312" w:cs="仿宋_GB2312" w:hint="eastAsia"/>
                <w:b/>
                <w:bCs/>
                <w:kern w:val="0"/>
                <w:sz w:val="24"/>
                <w:lang w:bidi="ar"/>
              </w:rPr>
              <w:t>号</w:t>
            </w:r>
            <w:r>
              <w:rPr>
                <w:rFonts w:ascii="仿宋_GB2312" w:eastAsia="仿宋_GB2312" w:hAnsi="仿宋_GB2312" w:cs="仿宋_GB2312" w:hint="eastAsia"/>
                <w:b/>
                <w:bCs/>
                <w:kern w:val="0"/>
                <w:sz w:val="24"/>
                <w:lang w:bidi="ar"/>
              </w:rPr>
              <w:t>)</w:t>
            </w:r>
          </w:p>
          <w:p w:rsidR="005E4B3C" w:rsidRDefault="00CC2127">
            <w:pPr>
              <w:widowControl/>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kern w:val="0"/>
                <w:sz w:val="24"/>
                <w:lang w:bidi="ar"/>
              </w:rPr>
              <w:t>（二十）加强财政金融支持。</w:t>
            </w:r>
            <w:r>
              <w:rPr>
                <w:rFonts w:ascii="仿宋_GB2312" w:eastAsia="仿宋_GB2312" w:hAnsi="仿宋_GB2312" w:cs="仿宋_GB2312" w:hint="eastAsia"/>
                <w:kern w:val="0"/>
                <w:sz w:val="24"/>
                <w:lang w:bidi="ar"/>
              </w:rPr>
              <w:t>探索创新</w:t>
            </w:r>
            <w:r>
              <w:rPr>
                <w:rFonts w:ascii="仿宋_GB2312" w:eastAsia="仿宋_GB2312" w:hAnsi="仿宋_GB2312" w:cs="仿宋_GB2312" w:hint="eastAsia"/>
                <w:kern w:val="0"/>
                <w:sz w:val="24"/>
                <w:lang w:bidi="ar"/>
              </w:rPr>
              <w:lastRenderedPageBreak/>
              <w:t>对游艇业发展的金融支持措施，为游艇建造、购买及相关基础设施建设提供贷款和融资租赁等服务，并纳入全省“交运贷”“交运租”贴息支持范围。鼓励保险机构探索开展游艇相关保险业务，优化保险产品和服务，满足不同群体保障需求。</w:t>
            </w:r>
          </w:p>
        </w:tc>
        <w:tc>
          <w:tcPr>
            <w:tcW w:w="1704" w:type="pct"/>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lastRenderedPageBreak/>
              <w:t>《广东省推动游艇产业高质量发展行动方案（</w:t>
            </w:r>
            <w:r>
              <w:rPr>
                <w:rFonts w:ascii="仿宋_GB2312" w:eastAsia="仿宋_GB2312" w:hAnsi="仿宋_GB2312" w:cs="仿宋_GB2312" w:hint="eastAsia"/>
                <w:b/>
                <w:bCs/>
                <w:kern w:val="0"/>
                <w:sz w:val="24"/>
                <w:lang w:bidi="ar"/>
              </w:rPr>
              <w:t>2024</w:t>
            </w:r>
            <w:r>
              <w:rPr>
                <w:rFonts w:ascii="仿宋_GB2312" w:eastAsia="仿宋_GB2312" w:hAnsi="仿宋_GB2312" w:cs="仿宋_GB2312" w:hint="eastAsia"/>
                <w:b/>
                <w:bCs/>
                <w:kern w:val="0"/>
                <w:sz w:val="24"/>
                <w:lang w:bidi="ar"/>
              </w:rPr>
              <w:t>—</w:t>
            </w:r>
            <w:r>
              <w:rPr>
                <w:rFonts w:ascii="仿宋_GB2312" w:eastAsia="仿宋_GB2312" w:hAnsi="仿宋_GB2312" w:cs="仿宋_GB2312" w:hint="eastAsia"/>
                <w:b/>
                <w:bCs/>
                <w:kern w:val="0"/>
                <w:sz w:val="24"/>
                <w:lang w:bidi="ar"/>
              </w:rPr>
              <w:t>2027</w:t>
            </w:r>
            <w:r>
              <w:rPr>
                <w:rFonts w:ascii="仿宋_GB2312" w:eastAsia="仿宋_GB2312" w:hAnsi="仿宋_GB2312" w:cs="仿宋_GB2312" w:hint="eastAsia"/>
                <w:b/>
                <w:bCs/>
                <w:kern w:val="0"/>
                <w:sz w:val="24"/>
                <w:lang w:bidi="ar"/>
              </w:rPr>
              <w:t>年）》</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（二十）加大金融支持力度。</w:t>
            </w:r>
            <w:r>
              <w:rPr>
                <w:rFonts w:ascii="仿宋_GB2312" w:eastAsia="仿宋_GB2312" w:hAnsi="仿宋_GB2312" w:cs="仿宋_GB2312" w:hint="eastAsia"/>
                <w:kern w:val="0"/>
                <w:sz w:val="24"/>
                <w:lang w:bidi="ar"/>
              </w:rPr>
              <w:t>鼓励各类</w:t>
            </w:r>
            <w:r>
              <w:rPr>
                <w:rFonts w:ascii="仿宋_GB2312" w:eastAsia="仿宋_GB2312" w:hAnsi="仿宋_GB2312" w:cs="仿宋_GB2312" w:hint="eastAsia"/>
                <w:kern w:val="0"/>
                <w:sz w:val="24"/>
                <w:lang w:bidi="ar"/>
              </w:rPr>
              <w:lastRenderedPageBreak/>
              <w:t>金融机构加大对游艇制造项目、游艇基础设施建设及游艇企业的融资支持。鼓励保</w:t>
            </w:r>
            <w:r>
              <w:rPr>
                <w:rFonts w:ascii="仿宋_GB2312" w:eastAsia="仿宋_GB2312" w:hAnsi="仿宋_GB2312" w:cs="仿宋_GB2312" w:hint="eastAsia"/>
                <w:kern w:val="0"/>
                <w:sz w:val="24"/>
                <w:lang w:bidi="ar"/>
              </w:rPr>
              <w:t>险机构探索开展游艇相关保险业务，优化保险产品和服务，满足不同群体风险保障需求。支持发展游艇融资租赁，鼓励符合条件的游艇企业通过上市挂牌、发行债券等方式融资。</w:t>
            </w:r>
          </w:p>
          <w:p w:rsidR="005E4B3C" w:rsidRDefault="00CC2127">
            <w:pPr>
              <w:widowControl/>
              <w:ind w:firstLineChars="200" w:firstLine="482"/>
              <w:jc w:val="left"/>
              <w:rPr>
                <w:rFonts w:ascii="仿宋_GB2312" w:eastAsia="仿宋_GB2312" w:hAnsi="仿宋_GB2312" w:cs="仿宋_GB2312"/>
                <w:b/>
                <w:bCs/>
                <w:kern w:val="0"/>
                <w:sz w:val="24"/>
                <w:lang w:bidi="ar"/>
              </w:rPr>
            </w:pPr>
            <w:r>
              <w:rPr>
                <w:rFonts w:ascii="仿宋_GB2312" w:eastAsia="仿宋_GB2312" w:hAnsi="仿宋_GB2312" w:cs="仿宋_GB2312" w:hint="eastAsia"/>
                <w:b/>
                <w:bCs/>
                <w:kern w:val="0"/>
                <w:sz w:val="24"/>
                <w:lang w:bidi="ar"/>
              </w:rPr>
              <w:t>《海南自由贸易港游艇产业促进条例》</w:t>
            </w:r>
          </w:p>
          <w:p w:rsidR="005E4B3C" w:rsidRDefault="00CC2127">
            <w:pPr>
              <w:widowControl/>
              <w:ind w:firstLineChars="200" w:firstLine="482"/>
              <w:jc w:val="left"/>
              <w:rPr>
                <w:rFonts w:ascii="仿宋_GB2312" w:eastAsia="仿宋_GB2312" w:hAnsi="仿宋_GB2312" w:cs="仿宋_GB2312"/>
                <w:kern w:val="0"/>
                <w:sz w:val="24"/>
                <w:lang w:bidi="ar"/>
              </w:rPr>
            </w:pPr>
            <w:r>
              <w:rPr>
                <w:rFonts w:ascii="仿宋_GB2312" w:eastAsia="仿宋_GB2312" w:hAnsi="仿宋_GB2312" w:cs="仿宋_GB2312" w:hint="eastAsia"/>
                <w:b/>
                <w:bCs/>
                <w:kern w:val="0"/>
                <w:sz w:val="24"/>
                <w:lang w:bidi="ar"/>
              </w:rPr>
              <w:t>第十七条</w:t>
            </w:r>
            <w:r>
              <w:rPr>
                <w:rFonts w:ascii="仿宋_GB2312" w:eastAsia="仿宋_GB2312" w:hAnsi="仿宋_GB2312" w:cs="仿宋_GB2312" w:hint="eastAsia"/>
                <w:kern w:val="0"/>
                <w:sz w:val="24"/>
                <w:lang w:bidi="ar"/>
              </w:rPr>
              <w:t>“支持保险机构开发与游艇产业相关的财产保险、责任保险、意外伤害保险等产品和服务，拓宽保险业务范围，创新服务模式。”</w:t>
            </w:r>
          </w:p>
        </w:tc>
      </w:tr>
    </w:tbl>
    <w:p w:rsidR="005E4B3C" w:rsidRDefault="005E4B3C"/>
    <w:sectPr w:rsidR="005E4B3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127" w:rsidRDefault="00CC2127" w:rsidP="00D253C7">
      <w:r>
        <w:separator/>
      </w:r>
    </w:p>
  </w:endnote>
  <w:endnote w:type="continuationSeparator" w:id="0">
    <w:p w:rsidR="00CC2127" w:rsidRDefault="00CC2127" w:rsidP="00D2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127" w:rsidRDefault="00CC2127" w:rsidP="00D253C7">
      <w:r>
        <w:separator/>
      </w:r>
    </w:p>
  </w:footnote>
  <w:footnote w:type="continuationSeparator" w:id="0">
    <w:p w:rsidR="00CC2127" w:rsidRDefault="00CC2127" w:rsidP="00D253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869C83"/>
    <w:multiLevelType w:val="singleLevel"/>
    <w:tmpl w:val="CB869C83"/>
    <w:lvl w:ilvl="0">
      <w:start w:val="12"/>
      <w:numFmt w:val="chineseCounting"/>
      <w:suff w:val="nothing"/>
      <w:lvlText w:val="（%1）"/>
      <w:lvlJc w:val="left"/>
      <w:rPr>
        <w:rFonts w:hint="eastAsia"/>
      </w:rPr>
    </w:lvl>
  </w:abstractNum>
  <w:abstractNum w:abstractNumId="1" w15:restartNumberingAfterBreak="0">
    <w:nsid w:val="FFFFC56A"/>
    <w:multiLevelType w:val="singleLevel"/>
    <w:tmpl w:val="FFFFC56A"/>
    <w:lvl w:ilvl="0">
      <w:start w:val="3"/>
      <w:numFmt w:val="chineseCounting"/>
      <w:suff w:val="nothing"/>
      <w:lvlText w:val="（%1）"/>
      <w:lvlJc w:val="left"/>
      <w:rPr>
        <w:rFonts w:hint="eastAsia"/>
      </w:rPr>
    </w:lvl>
  </w:abstractNum>
  <w:abstractNum w:abstractNumId="2" w15:restartNumberingAfterBreak="0">
    <w:nsid w:val="7DAE295C"/>
    <w:multiLevelType w:val="singleLevel"/>
    <w:tmpl w:val="7DAE295C"/>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3C"/>
    <w:rsid w:val="EFB21D87"/>
    <w:rsid w:val="EFB6F36C"/>
    <w:rsid w:val="EFED196B"/>
    <w:rsid w:val="F4FEAB70"/>
    <w:rsid w:val="F55DC1A9"/>
    <w:rsid w:val="F6DBF17B"/>
    <w:rsid w:val="F767329A"/>
    <w:rsid w:val="F7FF6491"/>
    <w:rsid w:val="F9D3D6E8"/>
    <w:rsid w:val="F9DF0153"/>
    <w:rsid w:val="F9E5E4FB"/>
    <w:rsid w:val="FA3E5C6F"/>
    <w:rsid w:val="FAAAA104"/>
    <w:rsid w:val="FB8CC23D"/>
    <w:rsid w:val="FBBB34AE"/>
    <w:rsid w:val="FC7F4CFB"/>
    <w:rsid w:val="FD67F7AE"/>
    <w:rsid w:val="FD7CFF3D"/>
    <w:rsid w:val="FD7DB367"/>
    <w:rsid w:val="FDDBA5AE"/>
    <w:rsid w:val="FDFB1DC1"/>
    <w:rsid w:val="FE75FD76"/>
    <w:rsid w:val="FF395E18"/>
    <w:rsid w:val="FF7B1854"/>
    <w:rsid w:val="FF9E4EF3"/>
    <w:rsid w:val="FFF9DD28"/>
    <w:rsid w:val="FFFEA4E3"/>
    <w:rsid w:val="FFFF2CC7"/>
    <w:rsid w:val="00430467"/>
    <w:rsid w:val="005E4B3C"/>
    <w:rsid w:val="00CC2127"/>
    <w:rsid w:val="00D253C7"/>
    <w:rsid w:val="068A3C77"/>
    <w:rsid w:val="0737848C"/>
    <w:rsid w:val="0FBF101F"/>
    <w:rsid w:val="13A8699E"/>
    <w:rsid w:val="140812B7"/>
    <w:rsid w:val="16FF52F3"/>
    <w:rsid w:val="18E92A80"/>
    <w:rsid w:val="227710FC"/>
    <w:rsid w:val="2566676B"/>
    <w:rsid w:val="2DFFC4E9"/>
    <w:rsid w:val="36F9DA82"/>
    <w:rsid w:val="37BF39E1"/>
    <w:rsid w:val="37ED7A3F"/>
    <w:rsid w:val="3E5B6389"/>
    <w:rsid w:val="3F77AA7B"/>
    <w:rsid w:val="3FAD8EA5"/>
    <w:rsid w:val="3FB2F409"/>
    <w:rsid w:val="3FBB3D10"/>
    <w:rsid w:val="3FDF475D"/>
    <w:rsid w:val="3FFE0B44"/>
    <w:rsid w:val="3FFEE03E"/>
    <w:rsid w:val="49543DC1"/>
    <w:rsid w:val="4C8147A2"/>
    <w:rsid w:val="4FAE13B8"/>
    <w:rsid w:val="4FD45F40"/>
    <w:rsid w:val="4FFB9F18"/>
    <w:rsid w:val="554D329E"/>
    <w:rsid w:val="55BE25C3"/>
    <w:rsid w:val="57BF9BD8"/>
    <w:rsid w:val="590D1897"/>
    <w:rsid w:val="59D611EF"/>
    <w:rsid w:val="5A5DA003"/>
    <w:rsid w:val="5BC56459"/>
    <w:rsid w:val="5DD717A4"/>
    <w:rsid w:val="5DF1E2B1"/>
    <w:rsid w:val="5EFA4573"/>
    <w:rsid w:val="5EFB78C7"/>
    <w:rsid w:val="5EFE36EE"/>
    <w:rsid w:val="5F73A892"/>
    <w:rsid w:val="61310333"/>
    <w:rsid w:val="63DF4596"/>
    <w:rsid w:val="64BE93CD"/>
    <w:rsid w:val="6780592A"/>
    <w:rsid w:val="68882CE8"/>
    <w:rsid w:val="68EFD062"/>
    <w:rsid w:val="69EC97B0"/>
    <w:rsid w:val="6BFDF11F"/>
    <w:rsid w:val="6BFE703D"/>
    <w:rsid w:val="6DF02DDA"/>
    <w:rsid w:val="6FFBAE83"/>
    <w:rsid w:val="717958C4"/>
    <w:rsid w:val="75ABA697"/>
    <w:rsid w:val="76D75F5B"/>
    <w:rsid w:val="79694470"/>
    <w:rsid w:val="79F715CC"/>
    <w:rsid w:val="7A7C18B0"/>
    <w:rsid w:val="7D7FFA93"/>
    <w:rsid w:val="7DEE32B0"/>
    <w:rsid w:val="7DFC85B6"/>
    <w:rsid w:val="7DFF63B9"/>
    <w:rsid w:val="7E0B3D48"/>
    <w:rsid w:val="7F4B6E33"/>
    <w:rsid w:val="7FCFF866"/>
    <w:rsid w:val="7FDFAA5B"/>
    <w:rsid w:val="7FF5A692"/>
    <w:rsid w:val="97BF7CB3"/>
    <w:rsid w:val="9F3F1F87"/>
    <w:rsid w:val="9FCFECB6"/>
    <w:rsid w:val="A6D9F4B8"/>
    <w:rsid w:val="AFFF8318"/>
    <w:rsid w:val="B6FBBF9D"/>
    <w:rsid w:val="BA7FEEC5"/>
    <w:rsid w:val="BB32A7EC"/>
    <w:rsid w:val="BB7F790C"/>
    <w:rsid w:val="BECF4DBD"/>
    <w:rsid w:val="BFCF7E66"/>
    <w:rsid w:val="BFE65717"/>
    <w:rsid w:val="BFFA7C42"/>
    <w:rsid w:val="BFFE57A5"/>
    <w:rsid w:val="D5DF61A6"/>
    <w:rsid w:val="D5FB1CE4"/>
    <w:rsid w:val="DAEB5D9B"/>
    <w:rsid w:val="DDFDF3F9"/>
    <w:rsid w:val="DEFFB091"/>
    <w:rsid w:val="DF9ADD56"/>
    <w:rsid w:val="DFBF2BD6"/>
    <w:rsid w:val="DFCFA823"/>
    <w:rsid w:val="DFED8CE3"/>
    <w:rsid w:val="DFEED581"/>
    <w:rsid w:val="E7F7A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9910C"/>
  <w15:docId w15:val="{0B00102D-28C9-4ECA-B973-F2C55862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a5"/>
    <w:rsid w:val="00D253C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253C7"/>
    <w:rPr>
      <w:rFonts w:asciiTheme="minorHAnsi" w:eastAsiaTheme="minorEastAsia" w:hAnsiTheme="minorHAnsi" w:cstheme="minorBidi"/>
      <w:kern w:val="2"/>
      <w:sz w:val="18"/>
      <w:szCs w:val="18"/>
    </w:rPr>
  </w:style>
  <w:style w:type="paragraph" w:styleId="a6">
    <w:name w:val="footer"/>
    <w:basedOn w:val="a"/>
    <w:link w:val="a7"/>
    <w:rsid w:val="00D253C7"/>
    <w:pPr>
      <w:tabs>
        <w:tab w:val="center" w:pos="4153"/>
        <w:tab w:val="right" w:pos="8306"/>
      </w:tabs>
      <w:snapToGrid w:val="0"/>
      <w:jc w:val="left"/>
    </w:pPr>
    <w:rPr>
      <w:sz w:val="18"/>
      <w:szCs w:val="18"/>
    </w:rPr>
  </w:style>
  <w:style w:type="character" w:customStyle="1" w:styleId="a7">
    <w:name w:val="页脚 字符"/>
    <w:basedOn w:val="a0"/>
    <w:link w:val="a6"/>
    <w:rsid w:val="00D253C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1811</Words>
  <Characters>10327</Characters>
  <Application>Microsoft Office Word</Application>
  <DocSecurity>0</DocSecurity>
  <Lines>86</Lines>
  <Paragraphs>24</Paragraphs>
  <ScaleCrop>false</ScaleCrop>
  <Company>微软公司</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Tong</cp:lastModifiedBy>
  <cp:revision>3</cp:revision>
  <cp:lastPrinted>2026-03-19T22:17:00Z</cp:lastPrinted>
  <dcterms:created xsi:type="dcterms:W3CDTF">2014-10-31T12:08:00Z</dcterms:created>
  <dcterms:modified xsi:type="dcterms:W3CDTF">2026-03-20T04:19:00Z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KSOTemplateDocerSaveRecord">
    <vt:lpwstr>eyJoZGlkIjoiN2Q0MjBlZjY5ZTBiNDEzYmEwZWI3YTZiYTA5NWQyYzAiLCJ1c2VySWQiOiI0NjIzMTg3ODQifQ==</vt:lpwstr>
  </property>
  <property fmtid="{D5CDD505-2E9C-101B-9397-08002B2CF9AE}" pid="4" name="ICV">
    <vt:lpwstr>D3CCFE4522218E134DC6BC69F66E39D1_43</vt:lpwstr>
  </property>
</Properties>
</file>