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pacing w:val="-16"/>
          <w:sz w:val="44"/>
          <w:szCs w:val="44"/>
        </w:rPr>
        <w:t>《苏州市游艇业发展试点方案（征求意见稿）》</w:t>
      </w:r>
      <w:r>
        <w:rPr>
          <w:rFonts w:hint="eastAsia" w:eastAsia="方正小标宋_GBK" w:cs="Times New Roman"/>
          <w:sz w:val="44"/>
          <w:szCs w:val="44"/>
        </w:rPr>
        <w:t>起草说明</w:t>
      </w:r>
    </w:p>
    <w:p>
      <w:pPr>
        <w:ind w:firstLine="640"/>
        <w:rPr>
          <w:color w:val="000000"/>
        </w:rPr>
      </w:pPr>
    </w:p>
    <w:p>
      <w:pPr>
        <w:spacing w:line="580" w:lineRule="exact"/>
        <w:ind w:firstLine="640"/>
        <w:rPr>
          <w:color w:val="000000"/>
        </w:rPr>
      </w:pPr>
      <w:r>
        <w:rPr>
          <w:rFonts w:hint="eastAsia"/>
          <w:color w:val="000000"/>
        </w:rPr>
        <w:t>为贯彻落实党中央决策部署和省委、省政府工作要求，充分发挥苏州市场资源优势，立足游艇消费大众化发展方向，培育完善游艇业生态，更好服务苏州社会经济发展，我局</w:t>
      </w:r>
      <w:r>
        <w:rPr>
          <w:color w:val="000000"/>
        </w:rPr>
        <w:t>牵头起草了</w:t>
      </w:r>
      <w:r>
        <w:rPr>
          <w:rFonts w:hint="eastAsia"/>
          <w:color w:val="000000"/>
        </w:rPr>
        <w:t>《苏州市游艇业发展试点方案（征求意见稿）》（以下</w:t>
      </w:r>
      <w:r>
        <w:rPr>
          <w:color w:val="000000"/>
        </w:rPr>
        <w:t>简称《</w:t>
      </w:r>
      <w:r>
        <w:rPr>
          <w:rFonts w:hint="eastAsia"/>
          <w:color w:val="000000"/>
        </w:rPr>
        <w:t>试点</w:t>
      </w:r>
      <w:r>
        <w:rPr>
          <w:color w:val="000000"/>
        </w:rPr>
        <w:t>方案》</w:t>
      </w:r>
      <w:r>
        <w:rPr>
          <w:rFonts w:hint="eastAsia"/>
          <w:color w:val="000000"/>
        </w:rPr>
        <w:t>），力争为全省游艇业高质量发展提供一套可复制、可推广的发展路径。</w:t>
      </w:r>
    </w:p>
    <w:p>
      <w:pPr>
        <w:pStyle w:val="2"/>
        <w:spacing w:before="0" w:after="0" w:line="580" w:lineRule="exact"/>
        <w:ind w:firstLine="640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一、起草背景</w:t>
      </w:r>
    </w:p>
    <w:p>
      <w:pPr>
        <w:spacing w:line="580" w:lineRule="exact"/>
        <w:ind w:firstLine="640"/>
        <w:rPr>
          <w:rFonts w:cs="Times New Roman"/>
        </w:rPr>
      </w:pPr>
      <w:r>
        <w:rPr>
          <w:rFonts w:hint="eastAsia" w:cs="Times New Roman"/>
        </w:rPr>
        <w:t>游艇业作为跨行业、跨领域的综合性产业，涵盖高端制造、基础设施、休闲旅游、高品质消费等多个环节，其产业链长、带动作用大、发展前景广阔，对提升现代服务业水平、促进区域经济社会发展、满足人民日益增长的美好生活需要具有重要意义。2025年11月，</w:t>
      </w:r>
      <w:bookmarkStart w:id="0" w:name="OLE_LINK1"/>
      <w:r>
        <w:rPr>
          <w:rFonts w:hint="eastAsia" w:cs="Times New Roman"/>
        </w:rPr>
        <w:t>省政府办公厅印发</w:t>
      </w:r>
      <w:bookmarkEnd w:id="0"/>
      <w:r>
        <w:rPr>
          <w:rFonts w:hint="eastAsia" w:cs="Times New Roman"/>
        </w:rPr>
        <w:t>实施《关于推动游艇业发展的若干措施》（苏政办规〔2025〕6号），将苏州列为全省游艇业发展试点城市；2026年2月</w:t>
      </w:r>
      <w:r>
        <w:rPr>
          <w:rFonts w:cs="Times New Roman"/>
        </w:rPr>
        <w:t>，</w:t>
      </w:r>
      <w:r>
        <w:rPr>
          <w:rFonts w:hint="eastAsia" w:cs="Times New Roman"/>
        </w:rPr>
        <w:t>省政府办公厅印发《2026年全省推动游艇业发展工作要点》，要求苏州</w:t>
      </w:r>
      <w:r>
        <w:rPr>
          <w:rFonts w:cs="Times New Roman"/>
        </w:rPr>
        <w:t>作为</w:t>
      </w:r>
      <w:r>
        <w:rPr>
          <w:rFonts w:hint="eastAsia" w:cs="Times New Roman"/>
        </w:rPr>
        <w:t>试点</w:t>
      </w:r>
      <w:r>
        <w:rPr>
          <w:rFonts w:cs="Times New Roman"/>
        </w:rPr>
        <w:t>城市制定试点方案。</w:t>
      </w:r>
      <w:r>
        <w:rPr>
          <w:rFonts w:hint="eastAsia" w:cs="Times New Roman"/>
        </w:rPr>
        <w:t>苏州</w:t>
      </w:r>
      <w:r>
        <w:rPr>
          <w:rFonts w:cs="Times New Roman"/>
        </w:rPr>
        <w:t>市政府主要领导高度重视，多次批示，要求</w:t>
      </w:r>
      <w:r>
        <w:rPr>
          <w:rFonts w:hint="eastAsia" w:cs="Times New Roman"/>
        </w:rPr>
        <w:t>相关</w:t>
      </w:r>
      <w:r>
        <w:rPr>
          <w:rFonts w:cs="Times New Roman"/>
        </w:rPr>
        <w:t>部门在省级相关</w:t>
      </w:r>
      <w:r>
        <w:rPr>
          <w:rFonts w:hint="eastAsia" w:cs="Times New Roman"/>
        </w:rPr>
        <w:t>部门</w:t>
      </w:r>
      <w:r>
        <w:rPr>
          <w:rFonts w:cs="Times New Roman"/>
        </w:rPr>
        <w:t>指导下稳妥推进。</w:t>
      </w:r>
      <w:r>
        <w:rPr>
          <w:rFonts w:hint="eastAsia" w:cs="Times New Roman"/>
        </w:rPr>
        <w:t>制定实施《试点</w:t>
      </w:r>
      <w:r>
        <w:rPr>
          <w:rFonts w:cs="Times New Roman"/>
        </w:rPr>
        <w:t>方案</w:t>
      </w:r>
      <w:r>
        <w:rPr>
          <w:rFonts w:hint="eastAsia" w:cs="Times New Roman"/>
        </w:rPr>
        <w:t>》，有利于充分发挥苏州优势，进一步拉动内需、促进消费，推动游艇业高质量发展，为全省游艇业发展探路先行。</w:t>
      </w:r>
    </w:p>
    <w:p>
      <w:pPr>
        <w:pStyle w:val="2"/>
        <w:spacing w:before="0" w:after="0" w:line="580" w:lineRule="exact"/>
        <w:ind w:firstLine="640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二、</w:t>
      </w:r>
      <w:r>
        <w:rPr>
          <w:rFonts w:ascii="黑体" w:hAnsi="黑体" w:eastAsia="黑体"/>
          <w:b w:val="0"/>
          <w:sz w:val="32"/>
          <w:szCs w:val="32"/>
        </w:rPr>
        <w:t>起草依据和过程</w:t>
      </w:r>
    </w:p>
    <w:p>
      <w:pPr>
        <w:spacing w:line="580" w:lineRule="exact"/>
        <w:ind w:firstLine="640"/>
        <w:rPr>
          <w:rFonts w:cs="Times New Roman"/>
        </w:rPr>
      </w:pPr>
      <w:r>
        <w:rPr>
          <w:rFonts w:hint="eastAsia" w:cs="Times New Roman"/>
        </w:rPr>
        <w:t>《试点方案》</w:t>
      </w:r>
      <w:r>
        <w:rPr>
          <w:rFonts w:cs="Times New Roman"/>
          <w:lang w:bidi="ar"/>
        </w:rPr>
        <w:t>主要依据</w:t>
      </w:r>
      <w:r>
        <w:rPr>
          <w:rFonts w:hint="eastAsia" w:cs="Times New Roman"/>
        </w:rPr>
        <w:t>省政府办公厅《关于推动游艇业发展的若干措施》，</w:t>
      </w:r>
      <w:r>
        <w:rPr>
          <w:rFonts w:cs="Times New Roman"/>
        </w:rPr>
        <w:t>以及</w:t>
      </w:r>
      <w:r>
        <w:rPr>
          <w:rFonts w:hint="eastAsia" w:cs="Times New Roman"/>
          <w:lang w:bidi="ar"/>
        </w:rPr>
        <w:t>《中华人民共和国内河交通安全管理条例》《游艇安全管理规定》《中华人民共和国船舶登记条例》等法律法规</w:t>
      </w:r>
      <w:r>
        <w:rPr>
          <w:rFonts w:cs="Times New Roman"/>
          <w:lang w:bidi="ar"/>
        </w:rPr>
        <w:t>，</w:t>
      </w:r>
      <w:r>
        <w:rPr>
          <w:rFonts w:hint="eastAsia" w:cs="Times New Roman"/>
          <w:lang w:bidi="ar"/>
        </w:rPr>
        <w:t>以及其他</w:t>
      </w:r>
      <w:r>
        <w:rPr>
          <w:rFonts w:cs="Times New Roman"/>
          <w:lang w:bidi="ar"/>
        </w:rPr>
        <w:t>城市的</w:t>
      </w:r>
      <w:r>
        <w:rPr>
          <w:rFonts w:hint="eastAsia" w:cs="Times New Roman"/>
          <w:lang w:bidi="ar"/>
        </w:rPr>
        <w:t>相关文件</w:t>
      </w:r>
      <w:r>
        <w:rPr>
          <w:rFonts w:cs="Times New Roman"/>
          <w:lang w:bidi="ar"/>
        </w:rPr>
        <w:t>和</w:t>
      </w:r>
      <w:r>
        <w:rPr>
          <w:rFonts w:hint="eastAsia" w:cs="Times New Roman"/>
          <w:lang w:bidi="ar"/>
        </w:rPr>
        <w:t>发展</w:t>
      </w:r>
      <w:r>
        <w:rPr>
          <w:rFonts w:cs="Times New Roman"/>
          <w:lang w:bidi="ar"/>
        </w:rPr>
        <w:t>成果。</w:t>
      </w:r>
    </w:p>
    <w:p>
      <w:pPr>
        <w:spacing w:line="580" w:lineRule="exact"/>
        <w:ind w:firstLine="640"/>
        <w:rPr>
          <w:rFonts w:cs="Times New Roman"/>
          <w:lang w:bidi="ar"/>
        </w:rPr>
      </w:pPr>
      <w:r>
        <w:rPr>
          <w:rFonts w:hint="eastAsia" w:cs="Times New Roman"/>
        </w:rPr>
        <w:t>2025年</w:t>
      </w:r>
      <w:r>
        <w:rPr>
          <w:rFonts w:cs="Times New Roman"/>
        </w:rPr>
        <w:t>5</w:t>
      </w:r>
      <w:r>
        <w:rPr>
          <w:rFonts w:hint="eastAsia" w:cs="Times New Roman"/>
        </w:rPr>
        <w:t>月份以来</w:t>
      </w:r>
      <w:r>
        <w:rPr>
          <w:rFonts w:cs="Times New Roman"/>
        </w:rPr>
        <w:t>，</w:t>
      </w:r>
      <w:r>
        <w:rPr>
          <w:rFonts w:hint="eastAsia" w:cs="Times New Roman"/>
        </w:rPr>
        <w:t>我局先后</w:t>
      </w:r>
      <w:r>
        <w:rPr>
          <w:rFonts w:cs="Times New Roman"/>
        </w:rPr>
        <w:t>赴</w:t>
      </w:r>
      <w:r>
        <w:rPr>
          <w:rFonts w:hint="eastAsia" w:cs="Times New Roman"/>
        </w:rPr>
        <w:t>广州等</w:t>
      </w:r>
      <w:r>
        <w:rPr>
          <w:rFonts w:hint="eastAsia"/>
        </w:rPr>
        <w:t>国内游艇发展先行地区实地</w:t>
      </w:r>
      <w:r>
        <w:t>调研，</w:t>
      </w:r>
      <w:r>
        <w:rPr>
          <w:rFonts w:hint="eastAsia"/>
        </w:rPr>
        <w:t>起草</w:t>
      </w:r>
      <w:r>
        <w:t>《</w:t>
      </w:r>
      <w:r>
        <w:rPr>
          <w:rFonts w:hint="eastAsia"/>
        </w:rPr>
        <w:t>我市游艇业现状和发展的研究报告</w:t>
      </w:r>
      <w:r>
        <w:t>》</w:t>
      </w:r>
      <w:r>
        <w:rPr>
          <w:rFonts w:hint="eastAsia"/>
        </w:rPr>
        <w:t>并</w:t>
      </w:r>
      <w:r>
        <w:t>上报</w:t>
      </w:r>
      <w:r>
        <w:rPr>
          <w:rFonts w:hint="eastAsia"/>
        </w:rPr>
        <w:t>市政府；</w:t>
      </w:r>
      <w:r>
        <w:rPr>
          <w:rFonts w:hint="eastAsia" w:cs="Times New Roman"/>
        </w:rPr>
        <w:t>2025年</w:t>
      </w:r>
      <w:r>
        <w:rPr>
          <w:rFonts w:cs="Times New Roman"/>
        </w:rPr>
        <w:t>8</w:t>
      </w:r>
      <w:r>
        <w:rPr>
          <w:rFonts w:hint="eastAsia" w:cs="Times New Roman"/>
        </w:rPr>
        <w:t>月份接到省级</w:t>
      </w:r>
      <w:r>
        <w:rPr>
          <w:rFonts w:cs="Times New Roman"/>
        </w:rPr>
        <w:t>相关部门</w:t>
      </w:r>
      <w:r>
        <w:rPr>
          <w:rFonts w:hint="eastAsia" w:cs="Times New Roman"/>
        </w:rPr>
        <w:t>交办任务</w:t>
      </w:r>
      <w:r>
        <w:rPr>
          <w:rFonts w:cs="Times New Roman"/>
        </w:rPr>
        <w:t>，</w:t>
      </w:r>
      <w:r>
        <w:rPr>
          <w:rFonts w:hint="eastAsia" w:cs="Times New Roman"/>
        </w:rPr>
        <w:t>我局牵头</w:t>
      </w:r>
      <w:r>
        <w:rPr>
          <w:rFonts w:cs="Times New Roman"/>
        </w:rPr>
        <w:t>研究制定</w:t>
      </w:r>
      <w:r>
        <w:rPr>
          <w:rFonts w:hint="eastAsia" w:cs="Times New Roman"/>
        </w:rPr>
        <w:t>《试点</w:t>
      </w:r>
      <w:r>
        <w:rPr>
          <w:rFonts w:cs="Times New Roman"/>
        </w:rPr>
        <w:t>方案</w:t>
      </w:r>
      <w:r>
        <w:rPr>
          <w:rFonts w:hint="eastAsia" w:cs="Times New Roman"/>
        </w:rPr>
        <w:t>》，</w:t>
      </w:r>
      <w:r>
        <w:rPr>
          <w:rFonts w:cs="Times New Roman"/>
        </w:rPr>
        <w:t>期间</w:t>
      </w:r>
      <w:r>
        <w:rPr>
          <w:rFonts w:hint="eastAsia" w:cs="Times New Roman"/>
        </w:rPr>
        <w:t>多次组织召开、</w:t>
      </w:r>
      <w:r>
        <w:rPr>
          <w:rFonts w:cs="Times New Roman"/>
        </w:rPr>
        <w:t>并积极参与</w:t>
      </w:r>
      <w:r>
        <w:rPr>
          <w:rFonts w:hint="eastAsia" w:cs="Times New Roman"/>
        </w:rPr>
        <w:t>各层次、各类型企业及游艇俱乐部座谈会，</w:t>
      </w:r>
      <w:r>
        <w:rPr>
          <w:rFonts w:cs="Times New Roman"/>
        </w:rPr>
        <w:t>充分吸取各方面意见建议</w:t>
      </w:r>
      <w:r>
        <w:rPr>
          <w:rFonts w:hint="eastAsia" w:cs="Times New Roman"/>
        </w:rPr>
        <w:t>；2025年12月，为深化部门协同，形成工作合力，经</w:t>
      </w:r>
      <w:r>
        <w:rPr>
          <w:rFonts w:cs="Times New Roman"/>
        </w:rPr>
        <w:t>市政府同意，</w:t>
      </w:r>
      <w:r>
        <w:rPr>
          <w:rFonts w:hint="eastAsia" w:cs="Times New Roman"/>
        </w:rPr>
        <w:t>成立苏州游艇业发展工作专班；2025年12月~2026年3月</w:t>
      </w:r>
      <w:r>
        <w:rPr>
          <w:rFonts w:cs="Times New Roman"/>
        </w:rPr>
        <w:t>，</w:t>
      </w:r>
      <w:r>
        <w:rPr>
          <w:rFonts w:hint="eastAsia" w:cs="Times New Roman"/>
        </w:rPr>
        <w:t>《试点</w:t>
      </w:r>
      <w:r>
        <w:rPr>
          <w:rFonts w:cs="Times New Roman"/>
        </w:rPr>
        <w:t>方案</w:t>
      </w:r>
      <w:r>
        <w:rPr>
          <w:rFonts w:hint="eastAsia" w:cs="Times New Roman"/>
        </w:rPr>
        <w:t>》多次</w:t>
      </w:r>
      <w:r>
        <w:rPr>
          <w:rFonts w:cs="Times New Roman"/>
        </w:rPr>
        <w:t>征求</w:t>
      </w:r>
      <w:r>
        <w:rPr>
          <w:rFonts w:hint="eastAsia" w:cs="Times New Roman"/>
        </w:rPr>
        <w:t>苏州游艇业发展工作专班成员</w:t>
      </w:r>
      <w:r>
        <w:rPr>
          <w:rFonts w:cs="Times New Roman"/>
        </w:rPr>
        <w:t>单位意见并进行修改完善，</w:t>
      </w:r>
      <w:r>
        <w:rPr>
          <w:rFonts w:hint="eastAsia" w:cs="Times New Roman"/>
          <w:lang w:bidi="ar"/>
        </w:rPr>
        <w:t>现将</w:t>
      </w:r>
      <w:r>
        <w:rPr>
          <w:rFonts w:cs="Times New Roman"/>
          <w:lang w:bidi="ar"/>
        </w:rPr>
        <w:t>《</w:t>
      </w:r>
      <w:r>
        <w:rPr>
          <w:rFonts w:hint="eastAsia" w:cs="Times New Roman"/>
          <w:lang w:bidi="ar"/>
        </w:rPr>
        <w:t>试点</w:t>
      </w:r>
      <w:r>
        <w:rPr>
          <w:rFonts w:cs="Times New Roman"/>
          <w:lang w:bidi="ar"/>
        </w:rPr>
        <w:t>方案》</w:t>
      </w:r>
      <w:r>
        <w:rPr>
          <w:rFonts w:hint="eastAsia" w:cs="Times New Roman"/>
          <w:lang w:bidi="ar"/>
        </w:rPr>
        <w:t>通过市交通运输局官网向社会公开征求意见。</w:t>
      </w:r>
    </w:p>
    <w:p>
      <w:pPr>
        <w:pStyle w:val="2"/>
        <w:spacing w:before="0" w:after="0" w:line="580" w:lineRule="exact"/>
        <w:ind w:firstLine="640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三、主要内容及特点</w:t>
      </w:r>
    </w:p>
    <w:p>
      <w:pPr>
        <w:spacing w:line="580" w:lineRule="exact"/>
        <w:ind w:firstLine="640"/>
        <w:rPr>
          <w:rFonts w:cs="Times New Roman"/>
        </w:rPr>
      </w:pPr>
      <w:r>
        <w:rPr>
          <w:rFonts w:hint="eastAsia" w:cs="Times New Roman"/>
        </w:rPr>
        <w:t>《试点方案》共</w:t>
      </w:r>
      <w:r>
        <w:rPr>
          <w:rFonts w:cs="Times New Roman"/>
        </w:rPr>
        <w:t>包括5</w:t>
      </w:r>
      <w:r>
        <w:rPr>
          <w:rFonts w:hint="eastAsia" w:cs="Times New Roman"/>
        </w:rPr>
        <w:t>部分</w:t>
      </w:r>
      <w:r>
        <w:rPr>
          <w:rFonts w:cs="Times New Roman"/>
        </w:rPr>
        <w:t>18</w:t>
      </w:r>
      <w:r>
        <w:rPr>
          <w:rFonts w:hint="eastAsia" w:cs="Times New Roman"/>
        </w:rPr>
        <w:t>条</w:t>
      </w:r>
      <w:r>
        <w:rPr>
          <w:rFonts w:cs="Times New Roman"/>
        </w:rPr>
        <w:t>具体任务</w:t>
      </w:r>
      <w:r>
        <w:rPr>
          <w:rFonts w:hint="eastAsia" w:cs="Times New Roman"/>
        </w:rPr>
        <w:t>，</w:t>
      </w:r>
      <w:r>
        <w:rPr>
          <w:rFonts w:hint="eastAsia"/>
        </w:rPr>
        <w:t>推动消费端、产业端、服务端协同发力，助力游艇业全链条高质量发展</w:t>
      </w:r>
      <w:r>
        <w:rPr>
          <w:rFonts w:hint="eastAsia" w:cs="Times New Roman"/>
        </w:rPr>
        <w:t>：</w:t>
      </w:r>
    </w:p>
    <w:p>
      <w:pPr>
        <w:spacing w:line="580" w:lineRule="exact"/>
        <w:ind w:firstLine="643"/>
        <w:rPr>
          <w:rFonts w:cs="Times New Roman"/>
        </w:rPr>
      </w:pP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一是加强政务服务保障。</w:t>
      </w:r>
      <w:r>
        <w:rPr>
          <w:rFonts w:hint="eastAsia" w:cs="Times New Roman"/>
        </w:rPr>
        <w:t>统筹好发展</w:t>
      </w:r>
      <w:r>
        <w:rPr>
          <w:rFonts w:cs="Times New Roman"/>
        </w:rPr>
        <w:t>和安全</w:t>
      </w:r>
      <w:r>
        <w:rPr>
          <w:rFonts w:hint="eastAsia" w:cs="Times New Roman"/>
        </w:rPr>
        <w:t>，加强游艇安全综合治理，强化多部门协同监管，在坚守</w:t>
      </w:r>
      <w:r>
        <w:rPr>
          <w:rFonts w:cs="Times New Roman"/>
        </w:rPr>
        <w:t>安全底线前提</w:t>
      </w:r>
      <w:r>
        <w:rPr>
          <w:rFonts w:hint="eastAsia" w:cs="Times New Roman"/>
        </w:rPr>
        <w:t>下</w:t>
      </w:r>
      <w:r>
        <w:rPr>
          <w:rFonts w:cs="Times New Roman"/>
        </w:rPr>
        <w:t>，</w:t>
      </w:r>
      <w:r>
        <w:rPr>
          <w:rFonts w:hint="eastAsia" w:cs="Times New Roman"/>
        </w:rPr>
        <w:t>通过优化游艇检验、登记办理、航行报备、游艇俱乐部备案等</w:t>
      </w:r>
      <w:r>
        <w:rPr>
          <w:rFonts w:cs="Times New Roman"/>
        </w:rPr>
        <w:t>措施</w:t>
      </w:r>
      <w:r>
        <w:rPr>
          <w:rFonts w:hint="eastAsia" w:cs="Times New Roman"/>
        </w:rPr>
        <w:t>，</w:t>
      </w:r>
      <w:r>
        <w:rPr>
          <w:rFonts w:cs="Times New Roman"/>
        </w:rPr>
        <w:t>尽可能</w:t>
      </w:r>
      <w:r>
        <w:rPr>
          <w:rFonts w:hint="eastAsia" w:cs="Times New Roman"/>
        </w:rPr>
        <w:t>降低</w:t>
      </w:r>
      <w:r>
        <w:rPr>
          <w:rFonts w:hint="eastAsia" w:cs="Times New Roman"/>
          <w:lang w:val="en-US" w:eastAsia="zh-CN"/>
        </w:rPr>
        <w:t>经营</w:t>
      </w:r>
      <w:bookmarkStart w:id="1" w:name="_GoBack"/>
      <w:bookmarkEnd w:id="1"/>
      <w:r>
        <w:rPr>
          <w:rFonts w:hint="eastAsia" w:cs="Times New Roman"/>
        </w:rPr>
        <w:t>主体与消费者成本。</w:t>
      </w:r>
    </w:p>
    <w:p>
      <w:pPr>
        <w:spacing w:line="580" w:lineRule="exact"/>
        <w:ind w:firstLine="643"/>
      </w:pP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二</w:t>
      </w:r>
      <w:r>
        <w:rPr>
          <w:rFonts w:ascii="楷体_GB2312" w:hAnsi="方正楷体_GBK" w:eastAsia="楷体_GB2312" w:cs="方正楷体_GBK"/>
          <w:b/>
          <w:snapToGrid w:val="0"/>
          <w:kern w:val="0"/>
        </w:rPr>
        <w:t>是</w:t>
      </w: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激活游艇消费潜力。</w:t>
      </w:r>
      <w:r>
        <w:rPr>
          <w:rFonts w:hint="eastAsia" w:cs="Times New Roman"/>
        </w:rPr>
        <w:t>把推动游艇租赁作为核心抓手，进一步</w:t>
      </w:r>
      <w:r>
        <w:rPr>
          <w:rFonts w:cs="Times New Roman"/>
        </w:rPr>
        <w:t>完善游艇租赁管理</w:t>
      </w:r>
      <w:r>
        <w:rPr>
          <w:rFonts w:hint="eastAsia" w:cs="Times New Roman"/>
        </w:rPr>
        <w:t>，</w:t>
      </w:r>
      <w:r>
        <w:rPr>
          <w:rFonts w:cs="Times New Roman"/>
        </w:rPr>
        <w:t>通过开发游艇</w:t>
      </w:r>
      <w:r>
        <w:rPr>
          <w:rFonts w:hint="eastAsia" w:cs="Times New Roman"/>
        </w:rPr>
        <w:t>旅游</w:t>
      </w:r>
      <w:r>
        <w:rPr>
          <w:rFonts w:cs="Times New Roman"/>
        </w:rPr>
        <w:t>产品、</w:t>
      </w:r>
      <w:r>
        <w:rPr>
          <w:rFonts w:hint="eastAsia" w:cs="Times New Roman"/>
        </w:rPr>
        <w:t>谋划</w:t>
      </w:r>
      <w:r>
        <w:rPr>
          <w:rFonts w:cs="Times New Roman"/>
        </w:rPr>
        <w:t>游艇赛事</w:t>
      </w:r>
      <w:r>
        <w:rPr>
          <w:rFonts w:hint="eastAsia" w:cs="Times New Roman"/>
        </w:rPr>
        <w:t>、</w:t>
      </w:r>
      <w:r>
        <w:rPr>
          <w:rFonts w:cs="Times New Roman"/>
        </w:rPr>
        <w:t>加强游艇展会推介等方式，</w:t>
      </w:r>
      <w:r>
        <w:rPr>
          <w:rFonts w:hint="eastAsia"/>
        </w:rPr>
        <w:t>加大对苏州游艇旅游消费的宣传力度，有效激活市场需求。</w:t>
      </w:r>
    </w:p>
    <w:p>
      <w:pPr>
        <w:spacing w:line="580" w:lineRule="exact"/>
        <w:ind w:firstLine="643"/>
        <w:rPr>
          <w:rFonts w:ascii="楷体_GB2312" w:hAnsi="方正楷体_GBK" w:eastAsia="楷体_GB2312" w:cs="方正楷体_GBK"/>
          <w:b/>
          <w:snapToGrid w:val="0"/>
          <w:kern w:val="0"/>
        </w:rPr>
      </w:pP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三</w:t>
      </w:r>
      <w:r>
        <w:rPr>
          <w:rFonts w:ascii="楷体_GB2312" w:hAnsi="方正楷体_GBK" w:eastAsia="楷体_GB2312" w:cs="方正楷体_GBK"/>
          <w:b/>
          <w:snapToGrid w:val="0"/>
          <w:kern w:val="0"/>
        </w:rPr>
        <w:t>是提高综合服务能力。</w:t>
      </w:r>
      <w:r>
        <w:rPr>
          <w:rFonts w:hint="eastAsia"/>
        </w:rPr>
        <w:t>根据游艇发展需要和航行必备条件，划定</w:t>
      </w:r>
      <w:r>
        <w:t>适</w:t>
      </w:r>
      <w:r>
        <w:rPr>
          <w:rFonts w:hint="eastAsia"/>
        </w:rPr>
        <w:t>合游艇航行的水域，</w:t>
      </w:r>
      <w:r>
        <w:t>持续</w:t>
      </w:r>
      <w:r>
        <w:rPr>
          <w:rFonts w:hint="eastAsia"/>
        </w:rPr>
        <w:t>完善</w:t>
      </w:r>
      <w:r>
        <w:rPr>
          <w:rFonts w:ascii="Segoe UI" w:hAnsi="Segoe UI" w:cs="Segoe UI"/>
          <w:spacing w:val="-2"/>
          <w:shd w:val="clear" w:color="auto" w:fill="FFFFFF"/>
        </w:rPr>
        <w:t>游艇码头、下水设施、系泊锚地、陆上干舱、能源补给</w:t>
      </w:r>
      <w:r>
        <w:rPr>
          <w:rFonts w:hint="eastAsia"/>
        </w:rPr>
        <w:t>等配套设施，因地制宜建设游艇综合服务中心，为</w:t>
      </w:r>
      <w:r>
        <w:t>游艇发展提供支撑。</w:t>
      </w:r>
    </w:p>
    <w:p>
      <w:pPr>
        <w:spacing w:line="580" w:lineRule="exact"/>
        <w:ind w:firstLine="643"/>
        <w:rPr>
          <w:rFonts w:cs="Times New Roman"/>
          <w:bCs/>
          <w:kern w:val="0"/>
        </w:rPr>
      </w:pP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四是提升研发制造能力。</w:t>
      </w:r>
      <w:r>
        <w:rPr>
          <w:rFonts w:cs="Times New Roman"/>
          <w:bCs/>
          <w:kern w:val="0"/>
        </w:rPr>
        <w:t>推动游艇制造从“小散弱”向高端智能转变</w:t>
      </w:r>
      <w:r>
        <w:rPr>
          <w:rFonts w:hint="eastAsia" w:cs="Times New Roman"/>
          <w:bCs/>
          <w:kern w:val="0"/>
        </w:rPr>
        <w:t>，推动研发设计创新和游艇业集聚发展，聚力构建集研发设计、生产制造、维修保养、旅游消费等于一体的完整产业链，释放经济发展的乘数效应。</w:t>
      </w:r>
    </w:p>
    <w:p>
      <w:pPr>
        <w:spacing w:line="580" w:lineRule="exact"/>
        <w:ind w:firstLine="643"/>
        <w:rPr>
          <w:rFonts w:ascii="楷体_GB2312" w:hAnsi="方正楷体_GBK" w:eastAsia="楷体_GB2312" w:cs="方正楷体_GBK"/>
          <w:b/>
          <w:snapToGrid w:val="0"/>
          <w:kern w:val="0"/>
        </w:rPr>
      </w:pP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五</w:t>
      </w:r>
      <w:r>
        <w:rPr>
          <w:rFonts w:ascii="楷体_GB2312" w:hAnsi="方正楷体_GBK" w:eastAsia="楷体_GB2312" w:cs="方正楷体_GBK"/>
          <w:b/>
          <w:snapToGrid w:val="0"/>
          <w:kern w:val="0"/>
        </w:rPr>
        <w:t>是</w:t>
      </w: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完善游艇发展环境。</w:t>
      </w:r>
      <w:r>
        <w:rPr>
          <w:rFonts w:hint="eastAsia" w:cs="Times New Roman"/>
          <w:bCs/>
          <w:kern w:val="0"/>
        </w:rPr>
        <w:t>强化</w:t>
      </w:r>
      <w:r>
        <w:rPr>
          <w:rFonts w:cs="Times New Roman"/>
          <w:bCs/>
          <w:kern w:val="0"/>
        </w:rPr>
        <w:t>组织领导，</w:t>
      </w:r>
      <w:r>
        <w:rPr>
          <w:rFonts w:hint="eastAsia" w:cs="Times New Roman"/>
          <w:bCs/>
          <w:kern w:val="0"/>
        </w:rPr>
        <w:t>建立</w:t>
      </w:r>
      <w:r>
        <w:rPr>
          <w:rFonts w:hint="eastAsia"/>
          <w:szCs w:val="24"/>
        </w:rPr>
        <w:t>市级工作专班和</w:t>
      </w:r>
      <w:r>
        <w:rPr>
          <w:szCs w:val="24"/>
        </w:rPr>
        <w:t>相关协调机制，</w:t>
      </w:r>
      <w:r>
        <w:rPr>
          <w:rFonts w:hint="eastAsia"/>
          <w:szCs w:val="24"/>
        </w:rPr>
        <w:t>按照“分工负责、逐级推动、协同联动”的原则形成</w:t>
      </w:r>
      <w:r>
        <w:rPr>
          <w:szCs w:val="24"/>
        </w:rPr>
        <w:t>合力。</w:t>
      </w:r>
      <w:r>
        <w:rPr>
          <w:rFonts w:hint="eastAsia"/>
          <w:szCs w:val="24"/>
        </w:rPr>
        <w:t>针对</w:t>
      </w:r>
      <w:r>
        <w:rPr>
          <w:szCs w:val="24"/>
        </w:rPr>
        <w:t>游艇</w:t>
      </w:r>
      <w:r>
        <w:rPr>
          <w:rFonts w:hint="eastAsia"/>
          <w:szCs w:val="24"/>
        </w:rPr>
        <w:t>保险</w:t>
      </w:r>
      <w:r>
        <w:rPr>
          <w:szCs w:val="24"/>
        </w:rPr>
        <w:t>、融资租赁等难点问题，</w:t>
      </w:r>
      <w:r>
        <w:rPr>
          <w:rFonts w:hint="eastAsia"/>
          <w:szCs w:val="24"/>
        </w:rPr>
        <w:t>加大</w:t>
      </w:r>
      <w:r>
        <w:rPr>
          <w:szCs w:val="24"/>
        </w:rPr>
        <w:t>支持保障力度</w:t>
      </w:r>
      <w:r>
        <w:rPr>
          <w:rFonts w:hint="eastAsia"/>
          <w:szCs w:val="24"/>
        </w:rPr>
        <w:t>，</w:t>
      </w:r>
      <w:r>
        <w:rPr>
          <w:szCs w:val="24"/>
        </w:rPr>
        <w:t>营造良好发展环境。</w:t>
      </w:r>
    </w:p>
    <w:p>
      <w:pPr>
        <w:spacing w:line="580" w:lineRule="exact"/>
        <w:ind w:firstLine="640"/>
        <w:rPr>
          <w:rFonts w:cs="Times New Roman"/>
        </w:rPr>
      </w:pPr>
      <w:r>
        <w:rPr>
          <w:rFonts w:hint="eastAsia" w:cs="Times New Roman"/>
        </w:rPr>
        <w:t>《试点</w:t>
      </w:r>
      <w:r>
        <w:rPr>
          <w:rFonts w:cs="Times New Roman"/>
        </w:rPr>
        <w:t>方案</w:t>
      </w:r>
      <w:r>
        <w:rPr>
          <w:rFonts w:hint="eastAsia" w:cs="Times New Roman"/>
        </w:rPr>
        <w:t>》主要</w:t>
      </w:r>
      <w:r>
        <w:rPr>
          <w:rFonts w:cs="Times New Roman"/>
        </w:rPr>
        <w:t>有</w:t>
      </w:r>
      <w:r>
        <w:rPr>
          <w:rFonts w:hint="eastAsia" w:cs="Times New Roman"/>
        </w:rPr>
        <w:t>3大</w:t>
      </w:r>
      <w:r>
        <w:rPr>
          <w:rFonts w:cs="Times New Roman"/>
        </w:rPr>
        <w:t>特点：</w:t>
      </w:r>
    </w:p>
    <w:p>
      <w:pPr>
        <w:autoSpaceDE w:val="0"/>
        <w:autoSpaceDN w:val="0"/>
        <w:spacing w:line="590" w:lineRule="exact"/>
        <w:ind w:firstLine="643"/>
        <w:rPr>
          <w:snapToGrid w:val="0"/>
          <w:kern w:val="0"/>
        </w:rPr>
      </w:pP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一是坚持苏州特色、发挥基础优势</w:t>
      </w:r>
      <w:r>
        <w:rPr>
          <w:rFonts w:hint="eastAsia" w:ascii="方正楷体_GBK" w:hAnsi="方正楷体_GBK" w:eastAsia="方正楷体_GBK" w:cs="方正楷体_GBK"/>
          <w:b/>
          <w:snapToGrid w:val="0"/>
          <w:kern w:val="0"/>
        </w:rPr>
        <w:t>。</w:t>
      </w:r>
      <w:r>
        <w:rPr>
          <w:rFonts w:hint="eastAsia"/>
          <w:snapToGrid w:val="0"/>
          <w:kern w:val="0"/>
        </w:rPr>
        <w:t>与海南、广东等地发展游艇侧重沿海不同，《</w:t>
      </w:r>
      <w:r>
        <w:rPr>
          <w:rFonts w:hint="eastAsia" w:cs="Times New Roman"/>
        </w:rPr>
        <w:t>试点</w:t>
      </w:r>
      <w:r>
        <w:rPr>
          <w:rFonts w:cs="Times New Roman"/>
        </w:rPr>
        <w:t>方案</w:t>
      </w:r>
      <w:r>
        <w:rPr>
          <w:rFonts w:hint="eastAsia"/>
          <w:snapToGrid w:val="0"/>
          <w:kern w:val="0"/>
        </w:rPr>
        <w:t>》立足苏州湖泊众多、水网密布这一优势，重点围绕推动内河（含湖泊）游艇发展。同时</w:t>
      </w:r>
      <w:r>
        <w:rPr>
          <w:snapToGrid w:val="0"/>
          <w:kern w:val="0"/>
        </w:rPr>
        <w:t>，</w:t>
      </w:r>
      <w:r>
        <w:rPr>
          <w:rFonts w:hint="eastAsia" w:cs="Times New Roman"/>
          <w:bCs/>
          <w:kern w:val="0"/>
        </w:rPr>
        <w:t>苏州具有</w:t>
      </w:r>
      <w:r>
        <w:rPr>
          <w:rFonts w:cs="Times New Roman"/>
          <w:bCs/>
          <w:kern w:val="0"/>
        </w:rPr>
        <w:t>基础雄厚</w:t>
      </w:r>
      <w:r>
        <w:rPr>
          <w:rFonts w:hint="eastAsia" w:cs="Times New Roman"/>
          <w:bCs/>
          <w:kern w:val="0"/>
        </w:rPr>
        <w:t>的制造</w:t>
      </w:r>
      <w:r>
        <w:rPr>
          <w:rFonts w:cs="Times New Roman"/>
          <w:bCs/>
          <w:kern w:val="0"/>
        </w:rPr>
        <w:t>业</w:t>
      </w:r>
      <w:r>
        <w:rPr>
          <w:rFonts w:hint="eastAsia" w:cs="Times New Roman"/>
          <w:bCs/>
          <w:kern w:val="0"/>
        </w:rPr>
        <w:t>体系</w:t>
      </w:r>
      <w:r>
        <w:rPr>
          <w:rFonts w:cs="Times New Roman"/>
          <w:bCs/>
          <w:kern w:val="0"/>
        </w:rPr>
        <w:t>、</w:t>
      </w:r>
      <w:r>
        <w:rPr>
          <w:rFonts w:hint="eastAsia" w:cs="Times New Roman"/>
          <w:bCs/>
          <w:kern w:val="0"/>
        </w:rPr>
        <w:t>需求旺盛的旅游消费市场，</w:t>
      </w:r>
      <w:r>
        <w:rPr>
          <w:rFonts w:cs="Times New Roman"/>
          <w:bCs/>
          <w:kern w:val="0"/>
        </w:rPr>
        <w:t>现有游艇俱乐部</w:t>
      </w:r>
      <w:r>
        <w:rPr>
          <w:rFonts w:hint="eastAsia" w:cs="Times New Roman"/>
          <w:bCs/>
          <w:kern w:val="0"/>
        </w:rPr>
        <w:t>数量</w:t>
      </w:r>
      <w:r>
        <w:rPr>
          <w:rFonts w:cs="Times New Roman"/>
          <w:bCs/>
          <w:kern w:val="0"/>
        </w:rPr>
        <w:t>全省第一，</w:t>
      </w:r>
      <w:r>
        <w:rPr>
          <w:rFonts w:hint="eastAsia" w:cs="Times New Roman"/>
          <w:bCs/>
          <w:kern w:val="0"/>
        </w:rPr>
        <w:t>游艇</w:t>
      </w:r>
      <w:r>
        <w:rPr>
          <w:rFonts w:cs="Times New Roman"/>
          <w:bCs/>
          <w:kern w:val="0"/>
        </w:rPr>
        <w:t>潜在</w:t>
      </w:r>
      <w:r>
        <w:rPr>
          <w:rFonts w:hint="eastAsia" w:cs="Times New Roman"/>
          <w:bCs/>
          <w:kern w:val="0"/>
        </w:rPr>
        <w:t>消费</w:t>
      </w:r>
      <w:r>
        <w:rPr>
          <w:rFonts w:cs="Times New Roman"/>
          <w:bCs/>
          <w:kern w:val="0"/>
        </w:rPr>
        <w:t>群体庞大</w:t>
      </w:r>
      <w:r>
        <w:rPr>
          <w:rFonts w:hint="eastAsia" w:cs="Times New Roman"/>
          <w:bCs/>
          <w:kern w:val="0"/>
        </w:rPr>
        <w:t>，需</w:t>
      </w:r>
      <w:r>
        <w:rPr>
          <w:rFonts w:cs="Times New Roman"/>
          <w:bCs/>
          <w:kern w:val="0"/>
        </w:rPr>
        <w:t>充分发挥自身优势</w:t>
      </w:r>
      <w:r>
        <w:rPr>
          <w:rFonts w:hint="eastAsia" w:cs="Times New Roman"/>
          <w:bCs/>
          <w:kern w:val="0"/>
        </w:rPr>
        <w:t>，</w:t>
      </w:r>
      <w:r>
        <w:rPr>
          <w:rFonts w:cs="Times New Roman"/>
          <w:bCs/>
          <w:kern w:val="0"/>
        </w:rPr>
        <w:t>切实推动</w:t>
      </w:r>
      <w:r>
        <w:rPr>
          <w:rFonts w:hint="eastAsia" w:cs="Times New Roman"/>
          <w:bCs/>
          <w:kern w:val="0"/>
        </w:rPr>
        <w:t>游艇</w:t>
      </w:r>
      <w:r>
        <w:rPr>
          <w:rFonts w:cs="Times New Roman"/>
          <w:bCs/>
          <w:kern w:val="0"/>
        </w:rPr>
        <w:t>业高质量</w:t>
      </w:r>
      <w:r>
        <w:rPr>
          <w:rFonts w:hint="eastAsia" w:cs="Times New Roman"/>
          <w:bCs/>
          <w:kern w:val="0"/>
        </w:rPr>
        <w:t>发展。</w:t>
      </w:r>
    </w:p>
    <w:p>
      <w:pPr>
        <w:spacing w:line="590" w:lineRule="exact"/>
        <w:ind w:firstLine="643"/>
        <w:rPr>
          <w:rFonts w:eastAsia="方正仿宋_GBK" w:cs="Times New Roman"/>
        </w:rPr>
      </w:pP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二</w:t>
      </w:r>
      <w:r>
        <w:rPr>
          <w:rFonts w:ascii="楷体_GB2312" w:hAnsi="方正楷体_GBK" w:eastAsia="楷体_GB2312" w:cs="方正楷体_GBK"/>
          <w:b/>
          <w:snapToGrid w:val="0"/>
          <w:kern w:val="0"/>
        </w:rPr>
        <w:t>是</w:t>
      </w: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坚持</w:t>
      </w:r>
      <w:r>
        <w:rPr>
          <w:rFonts w:ascii="楷体_GB2312" w:hAnsi="方正楷体_GBK" w:eastAsia="楷体_GB2312" w:cs="方正楷体_GBK"/>
          <w:b/>
          <w:snapToGrid w:val="0"/>
          <w:kern w:val="0"/>
        </w:rPr>
        <w:t>消费</w:t>
      </w: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驱动，</w:t>
      </w:r>
      <w:r>
        <w:rPr>
          <w:rFonts w:ascii="楷体_GB2312" w:hAnsi="方正楷体_GBK" w:eastAsia="楷体_GB2312" w:cs="方正楷体_GBK"/>
          <w:b/>
          <w:snapToGrid w:val="0"/>
          <w:kern w:val="0"/>
        </w:rPr>
        <w:t>激活</w:t>
      </w: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市场</w:t>
      </w:r>
      <w:r>
        <w:rPr>
          <w:rFonts w:ascii="楷体_GB2312" w:hAnsi="方正楷体_GBK" w:eastAsia="楷体_GB2312" w:cs="方正楷体_GBK"/>
          <w:b/>
          <w:snapToGrid w:val="0"/>
          <w:kern w:val="0"/>
        </w:rPr>
        <w:t>动能。</w:t>
      </w:r>
      <w:r>
        <w:rPr>
          <w:rFonts w:hint="eastAsia"/>
          <w:snapToGrid w:val="0"/>
          <w:kern w:val="0"/>
        </w:rPr>
        <w:t>立足</w:t>
      </w:r>
      <w:r>
        <w:rPr>
          <w:snapToGrid w:val="0"/>
          <w:kern w:val="0"/>
        </w:rPr>
        <w:t>大众化消费方向，</w:t>
      </w:r>
      <w:r>
        <w:rPr>
          <w:rFonts w:hint="eastAsia"/>
          <w:snapToGrid w:val="0"/>
          <w:kern w:val="0"/>
        </w:rPr>
        <w:t>坚持走群众路线，有序推广以游艇俱乐部为主体的游艇租赁，鼓励开发与文旅、运动、赛事等业态相结合的多元游艇消费产品，通过丰富消费产品、降低消费门槛等方式，打破“游艇即高端消费”的固有认知，推动游艇消费从“小众高端”向“大众普及”转变，让更多苏州群众共享游艇业发展成果。</w:t>
      </w:r>
    </w:p>
    <w:p>
      <w:pPr>
        <w:autoSpaceDE w:val="0"/>
        <w:autoSpaceDN w:val="0"/>
        <w:spacing w:line="590" w:lineRule="exact"/>
        <w:ind w:firstLine="643"/>
        <w:rPr>
          <w:rFonts w:ascii="楷体_GB2312" w:hAnsi="方正楷体_GBK" w:eastAsia="楷体_GB2312" w:cs="方正楷体_GBK"/>
          <w:b/>
          <w:snapToGrid w:val="0"/>
          <w:kern w:val="0"/>
        </w:rPr>
      </w:pP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三</w:t>
      </w:r>
      <w:r>
        <w:rPr>
          <w:rFonts w:ascii="楷体_GB2312" w:hAnsi="方正楷体_GBK" w:eastAsia="楷体_GB2312" w:cs="方正楷体_GBK"/>
          <w:b/>
          <w:snapToGrid w:val="0"/>
          <w:kern w:val="0"/>
        </w:rPr>
        <w:t>是</w:t>
      </w:r>
      <w:r>
        <w:rPr>
          <w:rFonts w:hint="eastAsia" w:ascii="楷体_GB2312" w:hAnsi="方正楷体_GBK" w:eastAsia="楷体_GB2312" w:cs="方正楷体_GBK"/>
          <w:b/>
          <w:snapToGrid w:val="0"/>
          <w:kern w:val="0"/>
        </w:rPr>
        <w:t>坚持安全</w:t>
      </w:r>
      <w:r>
        <w:rPr>
          <w:rFonts w:ascii="楷体_GB2312" w:hAnsi="方正楷体_GBK" w:eastAsia="楷体_GB2312" w:cs="方正楷体_GBK"/>
          <w:b/>
          <w:snapToGrid w:val="0"/>
          <w:kern w:val="0"/>
        </w:rPr>
        <w:t>为本，守牢发展底线。</w:t>
      </w:r>
      <w:r>
        <w:rPr>
          <w:rFonts w:hint="eastAsia"/>
          <w:snapToGrid w:val="0"/>
          <w:kern w:val="0"/>
        </w:rPr>
        <w:t>《试点</w:t>
      </w:r>
      <w:r>
        <w:rPr>
          <w:snapToGrid w:val="0"/>
          <w:kern w:val="0"/>
        </w:rPr>
        <w:t>方案</w:t>
      </w:r>
      <w:r>
        <w:rPr>
          <w:rFonts w:hint="eastAsia"/>
          <w:snapToGrid w:val="0"/>
          <w:kern w:val="0"/>
        </w:rPr>
        <w:t>》将确保安全发展贯穿始终，落实</w:t>
      </w:r>
      <w:r>
        <w:rPr>
          <w:snapToGrid w:val="0"/>
          <w:kern w:val="0"/>
        </w:rPr>
        <w:t>相关部门职责，</w:t>
      </w:r>
      <w:r>
        <w:rPr>
          <w:rFonts w:hint="eastAsia"/>
          <w:snapToGrid w:val="0"/>
          <w:kern w:val="0"/>
        </w:rPr>
        <w:t>强化对接省级游艇管理服务平台，加强游艇检验登记、开航报备等监管</w:t>
      </w:r>
      <w:r>
        <w:rPr>
          <w:snapToGrid w:val="0"/>
          <w:kern w:val="0"/>
        </w:rPr>
        <w:t>和</w:t>
      </w:r>
      <w:r>
        <w:rPr>
          <w:rFonts w:hint="eastAsia"/>
          <w:snapToGrid w:val="0"/>
          <w:kern w:val="0"/>
        </w:rPr>
        <w:t>信息互通，对俱乐部管理、适航区域划定等提出明确要求，实现游艇监管服务一体化。</w:t>
      </w:r>
    </w:p>
    <w:p>
      <w:pPr>
        <w:spacing w:line="580" w:lineRule="exact"/>
        <w:ind w:firstLine="640"/>
        <w:rPr>
          <w:rFonts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795885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ind w:firstLine="36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FB"/>
    <w:rsid w:val="00022D57"/>
    <w:rsid w:val="00055DD0"/>
    <w:rsid w:val="00057E32"/>
    <w:rsid w:val="00091EF8"/>
    <w:rsid w:val="0009266C"/>
    <w:rsid w:val="000A1694"/>
    <w:rsid w:val="000D3CC5"/>
    <w:rsid w:val="000E4AEA"/>
    <w:rsid w:val="001450FA"/>
    <w:rsid w:val="001915BE"/>
    <w:rsid w:val="001B1E1D"/>
    <w:rsid w:val="001B6B5F"/>
    <w:rsid w:val="001C5BF1"/>
    <w:rsid w:val="001D72FB"/>
    <w:rsid w:val="001E7F2E"/>
    <w:rsid w:val="001F4085"/>
    <w:rsid w:val="00216D37"/>
    <w:rsid w:val="00232098"/>
    <w:rsid w:val="002A2B85"/>
    <w:rsid w:val="002D2F6D"/>
    <w:rsid w:val="002D5CCB"/>
    <w:rsid w:val="002F5125"/>
    <w:rsid w:val="00301B75"/>
    <w:rsid w:val="00304F21"/>
    <w:rsid w:val="003121AE"/>
    <w:rsid w:val="00323111"/>
    <w:rsid w:val="00335C16"/>
    <w:rsid w:val="003474B5"/>
    <w:rsid w:val="0035378D"/>
    <w:rsid w:val="00363667"/>
    <w:rsid w:val="00393406"/>
    <w:rsid w:val="003D126E"/>
    <w:rsid w:val="003D286C"/>
    <w:rsid w:val="00420B20"/>
    <w:rsid w:val="0042383F"/>
    <w:rsid w:val="00430397"/>
    <w:rsid w:val="004367F1"/>
    <w:rsid w:val="0045690F"/>
    <w:rsid w:val="00491E7D"/>
    <w:rsid w:val="0049233E"/>
    <w:rsid w:val="004A13E5"/>
    <w:rsid w:val="004A6D30"/>
    <w:rsid w:val="004A73E1"/>
    <w:rsid w:val="004F7C18"/>
    <w:rsid w:val="005328F8"/>
    <w:rsid w:val="0054566A"/>
    <w:rsid w:val="00545F99"/>
    <w:rsid w:val="005A04E8"/>
    <w:rsid w:val="005A0CCB"/>
    <w:rsid w:val="005F673F"/>
    <w:rsid w:val="006014B5"/>
    <w:rsid w:val="006202F7"/>
    <w:rsid w:val="00624DE5"/>
    <w:rsid w:val="00625814"/>
    <w:rsid w:val="0064572C"/>
    <w:rsid w:val="00646BDB"/>
    <w:rsid w:val="00675B75"/>
    <w:rsid w:val="006835FA"/>
    <w:rsid w:val="006B597B"/>
    <w:rsid w:val="006C07B8"/>
    <w:rsid w:val="006E6510"/>
    <w:rsid w:val="006E6C66"/>
    <w:rsid w:val="00755F50"/>
    <w:rsid w:val="007B0492"/>
    <w:rsid w:val="007B1AA6"/>
    <w:rsid w:val="007F0038"/>
    <w:rsid w:val="007F02BB"/>
    <w:rsid w:val="0081666B"/>
    <w:rsid w:val="008457F8"/>
    <w:rsid w:val="00866D0D"/>
    <w:rsid w:val="008876A3"/>
    <w:rsid w:val="008900FA"/>
    <w:rsid w:val="00891205"/>
    <w:rsid w:val="00897349"/>
    <w:rsid w:val="008B1D59"/>
    <w:rsid w:val="008B56F4"/>
    <w:rsid w:val="008D54B0"/>
    <w:rsid w:val="00963A22"/>
    <w:rsid w:val="0096577B"/>
    <w:rsid w:val="00974878"/>
    <w:rsid w:val="00985650"/>
    <w:rsid w:val="00987744"/>
    <w:rsid w:val="00996D6C"/>
    <w:rsid w:val="009A19B2"/>
    <w:rsid w:val="009B0852"/>
    <w:rsid w:val="009B7117"/>
    <w:rsid w:val="009C40B9"/>
    <w:rsid w:val="009C62A9"/>
    <w:rsid w:val="009C63CB"/>
    <w:rsid w:val="00A62DF2"/>
    <w:rsid w:val="00A67960"/>
    <w:rsid w:val="00A876F3"/>
    <w:rsid w:val="00AC4777"/>
    <w:rsid w:val="00AC7F54"/>
    <w:rsid w:val="00AF1341"/>
    <w:rsid w:val="00B04349"/>
    <w:rsid w:val="00B142B7"/>
    <w:rsid w:val="00B2298B"/>
    <w:rsid w:val="00B3259B"/>
    <w:rsid w:val="00B335D9"/>
    <w:rsid w:val="00B36AAC"/>
    <w:rsid w:val="00B37D08"/>
    <w:rsid w:val="00B40FA5"/>
    <w:rsid w:val="00B415C5"/>
    <w:rsid w:val="00B67A69"/>
    <w:rsid w:val="00B70BC9"/>
    <w:rsid w:val="00B771C6"/>
    <w:rsid w:val="00BA63C8"/>
    <w:rsid w:val="00BB6C34"/>
    <w:rsid w:val="00BC144C"/>
    <w:rsid w:val="00C0660F"/>
    <w:rsid w:val="00C23C73"/>
    <w:rsid w:val="00C34D4C"/>
    <w:rsid w:val="00C52ED0"/>
    <w:rsid w:val="00C60BA2"/>
    <w:rsid w:val="00C67004"/>
    <w:rsid w:val="00C7483F"/>
    <w:rsid w:val="00C91450"/>
    <w:rsid w:val="00CB1375"/>
    <w:rsid w:val="00CC2A18"/>
    <w:rsid w:val="00CE261D"/>
    <w:rsid w:val="00D2499C"/>
    <w:rsid w:val="00D96CD3"/>
    <w:rsid w:val="00D96EDC"/>
    <w:rsid w:val="00DA1B20"/>
    <w:rsid w:val="00E2771C"/>
    <w:rsid w:val="00E37D3B"/>
    <w:rsid w:val="00E40197"/>
    <w:rsid w:val="00E50FDB"/>
    <w:rsid w:val="00E672A9"/>
    <w:rsid w:val="00EB341A"/>
    <w:rsid w:val="00EE5322"/>
    <w:rsid w:val="00F016EF"/>
    <w:rsid w:val="00F01E3D"/>
    <w:rsid w:val="00F20227"/>
    <w:rsid w:val="00F650F3"/>
    <w:rsid w:val="00F66768"/>
    <w:rsid w:val="00F75E7C"/>
    <w:rsid w:val="00F94BC0"/>
    <w:rsid w:val="00F97E13"/>
    <w:rsid w:val="00FA246B"/>
    <w:rsid w:val="00FA79AB"/>
    <w:rsid w:val="00FB1447"/>
    <w:rsid w:val="00FE2953"/>
    <w:rsid w:val="00FE6C3C"/>
    <w:rsid w:val="50EE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paragraph" w:customStyle="1" w:styleId="10">
    <w:name w:val="附件标识"/>
    <w:basedOn w:val="1"/>
    <w:qFormat/>
    <w:uiPriority w:val="0"/>
    <w:pPr>
      <w:widowControl w:val="0"/>
      <w:autoSpaceDE w:val="0"/>
      <w:autoSpaceDN w:val="0"/>
      <w:snapToGrid w:val="0"/>
      <w:spacing w:line="590" w:lineRule="exact"/>
      <w:ind w:right="-44" w:rightChars="-14" w:firstLine="624" w:firstLineChars="0"/>
    </w:pPr>
    <w:rPr>
      <w:rFonts w:ascii="黑体" w:hAnsi="黑体" w:eastAsia="黑体" w:cs="宋体"/>
      <w:snapToGrid w:val="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4</Pages>
  <Words>281</Words>
  <Characters>1603</Characters>
  <Lines>13</Lines>
  <Paragraphs>3</Paragraphs>
  <TotalTime>86</TotalTime>
  <ScaleCrop>false</ScaleCrop>
  <LinksUpToDate>false</LinksUpToDate>
  <CharactersWithSpaces>1881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2026-03-18T03:22:00Z</dcterms:created>
  <dc:creator>Tong</dc:creator>
  <cp:lastModifiedBy>姚颖</cp:lastModifiedBy>
  <dcterms:modified xsi:type="dcterms:W3CDTF">2026-03-20T07:29:46Z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95760D4A584F46BA9B51F99DFBE5FCEF_13</vt:lpwstr>
  </property>
</Properties>
</file>