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rPr>
          <w:rFonts w:asciiTheme="minorEastAsia" w:hAnsiTheme="minorEastAsia" w:eastAsiaTheme="minorEastAsia"/>
          <w:sz w:val="44"/>
          <w:szCs w:val="44"/>
        </w:rPr>
      </w:pPr>
    </w:p>
    <w:p>
      <w:pPr>
        <w:adjustRightInd w:val="0"/>
        <w:snapToGrid w:val="0"/>
        <w:jc w:val="center"/>
        <w:rPr>
          <w:rFonts w:asciiTheme="minorEastAsia" w:hAnsiTheme="minorEastAsia" w:eastAsiaTheme="minorEastAsia"/>
          <w:sz w:val="44"/>
          <w:szCs w:val="44"/>
        </w:rPr>
      </w:pPr>
    </w:p>
    <w:p>
      <w:pPr>
        <w:adjustRightInd w:val="0"/>
        <w:snapToGrid w:val="0"/>
        <w:jc w:val="center"/>
        <w:rPr>
          <w:rFonts w:asciiTheme="minorEastAsia" w:hAnsiTheme="minorEastAsia" w:eastAsiaTheme="minorEastAsia" w:cstheme="majorEastAsia"/>
          <w:sz w:val="44"/>
          <w:szCs w:val="44"/>
        </w:rPr>
      </w:pPr>
      <w:r>
        <w:rPr>
          <w:rFonts w:hint="eastAsia" w:asciiTheme="minorEastAsia" w:hAnsiTheme="minorEastAsia" w:eastAsiaTheme="minorEastAsia" w:cstheme="majorEastAsia"/>
          <w:sz w:val="44"/>
          <w:szCs w:val="44"/>
        </w:rPr>
        <w:t>苏州市城市建设档案管理办法</w:t>
      </w:r>
    </w:p>
    <w:p>
      <w:pPr>
        <w:adjustRightInd w:val="0"/>
        <w:snapToGrid w:val="0"/>
        <w:ind w:firstLine="640" w:firstLineChars="200"/>
        <w:rPr>
          <w:rFonts w:eastAsia="楷体_GB2312"/>
          <w:sz w:val="32"/>
          <w:szCs w:val="32"/>
        </w:rPr>
      </w:pPr>
      <w:r>
        <w:rPr>
          <w:rFonts w:eastAsia="楷体_GB2312"/>
          <w:sz w:val="32"/>
          <w:szCs w:val="32"/>
        </w:rPr>
        <w:t>（2001年12月28日苏州市政府令第20号发布  2004年7月22日根据《苏州市人民政府关于修改〈苏州市城市建设档案管理办法〉的决定》修正  2004年7月22日苏州市人民政府令第59号公布  自2002年3月1日起施行）</w:t>
      </w:r>
    </w:p>
    <w:p>
      <w:pPr>
        <w:rPr>
          <w:rFonts w:asciiTheme="minorEastAsia" w:hAnsiTheme="minorEastAsia" w:eastAsiaTheme="minorEastAsia"/>
          <w:sz w:val="36"/>
          <w:szCs w:val="36"/>
        </w:rPr>
      </w:pPr>
    </w:p>
    <w:p>
      <w:pPr>
        <w:keepNext w:val="0"/>
        <w:keepLines w:val="0"/>
        <w:pageBreakBefore w:val="0"/>
        <w:widowControl/>
        <w:kinsoku/>
        <w:wordWrap/>
        <w:topLinePunct w:val="0"/>
        <w:autoSpaceDE/>
        <w:autoSpaceDN/>
        <w:bidi w:val="0"/>
        <w:adjustRightInd w:val="0"/>
        <w:snapToGrid/>
        <w:jc w:val="center"/>
        <w:textAlignment w:val="auto"/>
        <w:rPr>
          <w:rFonts w:hint="eastAsia" w:ascii="黑体" w:hAnsi="黑体" w:eastAsia="黑体"/>
          <w:snapToGrid w:val="0"/>
          <w:sz w:val="32"/>
          <w:szCs w:val="32"/>
        </w:rPr>
      </w:pPr>
      <w:r>
        <w:rPr>
          <w:rFonts w:hint="eastAsia" w:ascii="黑体" w:hAnsi="黑体" w:eastAsia="黑体"/>
          <w:snapToGrid w:val="0"/>
          <w:sz w:val="32"/>
          <w:szCs w:val="32"/>
        </w:rPr>
        <w:t>第一章　总</w:t>
      </w:r>
      <w:r>
        <w:rPr>
          <w:rFonts w:hint="eastAsia" w:ascii="黑体" w:hAnsi="黑体" w:eastAsia="黑体"/>
          <w:snapToGrid w:val="0"/>
          <w:sz w:val="32"/>
          <w:szCs w:val="32"/>
          <w:lang w:val="en-US" w:eastAsia="zh-CN"/>
        </w:rPr>
        <w:t xml:space="preserve">  </w:t>
      </w:r>
      <w:r>
        <w:rPr>
          <w:rFonts w:hint="eastAsia" w:ascii="黑体" w:hAnsi="黑体" w:eastAsia="黑体"/>
          <w:snapToGrid w:val="0"/>
          <w:sz w:val="32"/>
          <w:szCs w:val="32"/>
        </w:rPr>
        <w:t>则</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黑体" w:hAnsi="黑体" w:eastAsia="黑体"/>
          <w:snapToGrid w:val="0"/>
          <w:sz w:val="32"/>
          <w:szCs w:val="32"/>
        </w:rPr>
        <w:t>第一条</w:t>
      </w:r>
      <w:r>
        <w:rPr>
          <w:rFonts w:hint="eastAsia" w:ascii="仿宋_GB2312" w:hAnsi="宋体" w:eastAsia="仿宋_GB2312"/>
          <w:snapToGrid w:val="0"/>
          <w:sz w:val="32"/>
          <w:szCs w:val="32"/>
        </w:rPr>
        <w:t>　为加强城市建设档案（以下简称城建档案）管理，发挥城建档案在城市规划、建设、管理中的作用，根据《中华人民共和国档案法》、《建设工程质量管理条例》等有关法律、法规，结合本市实际，制定本办法。</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黑体" w:hAnsi="黑体" w:eastAsia="黑体"/>
          <w:snapToGrid w:val="0"/>
          <w:sz w:val="32"/>
          <w:szCs w:val="32"/>
        </w:rPr>
        <w:t>第二条</w:t>
      </w:r>
      <w:r>
        <w:rPr>
          <w:rFonts w:hint="eastAsia" w:ascii="仿宋_GB2312" w:hAnsi="宋体" w:eastAsia="仿宋_GB2312"/>
          <w:snapToGrid w:val="0"/>
          <w:sz w:val="32"/>
          <w:szCs w:val="32"/>
        </w:rPr>
        <w:t>　本办法所称城建档案，是指在城市规划、建设、管理活动中直接形成的对国家和社会具有保存价值的文字、图纸、图表、声像等各种载体的历史记录。城建档案工作是城市建设的重要组成部分。</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黑体" w:hAnsi="黑体" w:eastAsia="黑体"/>
          <w:snapToGrid w:val="0"/>
          <w:sz w:val="32"/>
          <w:szCs w:val="32"/>
        </w:rPr>
        <w:t>第三条</w:t>
      </w:r>
      <w:r>
        <w:rPr>
          <w:rFonts w:hint="eastAsia" w:ascii="仿宋_GB2312" w:hAnsi="宋体" w:eastAsia="仿宋_GB2312"/>
          <w:snapToGrid w:val="0"/>
          <w:sz w:val="32"/>
          <w:szCs w:val="32"/>
        </w:rPr>
        <w:t>　凡在本市行政区域内形成、管理、利用城建档案的单位和个人，必须遵守本办法。</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黑体" w:hAnsi="黑体" w:eastAsia="黑体"/>
          <w:snapToGrid w:val="0"/>
          <w:sz w:val="32"/>
          <w:szCs w:val="32"/>
        </w:rPr>
        <w:t>第四条</w:t>
      </w:r>
      <w:r>
        <w:rPr>
          <w:rFonts w:hint="eastAsia" w:ascii="仿宋_GB2312" w:hAnsi="宋体" w:eastAsia="仿宋_GB2312"/>
          <w:snapToGrid w:val="0"/>
          <w:sz w:val="32"/>
          <w:szCs w:val="32"/>
        </w:rPr>
        <w:t>　市、县级市人民政府应当把城建档案事业纳入城市建设和社会发展规划，保证城建档案事业和城市发展相适应。</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黑体" w:hAnsi="黑体" w:eastAsia="黑体"/>
          <w:snapToGrid w:val="0"/>
          <w:sz w:val="32"/>
          <w:szCs w:val="32"/>
        </w:rPr>
        <w:t>第五条</w:t>
      </w:r>
      <w:r>
        <w:rPr>
          <w:rFonts w:hint="eastAsia" w:ascii="仿宋_GB2312" w:hAnsi="宋体" w:eastAsia="仿宋_GB2312"/>
          <w:snapToGrid w:val="0"/>
          <w:sz w:val="32"/>
          <w:szCs w:val="32"/>
        </w:rPr>
        <w:t>　城建档案工作实行统一领导、分级管理的原则。市、县级市人民政府应当建立健全城建档案管理机构，安排足够的经费，确保城建档案的完整、准确、系统、安全。</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黑体" w:hAnsi="黑体" w:eastAsia="黑体"/>
          <w:snapToGrid w:val="0"/>
          <w:sz w:val="32"/>
          <w:szCs w:val="32"/>
        </w:rPr>
        <w:t>第六条</w:t>
      </w:r>
      <w:r>
        <w:rPr>
          <w:rFonts w:hint="eastAsia" w:ascii="仿宋_GB2312" w:hAnsi="宋体" w:eastAsia="仿宋_GB2312"/>
          <w:snapToGrid w:val="0"/>
          <w:sz w:val="32"/>
          <w:szCs w:val="32"/>
        </w:rPr>
        <w:t>　市、县级市建设行政主管部门负责本行政区域内城建档案管理工作，并接受同级档案行政管理部门的监督和指导。</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仿宋_GB2312" w:hAnsi="宋体" w:eastAsia="仿宋_GB2312"/>
          <w:snapToGrid w:val="0"/>
          <w:sz w:val="32"/>
          <w:szCs w:val="32"/>
        </w:rPr>
        <w:t>苏州市城市建设档案馆是城建档案管理的专门机构，具体负责本行政区域内城建档案的日常管理工作；各县级市城建档案馆负责本辖区城建档案的日常管理工作，并接受上级业务管理机构的业务指导。</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黑体" w:hAnsi="黑体" w:eastAsia="黑体"/>
          <w:snapToGrid w:val="0"/>
          <w:sz w:val="32"/>
          <w:szCs w:val="32"/>
        </w:rPr>
        <w:t>第七条</w:t>
      </w:r>
      <w:r>
        <w:rPr>
          <w:rFonts w:hint="eastAsia" w:ascii="仿宋_GB2312" w:hAnsi="宋体" w:eastAsia="仿宋_GB2312"/>
          <w:snapToGrid w:val="0"/>
          <w:sz w:val="32"/>
          <w:szCs w:val="32"/>
        </w:rPr>
        <w:t>　城建档案的管理应当逐步采用新技术，实现信息化管理。城建档案工作人员应当具备城建专业、档案专业和相关专业知识，接受继续教育和专业培训后方可上岗。</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黑体" w:hAnsi="黑体" w:eastAsia="黑体"/>
          <w:snapToGrid w:val="0"/>
          <w:sz w:val="32"/>
          <w:szCs w:val="32"/>
        </w:rPr>
        <w:t>第八条</w:t>
      </w:r>
      <w:r>
        <w:rPr>
          <w:rFonts w:hint="eastAsia" w:ascii="仿宋_GB2312" w:hAnsi="宋体" w:eastAsia="仿宋_GB2312"/>
          <w:snapToGrid w:val="0"/>
          <w:sz w:val="32"/>
          <w:szCs w:val="32"/>
        </w:rPr>
        <w:t>　对在城建档案工作方面作出突出成绩和贡献，或向国家捐赠城建档案的单位、个人，建设行政主管部门和有关部门应当给予表彰或奖励。</w:t>
      </w:r>
    </w:p>
    <w:p>
      <w:pPr>
        <w:keepNext w:val="0"/>
        <w:keepLines w:val="0"/>
        <w:pageBreakBefore w:val="0"/>
        <w:widowControl/>
        <w:kinsoku/>
        <w:wordWrap/>
        <w:topLinePunct w:val="0"/>
        <w:autoSpaceDE/>
        <w:autoSpaceDN/>
        <w:bidi w:val="0"/>
        <w:adjustRightInd w:val="0"/>
        <w:snapToGrid/>
        <w:jc w:val="center"/>
        <w:textAlignment w:val="auto"/>
        <w:rPr>
          <w:rFonts w:hint="eastAsia" w:ascii="黑体" w:hAnsi="黑体" w:eastAsia="黑体"/>
          <w:snapToGrid w:val="0"/>
          <w:sz w:val="32"/>
          <w:szCs w:val="32"/>
        </w:rPr>
      </w:pPr>
      <w:r>
        <w:rPr>
          <w:rFonts w:hint="eastAsia" w:ascii="黑体" w:hAnsi="黑体" w:eastAsia="黑体"/>
          <w:snapToGrid w:val="0"/>
          <w:sz w:val="32"/>
          <w:szCs w:val="32"/>
        </w:rPr>
        <w:t>第二章  城市建设档案范围</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黑体" w:hAnsi="黑体" w:eastAsia="黑体"/>
          <w:snapToGrid w:val="0"/>
          <w:sz w:val="32"/>
          <w:szCs w:val="32"/>
        </w:rPr>
        <w:t>第九条</w:t>
      </w:r>
      <w:r>
        <w:rPr>
          <w:rFonts w:hint="eastAsia" w:ascii="仿宋_GB2312" w:hAnsi="宋体" w:eastAsia="仿宋_GB2312"/>
          <w:snapToGrid w:val="0"/>
          <w:sz w:val="32"/>
          <w:szCs w:val="32"/>
        </w:rPr>
        <w:t>　城建档案包括各类城市建设工程档案、业务管理与业务技术档案、城市基础资料以及建设部、国家档案局确定的其他城建档案资料。</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黑体" w:hAnsi="黑体" w:eastAsia="黑体"/>
          <w:snapToGrid w:val="0"/>
          <w:sz w:val="32"/>
          <w:szCs w:val="32"/>
        </w:rPr>
        <w:t>第十条</w:t>
      </w:r>
      <w:r>
        <w:rPr>
          <w:rFonts w:hint="eastAsia" w:ascii="仿宋_GB2312" w:hAnsi="宋体" w:eastAsia="仿宋_GB2312"/>
          <w:snapToGrid w:val="0"/>
          <w:sz w:val="32"/>
          <w:szCs w:val="32"/>
        </w:rPr>
        <w:t>　城市建设工程档案包括：</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仿宋_GB2312" w:hAnsi="宋体" w:eastAsia="仿宋_GB2312"/>
          <w:snapToGrid w:val="0"/>
          <w:sz w:val="32"/>
          <w:szCs w:val="32"/>
        </w:rPr>
        <w:t>（一）工业、民用建筑工程，包括各类工业建筑与住宅、办公、文化、教育、卫生、体育、商业、金融、保险等建设工程档案；</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仿宋_GB2312" w:hAnsi="宋体" w:eastAsia="仿宋_GB2312"/>
          <w:snapToGrid w:val="0"/>
          <w:sz w:val="32"/>
          <w:szCs w:val="32"/>
        </w:rPr>
        <w:t>（二）市政基础设施工程，包括道路、桥梁、广场、停车场、照明、涵洞、排水、泵闸、污水处理等建设工程档案；</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仿宋_GB2312" w:hAnsi="宋体" w:eastAsia="仿宋_GB2312"/>
          <w:snapToGrid w:val="0"/>
          <w:sz w:val="32"/>
          <w:szCs w:val="32"/>
        </w:rPr>
        <w:t>（三）城市公用基础设施工程，包括给水、供气、供热、供电、公交场站、轻轨、地铁、电信、邮政等建设工程档案；</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仿宋_GB2312" w:hAnsi="宋体" w:eastAsia="仿宋_GB2312"/>
          <w:snapToGrid w:val="0"/>
          <w:sz w:val="32"/>
          <w:szCs w:val="32"/>
        </w:rPr>
        <w:t>（四）城市交通基础设施工程，包括公路、铁路、航空、水运等建设工程档案；</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仿宋_GB2312" w:hAnsi="宋体" w:eastAsia="仿宋_GB2312"/>
          <w:snapToGrid w:val="0"/>
          <w:sz w:val="32"/>
          <w:szCs w:val="32"/>
        </w:rPr>
        <w:t>（五）园林建设、风景名胜工程，包括公园、游乐园、动物园、植物园、城市绿地、古树名木、风景名胜区、城市雕塑工程档案；</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仿宋_GB2312" w:hAnsi="宋体" w:eastAsia="仿宋_GB2312"/>
          <w:snapToGrid w:val="0"/>
          <w:sz w:val="32"/>
          <w:szCs w:val="32"/>
        </w:rPr>
        <w:t>（六）市容环境卫生设施建设工程档案；</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仿宋_GB2312" w:hAnsi="宋体" w:eastAsia="仿宋_GB2312"/>
          <w:snapToGrid w:val="0"/>
          <w:sz w:val="32"/>
          <w:szCs w:val="32"/>
        </w:rPr>
        <w:t>（七）村镇建设工程，包括建制镇、集镇的市政公用设施、公共建筑工程档案；</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仿宋_GB2312" w:hAnsi="宋体" w:eastAsia="仿宋_GB2312"/>
          <w:snapToGrid w:val="0"/>
          <w:sz w:val="32"/>
          <w:szCs w:val="32"/>
        </w:rPr>
        <w:t>（八）城市环保、防洪、抗震、人防工程档案；</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仿宋_GB2312" w:hAnsi="宋体" w:eastAsia="仿宋_GB2312"/>
          <w:snapToGrid w:val="0"/>
          <w:sz w:val="32"/>
          <w:szCs w:val="32"/>
        </w:rPr>
        <w:t>（九）军事工程档案资料中，除军事禁区和军事管理区以外的穿越市区的地下管线走向和有关隐蔽工程的位置图。</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黑体" w:hAnsi="黑体" w:eastAsia="黑体"/>
          <w:snapToGrid w:val="0"/>
          <w:sz w:val="32"/>
          <w:szCs w:val="32"/>
        </w:rPr>
        <w:t>第十一条</w:t>
      </w:r>
      <w:r>
        <w:rPr>
          <w:rFonts w:hint="eastAsia" w:ascii="仿宋_GB2312" w:hAnsi="宋体" w:eastAsia="仿宋_GB2312"/>
          <w:snapToGrid w:val="0"/>
          <w:sz w:val="32"/>
          <w:szCs w:val="32"/>
        </w:rPr>
        <w:t>　业务管理与业务技术档案包括全市建设系统各专业部门（包括城市规划、勘测、设计、施工、监理、园林、风景名胜、环卫、市政、公用、房地产管理、人防等部门）形成的业务管理和业务技术档案。</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黑体" w:hAnsi="黑体" w:eastAsia="黑体"/>
          <w:snapToGrid w:val="0"/>
          <w:sz w:val="32"/>
          <w:szCs w:val="32"/>
        </w:rPr>
        <w:t>第十二条</w:t>
      </w:r>
      <w:r>
        <w:rPr>
          <w:rFonts w:hint="eastAsia" w:ascii="仿宋_GB2312" w:hAnsi="宋体" w:eastAsia="仿宋_GB2312"/>
          <w:snapToGrid w:val="0"/>
          <w:sz w:val="32"/>
          <w:szCs w:val="32"/>
        </w:rPr>
        <w:t>　城市基础资料包括：</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仿宋_GB2312" w:hAnsi="宋体" w:eastAsia="仿宋_GB2312"/>
          <w:snapToGrid w:val="0"/>
          <w:sz w:val="32"/>
          <w:szCs w:val="32"/>
        </w:rPr>
        <w:t>（一）城市历史沿革、地名、自然、经济状况；有关城市规划、建设及其管理的法律、法规、规章等规范性文件；计划、统计、技术规程规范方面的文件、科学研究成果；城市建设发展史等方面的基础资料。</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仿宋_GB2312" w:hAnsi="宋体" w:eastAsia="仿宋_GB2312"/>
          <w:snapToGrid w:val="0"/>
          <w:sz w:val="32"/>
          <w:szCs w:val="32"/>
        </w:rPr>
        <w:t>（二）文物古迹，包括历史文化遗迹、遗址、古建筑、纪念性建筑、宗教建筑、历代名人故居的历史照片、图纸、历史记载、修缮记录和其他具有保存价值的资料。</w:t>
      </w:r>
    </w:p>
    <w:p>
      <w:pPr>
        <w:keepNext w:val="0"/>
        <w:keepLines w:val="0"/>
        <w:pageBreakBefore w:val="0"/>
        <w:widowControl/>
        <w:kinsoku/>
        <w:wordWrap/>
        <w:topLinePunct w:val="0"/>
        <w:autoSpaceDE/>
        <w:autoSpaceDN/>
        <w:bidi w:val="0"/>
        <w:adjustRightInd w:val="0"/>
        <w:snapToGrid/>
        <w:jc w:val="center"/>
        <w:textAlignment w:val="auto"/>
        <w:rPr>
          <w:rFonts w:hint="eastAsia" w:ascii="黑体" w:hAnsi="黑体" w:eastAsia="黑体"/>
          <w:snapToGrid w:val="0"/>
          <w:sz w:val="32"/>
          <w:szCs w:val="32"/>
        </w:rPr>
      </w:pPr>
      <w:r>
        <w:rPr>
          <w:rFonts w:hint="eastAsia" w:ascii="黑体" w:hAnsi="黑体" w:eastAsia="黑体"/>
          <w:snapToGrid w:val="0"/>
          <w:sz w:val="32"/>
          <w:szCs w:val="32"/>
        </w:rPr>
        <w:t>第三章　城建档案的编制和报送</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黑体" w:hAnsi="黑体" w:eastAsia="黑体"/>
          <w:snapToGrid w:val="0"/>
          <w:sz w:val="32"/>
          <w:szCs w:val="32"/>
        </w:rPr>
        <w:t>第十三条</w:t>
      </w:r>
      <w:r>
        <w:rPr>
          <w:rFonts w:hint="eastAsia" w:ascii="仿宋_GB2312" w:hAnsi="宋体" w:eastAsia="仿宋_GB2312"/>
          <w:snapToGrid w:val="0"/>
          <w:sz w:val="32"/>
          <w:szCs w:val="32"/>
        </w:rPr>
        <w:t>　各城建档案馆（室）负责接收保管需长期和永久保存的城建档案资料。具体范围由市建设行政主管部门确定。</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黑体" w:hAnsi="黑体" w:eastAsia="黑体"/>
          <w:snapToGrid w:val="0"/>
          <w:sz w:val="32"/>
          <w:szCs w:val="32"/>
        </w:rPr>
        <w:t>第十四条</w:t>
      </w:r>
      <w:r>
        <w:rPr>
          <w:rFonts w:hint="eastAsia" w:ascii="仿宋_GB2312" w:hAnsi="宋体" w:eastAsia="仿宋_GB2312"/>
          <w:snapToGrid w:val="0"/>
          <w:sz w:val="32"/>
          <w:szCs w:val="32"/>
        </w:rPr>
        <w:t>　建设系统各单位的业务管理、业务技术档案和有关单位的城市基础资料等应当自形成之日起在本单位保管使用1至5年后移交所在市城建档案馆。</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仿宋_GB2312" w:hAnsi="宋体" w:eastAsia="仿宋_GB2312"/>
          <w:snapToGrid w:val="0"/>
          <w:sz w:val="32"/>
          <w:szCs w:val="32"/>
        </w:rPr>
        <w:t>房地产权属档案，由房产行政主管部门负责管理。</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黑体" w:hAnsi="黑体" w:eastAsia="黑体"/>
          <w:snapToGrid w:val="0"/>
          <w:sz w:val="32"/>
          <w:szCs w:val="32"/>
        </w:rPr>
        <w:t>第十五条</w:t>
      </w:r>
      <w:r>
        <w:rPr>
          <w:rFonts w:hint="eastAsia" w:ascii="仿宋_GB2312" w:hAnsi="宋体" w:eastAsia="仿宋_GB2312"/>
          <w:snapToGrid w:val="0"/>
          <w:sz w:val="32"/>
          <w:szCs w:val="32"/>
        </w:rPr>
        <w:t>　报送城建档案必须遵守下列规定：</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仿宋_GB2312" w:hAnsi="宋体" w:eastAsia="仿宋_GB2312"/>
          <w:snapToGrid w:val="0"/>
          <w:sz w:val="32"/>
          <w:szCs w:val="32"/>
        </w:rPr>
        <w:t>（一）符合接收标准的要求；</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仿宋_GB2312" w:hAnsi="宋体" w:eastAsia="仿宋_GB2312"/>
          <w:snapToGrid w:val="0"/>
          <w:sz w:val="32"/>
          <w:szCs w:val="32"/>
        </w:rPr>
        <w:t>（二）档案材料完整、准确、系统；</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仿宋_GB2312" w:hAnsi="宋体" w:eastAsia="仿宋_GB2312"/>
          <w:snapToGrid w:val="0"/>
          <w:sz w:val="32"/>
          <w:szCs w:val="32"/>
        </w:rPr>
        <w:t>（三）档案材料是原件；</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仿宋_GB2312" w:hAnsi="宋体" w:eastAsia="仿宋_GB2312"/>
          <w:snapToGrid w:val="0"/>
          <w:sz w:val="32"/>
          <w:szCs w:val="32"/>
        </w:rPr>
        <w:t>（四）建设工程竣工图与工程实体相符，并加盖竣工图章；</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仿宋_GB2312" w:hAnsi="宋体" w:eastAsia="仿宋_GB2312"/>
          <w:snapToGrid w:val="0"/>
          <w:sz w:val="32"/>
          <w:szCs w:val="32"/>
        </w:rPr>
        <w:t>（五）档案材料的整理符合规范与标准要求。</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黑体" w:hAnsi="黑体" w:eastAsia="黑体"/>
          <w:snapToGrid w:val="0"/>
          <w:sz w:val="32"/>
          <w:szCs w:val="32"/>
        </w:rPr>
        <w:t>第十六条</w:t>
      </w:r>
      <w:r>
        <w:rPr>
          <w:rFonts w:hint="eastAsia" w:ascii="仿宋_GB2312" w:hAnsi="宋体" w:eastAsia="仿宋_GB2312"/>
          <w:snapToGrid w:val="0"/>
          <w:sz w:val="32"/>
          <w:szCs w:val="32"/>
        </w:rPr>
        <w:t>　建设单位应当从工程立项起，向勘察、设计、施工和监理单位提出编制报送建设工程档案的要求，做到建设工程档案材料的收集、编制与工程进度同步，保证建设工程档案材料的完整。</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黑体" w:hAnsi="黑体" w:eastAsia="黑体"/>
          <w:snapToGrid w:val="0"/>
          <w:sz w:val="32"/>
          <w:szCs w:val="32"/>
        </w:rPr>
        <w:t>第十七条</w:t>
      </w:r>
      <w:r>
        <w:rPr>
          <w:rFonts w:hint="eastAsia" w:ascii="仿宋_GB2312" w:hAnsi="宋体" w:eastAsia="仿宋_GB2312"/>
          <w:snapToGrid w:val="0"/>
          <w:sz w:val="32"/>
          <w:szCs w:val="32"/>
        </w:rPr>
        <w:t>　在公务活动中产生或收集到的应立卷归档的城建档案资料，须定期向本单位档案室移交，个人不得据为己有。</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黑体" w:hAnsi="黑体" w:eastAsia="黑体"/>
          <w:snapToGrid w:val="0"/>
          <w:sz w:val="32"/>
          <w:szCs w:val="32"/>
        </w:rPr>
        <w:t>第十八条</w:t>
      </w:r>
      <w:r>
        <w:rPr>
          <w:rFonts w:hint="eastAsia" w:ascii="仿宋_GB2312" w:hAnsi="宋体" w:eastAsia="仿宋_GB2312"/>
          <w:snapToGrid w:val="0"/>
          <w:sz w:val="32"/>
          <w:szCs w:val="32"/>
        </w:rPr>
        <w:t>　集体或个人所有的、对国家和社会有保存价值的城建档案资料，可向市城建档案馆捐赠或委托保管。向国家捐赠城建档案的，应当予以奖励；必要时城建档案馆可以收购或者征购。</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黑体" w:hAnsi="黑体" w:eastAsia="黑体"/>
          <w:snapToGrid w:val="0"/>
          <w:sz w:val="32"/>
          <w:szCs w:val="32"/>
        </w:rPr>
        <w:t>第十九条</w:t>
      </w:r>
      <w:r>
        <w:rPr>
          <w:rFonts w:hint="eastAsia" w:ascii="仿宋_GB2312" w:hAnsi="宋体" w:eastAsia="仿宋_GB2312"/>
          <w:snapToGrid w:val="0"/>
          <w:sz w:val="32"/>
          <w:szCs w:val="32"/>
        </w:rPr>
        <w:t>　建设工程移交新的管理单位，其工程档案必须随同移交；停建、缓建工程档案资料，由建设单位档案机构收集保管。</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黑体" w:hAnsi="黑体" w:eastAsia="黑体"/>
          <w:snapToGrid w:val="0"/>
          <w:sz w:val="32"/>
          <w:szCs w:val="32"/>
        </w:rPr>
        <w:t>第二十条</w:t>
      </w:r>
      <w:r>
        <w:rPr>
          <w:rFonts w:hint="eastAsia" w:ascii="仿宋_GB2312" w:hAnsi="宋体" w:eastAsia="仿宋_GB2312"/>
          <w:snapToGrid w:val="0"/>
          <w:sz w:val="32"/>
          <w:szCs w:val="32"/>
        </w:rPr>
        <w:t>　建设工程档案实行登记制度。建设单位在领取建设工程规划许可证的同时，向城建档案管理机构办理登记手续，签订建设工程档案报送责任书。</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黑体" w:hAnsi="黑体" w:eastAsia="黑体"/>
          <w:snapToGrid w:val="0"/>
          <w:sz w:val="32"/>
          <w:szCs w:val="32"/>
        </w:rPr>
        <w:t>第二十一条</w:t>
      </w:r>
      <w:r>
        <w:rPr>
          <w:rFonts w:hint="eastAsia" w:ascii="仿宋_GB2312" w:hAnsi="宋体" w:eastAsia="仿宋_GB2312"/>
          <w:snapToGrid w:val="0"/>
          <w:sz w:val="32"/>
          <w:szCs w:val="32"/>
        </w:rPr>
        <w:t>　施工单位应当按照有关规定和合同的约定，及时真实准确编制施工技术文件材料，包括竣工图。由专兼职档案员（或资料员），负责收集、整理、归档和报送档案资料。监理单位应当及时收集、整理在工程监理过程中形成或接收的档案，并在竣工验收前移交建设单位。</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黑体" w:hAnsi="黑体" w:eastAsia="黑体"/>
          <w:snapToGrid w:val="0"/>
          <w:sz w:val="32"/>
          <w:szCs w:val="32"/>
        </w:rPr>
        <w:t>第二十二条</w:t>
      </w:r>
      <w:r>
        <w:rPr>
          <w:rFonts w:hint="eastAsia" w:ascii="仿宋_GB2312" w:hAnsi="宋体" w:eastAsia="仿宋_GB2312"/>
          <w:snapToGrid w:val="0"/>
          <w:sz w:val="32"/>
          <w:szCs w:val="32"/>
        </w:rPr>
        <w:t>　建设单位在建设工程竣工验收前，应当提请所在地城建档案管理机构对建设工程档案进行预验收，建设档案预验收合格后，由城建档案管理机构出具工程档案认可文件。</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黑体" w:hAnsi="黑体" w:eastAsia="黑体"/>
          <w:snapToGrid w:val="0"/>
          <w:sz w:val="32"/>
          <w:szCs w:val="32"/>
        </w:rPr>
        <w:t>第二十三条</w:t>
      </w:r>
      <w:r>
        <w:rPr>
          <w:rFonts w:hint="eastAsia" w:ascii="仿宋_GB2312" w:hAnsi="宋体" w:eastAsia="仿宋_GB2312"/>
          <w:snapToGrid w:val="0"/>
          <w:sz w:val="32"/>
          <w:szCs w:val="32"/>
        </w:rPr>
        <w:t>　工程竣工验收后3个月内，建设单位应按建设工程档案报送责任书要求，向城建档案馆报送城市建设工程档案，报送内容应包括全套完整的建设工程档案照片、录像资料（重点工程须报送录像片）。案卷质量应当符合《苏州市建设工程档案质量组卷要求》规定。</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黑体" w:hAnsi="黑体" w:eastAsia="黑体"/>
          <w:snapToGrid w:val="0"/>
          <w:sz w:val="32"/>
          <w:szCs w:val="32"/>
        </w:rPr>
        <w:t>第二十四条</w:t>
      </w:r>
      <w:r>
        <w:rPr>
          <w:rFonts w:hint="eastAsia" w:ascii="仿宋_GB2312" w:hAnsi="宋体" w:eastAsia="仿宋_GB2312"/>
          <w:snapToGrid w:val="0"/>
          <w:sz w:val="32"/>
          <w:szCs w:val="32"/>
        </w:rPr>
        <w:t>　凡建设单位报送的建设工程档案资料符合要求的，由城建档案管理机构出具《建设工程档案接收证明书》，并加盖城建档案接收专用章。</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黑体" w:hAnsi="黑体" w:eastAsia="黑体"/>
          <w:snapToGrid w:val="0"/>
          <w:sz w:val="32"/>
          <w:szCs w:val="32"/>
        </w:rPr>
        <w:t>第二十五条</w:t>
      </w:r>
      <w:r>
        <w:rPr>
          <w:rFonts w:hint="eastAsia" w:ascii="仿宋_GB2312" w:hAnsi="宋体" w:eastAsia="仿宋_GB2312"/>
          <w:snapToGrid w:val="0"/>
          <w:sz w:val="32"/>
          <w:szCs w:val="32"/>
        </w:rPr>
        <w:t>　建设单位在向建设行政主管部门办理建设工程竣工验收备案手续时，应当同时提交《建设工程档案接收证明书》，作为备案的必备证明文件。</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黑体" w:hAnsi="黑体" w:eastAsia="黑体"/>
          <w:snapToGrid w:val="0"/>
          <w:sz w:val="32"/>
          <w:szCs w:val="32"/>
        </w:rPr>
        <w:t>第二十六条</w:t>
      </w:r>
      <w:r>
        <w:rPr>
          <w:rFonts w:hint="eastAsia" w:ascii="仿宋_GB2312" w:hAnsi="宋体" w:eastAsia="仿宋_GB2312"/>
          <w:snapToGrid w:val="0"/>
          <w:sz w:val="32"/>
          <w:szCs w:val="32"/>
        </w:rPr>
        <w:t>　房产管理部门在审核颁发房屋权属证书时，应当核验建设工程档案接收证明书。</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黑体" w:hAnsi="黑体" w:eastAsia="黑体"/>
          <w:snapToGrid w:val="0"/>
          <w:sz w:val="32"/>
          <w:szCs w:val="32"/>
        </w:rPr>
        <w:t>第二十七条</w:t>
      </w:r>
      <w:r>
        <w:rPr>
          <w:rFonts w:hint="eastAsia" w:ascii="仿宋_GB2312" w:hAnsi="宋体" w:eastAsia="仿宋_GB2312"/>
          <w:snapToGrid w:val="0"/>
          <w:sz w:val="32"/>
          <w:szCs w:val="32"/>
        </w:rPr>
        <w:t>　市、县级市人民政府应当加强城市管线档案的管理，城市管线档案不完整、不准确的，应当组织有关部门进行城市管线普查和测绘。建设单位、专业公司应当加强对新增城市地下管线档案的收集归档和原有地下管线的普查、补测、补绘和建档工作。城下管线专业管理单位每年应当向城建档案馆报送更改、报废、漏测部分的管线现状图和资料。</w:t>
      </w:r>
    </w:p>
    <w:p>
      <w:pPr>
        <w:keepNext w:val="0"/>
        <w:keepLines w:val="0"/>
        <w:pageBreakBefore w:val="0"/>
        <w:widowControl/>
        <w:kinsoku/>
        <w:wordWrap/>
        <w:topLinePunct w:val="0"/>
        <w:autoSpaceDE/>
        <w:autoSpaceDN/>
        <w:bidi w:val="0"/>
        <w:adjustRightInd w:val="0"/>
        <w:snapToGrid/>
        <w:jc w:val="center"/>
        <w:textAlignment w:val="auto"/>
        <w:rPr>
          <w:rFonts w:hint="eastAsia" w:ascii="黑体" w:hAnsi="黑体" w:eastAsia="黑体"/>
          <w:snapToGrid w:val="0"/>
          <w:sz w:val="32"/>
          <w:szCs w:val="32"/>
        </w:rPr>
      </w:pPr>
      <w:r>
        <w:rPr>
          <w:rFonts w:hint="eastAsia" w:ascii="黑体" w:hAnsi="黑体" w:eastAsia="黑体"/>
          <w:snapToGrid w:val="0"/>
          <w:sz w:val="32"/>
          <w:szCs w:val="32"/>
        </w:rPr>
        <w:t>第四章　城建档案的保管和利用</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黑体" w:hAnsi="黑体" w:eastAsia="黑体"/>
          <w:snapToGrid w:val="0"/>
          <w:sz w:val="32"/>
          <w:szCs w:val="32"/>
        </w:rPr>
        <w:t>第二十八条</w:t>
      </w:r>
      <w:r>
        <w:rPr>
          <w:rFonts w:hint="eastAsia" w:ascii="仿宋_GB2312" w:hAnsi="宋体" w:eastAsia="仿宋_GB2312"/>
          <w:snapToGrid w:val="0"/>
          <w:sz w:val="32"/>
          <w:szCs w:val="32"/>
        </w:rPr>
        <w:t>　各级城建档案馆（室）应当建立科学的管理制度，便于城建档案的利用；有足够的库房，配置必要的设施，确保城建档案的安全；采用先进技术，实现城建档案管理的现代化。</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黑体" w:hAnsi="黑体" w:eastAsia="黑体"/>
          <w:snapToGrid w:val="0"/>
          <w:sz w:val="32"/>
          <w:szCs w:val="32"/>
        </w:rPr>
        <w:t>第二十九条</w:t>
      </w:r>
      <w:r>
        <w:rPr>
          <w:rFonts w:hint="eastAsia" w:ascii="仿宋_GB2312" w:hAnsi="宋体" w:eastAsia="仿宋_GB2312"/>
          <w:snapToGrid w:val="0"/>
          <w:sz w:val="32"/>
          <w:szCs w:val="32"/>
        </w:rPr>
        <w:t>　保密档案的管理和利用，密级的变更和解密，必须按照国家有关保密的法律和行政法规的规定办理。</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黑体" w:hAnsi="黑体" w:eastAsia="黑体"/>
          <w:snapToGrid w:val="0"/>
          <w:sz w:val="32"/>
          <w:szCs w:val="32"/>
        </w:rPr>
        <w:t>第三十条</w:t>
      </w:r>
      <w:r>
        <w:rPr>
          <w:rFonts w:hint="eastAsia" w:ascii="仿宋_GB2312" w:hAnsi="宋体" w:eastAsia="仿宋_GB2312"/>
          <w:snapToGrid w:val="0"/>
          <w:sz w:val="32"/>
          <w:szCs w:val="32"/>
        </w:rPr>
        <w:t>　鉴定城建档案保存价值的原则、保管期限的标准以及销毁城建档案的程序和办法，按国家有关规定执行。禁止擅自销毁城建档案。</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黑体" w:hAnsi="黑体" w:eastAsia="黑体"/>
          <w:snapToGrid w:val="0"/>
          <w:sz w:val="32"/>
          <w:szCs w:val="32"/>
        </w:rPr>
        <w:t>第三十一条</w:t>
      </w:r>
      <w:r>
        <w:rPr>
          <w:rFonts w:hint="eastAsia" w:ascii="仿宋_GB2312" w:hAnsi="宋体" w:eastAsia="仿宋_GB2312"/>
          <w:snapToGrid w:val="0"/>
          <w:sz w:val="32"/>
          <w:szCs w:val="32"/>
        </w:rPr>
        <w:t>　禁止出卖属于国家所有的城建档案。城建档案复制件的交换、转让和出卖，须按国家有关规定办理。</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黑体" w:hAnsi="黑体" w:eastAsia="黑体"/>
          <w:snapToGrid w:val="0"/>
          <w:sz w:val="32"/>
          <w:szCs w:val="32"/>
        </w:rPr>
        <w:t>第三十二条</w:t>
      </w:r>
      <w:r>
        <w:rPr>
          <w:rFonts w:hint="eastAsia" w:ascii="仿宋_GB2312" w:hAnsi="宋体" w:eastAsia="仿宋_GB2312"/>
          <w:snapToGrid w:val="0"/>
          <w:sz w:val="32"/>
          <w:szCs w:val="32"/>
        </w:rPr>
        <w:t>　城建档案馆应定期公布开放档案目录，并简化利用手续，为利用者提供方便。我国公民和组织持有合法证明，可以利用已经开放的城建档案。</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黑体" w:hAnsi="黑体" w:eastAsia="黑体"/>
          <w:snapToGrid w:val="0"/>
          <w:sz w:val="32"/>
          <w:szCs w:val="32"/>
        </w:rPr>
        <w:t>第三十三条</w:t>
      </w:r>
      <w:r>
        <w:rPr>
          <w:rFonts w:hint="eastAsia" w:ascii="仿宋_GB2312" w:hAnsi="宋体" w:eastAsia="仿宋_GB2312"/>
          <w:snapToGrid w:val="0"/>
          <w:sz w:val="32"/>
          <w:szCs w:val="32"/>
        </w:rPr>
        <w:t>　机关、团体、企业、事业单位和其他组织及公民，可以按照有关规定利用未开放的城建档案。</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黑体" w:hAnsi="黑体" w:eastAsia="黑体"/>
          <w:snapToGrid w:val="0"/>
          <w:sz w:val="32"/>
          <w:szCs w:val="32"/>
        </w:rPr>
        <w:t>第三十四条</w:t>
      </w:r>
      <w:r>
        <w:rPr>
          <w:rFonts w:hint="eastAsia" w:ascii="仿宋_GB2312" w:hAnsi="宋体" w:eastAsia="仿宋_GB2312"/>
          <w:snapToGrid w:val="0"/>
          <w:sz w:val="32"/>
          <w:szCs w:val="32"/>
        </w:rPr>
        <w:t>　向城建档案馆移交、捐赠、委托保管城建档案的单位和个人，对其档案享有优先利用权，并对其档案中不宜向社会开放的部分提出限制利用的意见，城建档案馆应当维护他们的合法权益。</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黑体" w:hAnsi="黑体" w:eastAsia="黑体"/>
          <w:snapToGrid w:val="0"/>
          <w:sz w:val="32"/>
          <w:szCs w:val="32"/>
        </w:rPr>
        <w:t>第三十五条</w:t>
      </w:r>
      <w:r>
        <w:rPr>
          <w:rFonts w:hint="eastAsia" w:ascii="仿宋_GB2312" w:hAnsi="宋体" w:eastAsia="仿宋_GB2312"/>
          <w:snapToGrid w:val="0"/>
          <w:sz w:val="32"/>
          <w:szCs w:val="32"/>
        </w:rPr>
        <w:t>　属于国家所有的城建档案，由城建档案馆或者有关主管部门公布；未经城建档案馆或者有关主管部门同意，任何组织和个人无权公布。</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黑体" w:hAnsi="黑体" w:eastAsia="黑体"/>
          <w:snapToGrid w:val="0"/>
          <w:sz w:val="32"/>
          <w:szCs w:val="32"/>
        </w:rPr>
        <w:t>第三十六条</w:t>
      </w:r>
      <w:r>
        <w:rPr>
          <w:rFonts w:hint="eastAsia" w:ascii="仿宋_GB2312" w:hAnsi="宋体" w:eastAsia="仿宋_GB2312"/>
          <w:snapToGrid w:val="0"/>
          <w:sz w:val="32"/>
          <w:szCs w:val="32"/>
        </w:rPr>
        <w:t>　城市建设档案管理人员，应当遵守国家有关保密的法律、法规和档案管理制度，不得泄漏城市建设档案中涉及的国家秘密。</w:t>
      </w:r>
    </w:p>
    <w:p>
      <w:pPr>
        <w:keepNext w:val="0"/>
        <w:keepLines w:val="0"/>
        <w:pageBreakBefore w:val="0"/>
        <w:widowControl/>
        <w:kinsoku/>
        <w:wordWrap/>
        <w:topLinePunct w:val="0"/>
        <w:autoSpaceDE/>
        <w:autoSpaceDN/>
        <w:bidi w:val="0"/>
        <w:adjustRightInd w:val="0"/>
        <w:snapToGrid/>
        <w:jc w:val="center"/>
        <w:textAlignment w:val="auto"/>
        <w:rPr>
          <w:rFonts w:hint="eastAsia" w:ascii="黑体" w:hAnsi="黑体" w:eastAsia="黑体"/>
          <w:snapToGrid w:val="0"/>
          <w:sz w:val="32"/>
          <w:szCs w:val="32"/>
        </w:rPr>
      </w:pPr>
      <w:r>
        <w:rPr>
          <w:rFonts w:hint="eastAsia" w:ascii="黑体" w:hAnsi="黑体" w:eastAsia="黑体"/>
          <w:snapToGrid w:val="0"/>
          <w:sz w:val="32"/>
          <w:szCs w:val="32"/>
        </w:rPr>
        <w:t>第五章　罚</w:t>
      </w:r>
      <w:r>
        <w:rPr>
          <w:rFonts w:hint="eastAsia" w:ascii="黑体" w:hAnsi="黑体" w:eastAsia="黑体"/>
          <w:snapToGrid w:val="0"/>
          <w:sz w:val="32"/>
          <w:szCs w:val="32"/>
          <w:lang w:val="en-US" w:eastAsia="zh-CN"/>
        </w:rPr>
        <w:t xml:space="preserve">  </w:t>
      </w:r>
      <w:r>
        <w:rPr>
          <w:rFonts w:hint="eastAsia" w:ascii="黑体" w:hAnsi="黑体" w:eastAsia="黑体"/>
          <w:snapToGrid w:val="0"/>
          <w:sz w:val="32"/>
          <w:szCs w:val="32"/>
        </w:rPr>
        <w:t>则</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黑体" w:hAnsi="黑体" w:eastAsia="黑体"/>
          <w:snapToGrid w:val="0"/>
          <w:sz w:val="32"/>
          <w:szCs w:val="32"/>
        </w:rPr>
        <w:t>第三十七条</w:t>
      </w:r>
      <w:r>
        <w:rPr>
          <w:rFonts w:hint="eastAsia" w:ascii="仿宋_GB2312" w:hAnsi="宋体" w:eastAsia="仿宋_GB2312"/>
          <w:snapToGrid w:val="0"/>
          <w:sz w:val="32"/>
          <w:szCs w:val="32"/>
        </w:rPr>
        <w:t>　违反本办法有下列行为之一的，由市、县级市人民政府档案行政主管部门依法查处。造成损失的，责令赔偿损失。同时有关主管部门和单位应当对直接负责的主管人员或者其他直接责任人给予行政处分。构成犯罪的，依法追究刑事责任。</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仿宋_GB2312" w:hAnsi="宋体" w:eastAsia="仿宋_GB2312"/>
          <w:snapToGrid w:val="0"/>
          <w:sz w:val="32"/>
          <w:szCs w:val="32"/>
        </w:rPr>
        <w:t>（一）损毁、丢失属于国家所有的城建档案的；</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仿宋_GB2312" w:hAnsi="宋体" w:eastAsia="仿宋_GB2312"/>
          <w:snapToGrid w:val="0"/>
          <w:sz w:val="32"/>
          <w:szCs w:val="32"/>
        </w:rPr>
        <w:t>（二）擅自提供、抄录、公布、销毁属于国家所有的城建档案的；</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仿宋_GB2312" w:hAnsi="宋体" w:eastAsia="仿宋_GB2312"/>
          <w:snapToGrid w:val="0"/>
          <w:sz w:val="32"/>
          <w:szCs w:val="32"/>
        </w:rPr>
        <w:t>（三）涂改、伪造城建档案的；</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仿宋_GB2312" w:hAnsi="宋体" w:eastAsia="仿宋_GB2312"/>
          <w:snapToGrid w:val="0"/>
          <w:sz w:val="32"/>
          <w:szCs w:val="32"/>
        </w:rPr>
        <w:t>（四）违反规定出卖或转让城建档案的；</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仿宋_GB2312" w:hAnsi="宋体" w:eastAsia="仿宋_GB2312"/>
          <w:snapToGrid w:val="0"/>
          <w:sz w:val="32"/>
          <w:szCs w:val="32"/>
        </w:rPr>
        <w:t>（五）档案工作人员玩忽职守，造成城建档案损失的。</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黑体" w:hAnsi="黑体" w:eastAsia="黑体"/>
          <w:snapToGrid w:val="0"/>
          <w:sz w:val="32"/>
          <w:szCs w:val="32"/>
        </w:rPr>
        <w:t>第三十八条</w:t>
      </w:r>
      <w:r>
        <w:rPr>
          <w:rFonts w:hint="eastAsia" w:ascii="仿宋_GB2312" w:hAnsi="宋体" w:eastAsia="仿宋_GB2312"/>
          <w:snapToGrid w:val="0"/>
          <w:sz w:val="32"/>
          <w:szCs w:val="32"/>
        </w:rPr>
        <w:t>　违反本办法有下列行为之一的，由市、县级市人民政府建设行政主管部门责令改正、予以警告，并可处以1万元以下罚款。</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仿宋_GB2312" w:hAnsi="宋体" w:eastAsia="仿宋_GB2312"/>
          <w:snapToGrid w:val="0"/>
          <w:sz w:val="32"/>
          <w:szCs w:val="32"/>
        </w:rPr>
        <w:t>（一）未按本办法第二十条办理登记手续的；</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仿宋_GB2312" w:hAnsi="宋体" w:eastAsia="仿宋_GB2312"/>
          <w:snapToGrid w:val="0"/>
          <w:sz w:val="32"/>
          <w:szCs w:val="32"/>
        </w:rPr>
        <w:t>（二）不按规定补测、补绘竣工图的；</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仿宋_GB2312" w:hAnsi="宋体" w:eastAsia="仿宋_GB2312"/>
          <w:snapToGrid w:val="0"/>
          <w:sz w:val="32"/>
          <w:szCs w:val="32"/>
        </w:rPr>
        <w:t>（三）竣工档案资料不完整或档案人员未签署验收意见，而通过工程竣工验收的。</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黑体" w:hAnsi="黑体" w:eastAsia="黑体"/>
          <w:snapToGrid w:val="0"/>
          <w:sz w:val="32"/>
          <w:szCs w:val="32"/>
        </w:rPr>
        <w:t>第三十九条</w:t>
      </w:r>
      <w:r>
        <w:rPr>
          <w:rFonts w:hint="eastAsia" w:ascii="仿宋_GB2312" w:hAnsi="宋体" w:eastAsia="仿宋_GB2312"/>
          <w:snapToGrid w:val="0"/>
          <w:sz w:val="32"/>
          <w:szCs w:val="32"/>
        </w:rPr>
        <w:t>　建设单位在建设工程竣工验收后，未向城建档案机构移交建设工程档案的，由市、县级市人民政府建设行政主管部门责令改正，处1万元以上10万元以下的罚款。</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黑体" w:hAnsi="黑体" w:eastAsia="黑体"/>
          <w:snapToGrid w:val="0"/>
          <w:sz w:val="32"/>
          <w:szCs w:val="32"/>
        </w:rPr>
        <w:t>第四十条</w:t>
      </w:r>
      <w:r>
        <w:rPr>
          <w:rFonts w:hint="eastAsia" w:ascii="仿宋_GB2312" w:hAnsi="宋体" w:eastAsia="仿宋_GB2312"/>
          <w:snapToGrid w:val="0"/>
          <w:sz w:val="32"/>
          <w:szCs w:val="32"/>
        </w:rPr>
        <w:t>　城市建设档案管理人员在城市建设档案管理工作中，滥用职权、玩忽职守、徇私舞弊的，由其所在单位或者上级主管部门给予行政处分；构成犯罪的，由司法部门依法追究刑事责任。</w:t>
      </w:r>
    </w:p>
    <w:p>
      <w:pPr>
        <w:keepNext w:val="0"/>
        <w:keepLines w:val="0"/>
        <w:pageBreakBefore w:val="0"/>
        <w:widowControl/>
        <w:kinsoku/>
        <w:wordWrap/>
        <w:topLinePunct w:val="0"/>
        <w:autoSpaceDE/>
        <w:autoSpaceDN/>
        <w:bidi w:val="0"/>
        <w:adjustRightInd w:val="0"/>
        <w:snapToGrid/>
        <w:jc w:val="center"/>
        <w:textAlignment w:val="auto"/>
        <w:rPr>
          <w:rFonts w:hint="eastAsia" w:ascii="黑体" w:hAnsi="黑体" w:eastAsia="黑体"/>
          <w:snapToGrid w:val="0"/>
          <w:sz w:val="32"/>
          <w:szCs w:val="32"/>
        </w:rPr>
      </w:pPr>
      <w:r>
        <w:rPr>
          <w:rFonts w:hint="eastAsia" w:ascii="黑体" w:hAnsi="黑体" w:eastAsia="黑体"/>
          <w:snapToGrid w:val="0"/>
          <w:sz w:val="32"/>
          <w:szCs w:val="32"/>
        </w:rPr>
        <w:t>第六章  附</w:t>
      </w:r>
      <w:r>
        <w:rPr>
          <w:rFonts w:hint="eastAsia" w:ascii="黑体" w:hAnsi="黑体" w:eastAsia="黑体"/>
          <w:snapToGrid w:val="0"/>
          <w:sz w:val="32"/>
          <w:szCs w:val="32"/>
          <w:lang w:val="en-US" w:eastAsia="zh-CN"/>
        </w:rPr>
        <w:t xml:space="preserve">  </w:t>
      </w:r>
      <w:r>
        <w:rPr>
          <w:rFonts w:hint="eastAsia" w:ascii="黑体" w:hAnsi="黑体" w:eastAsia="黑体"/>
          <w:snapToGrid w:val="0"/>
          <w:sz w:val="32"/>
          <w:szCs w:val="32"/>
        </w:rPr>
        <w:t>则</w:t>
      </w:r>
    </w:p>
    <w:p>
      <w:pPr>
        <w:keepNext w:val="0"/>
        <w:keepLines w:val="0"/>
        <w:pageBreakBefore w:val="0"/>
        <w:widowControl/>
        <w:kinsoku/>
        <w:wordWrap/>
        <w:overflowPunct w:val="0"/>
        <w:topLinePunct w:val="0"/>
        <w:autoSpaceDE/>
        <w:autoSpaceDN/>
        <w:bidi w:val="0"/>
        <w:adjustRightInd w:val="0"/>
        <w:snapToGrid/>
        <w:ind w:firstLine="640" w:firstLineChars="200"/>
        <w:textAlignment w:val="auto"/>
        <w:rPr>
          <w:rFonts w:hint="eastAsia" w:ascii="仿宋_GB2312" w:hAnsi="宋体" w:eastAsia="仿宋_GB2312"/>
          <w:snapToGrid w:val="0"/>
          <w:sz w:val="32"/>
          <w:szCs w:val="32"/>
        </w:rPr>
      </w:pPr>
      <w:r>
        <w:rPr>
          <w:rFonts w:hint="eastAsia" w:ascii="黑体" w:hAnsi="黑体" w:eastAsia="黑体"/>
          <w:snapToGrid w:val="0"/>
          <w:sz w:val="32"/>
          <w:szCs w:val="32"/>
        </w:rPr>
        <w:t>第四十一条</w:t>
      </w:r>
      <w:r>
        <w:rPr>
          <w:rFonts w:hint="eastAsia" w:ascii="仿宋_GB2312" w:hAnsi="宋体" w:eastAsia="仿宋_GB2312"/>
          <w:snapToGrid w:val="0"/>
          <w:sz w:val="32"/>
          <w:szCs w:val="32"/>
        </w:rPr>
        <w:t>　本办法公布前已超过移交时间还未移交的城建档案，须从本办法公布之日起半年内按规定一次性向城建档案馆移交。</w:t>
      </w:r>
      <w:bookmarkStart w:id="0" w:name="_GoBack"/>
      <w:bookmarkEnd w:id="0"/>
    </w:p>
    <w:p>
      <w:pPr>
        <w:keepNext w:val="0"/>
        <w:keepLines w:val="0"/>
        <w:pageBreakBefore w:val="0"/>
        <w:widowControl/>
        <w:kinsoku/>
        <w:wordWrap/>
        <w:topLinePunct w:val="0"/>
        <w:autoSpaceDE/>
        <w:autoSpaceDN/>
        <w:bidi w:val="0"/>
        <w:snapToGrid/>
        <w:ind w:firstLine="640" w:firstLineChars="200"/>
        <w:textAlignment w:val="auto"/>
        <w:rPr>
          <w:rFonts w:hint="eastAsia" w:ascii="仿宋_GB2312" w:eastAsia="仿宋_GB2312"/>
          <w:sz w:val="32"/>
          <w:szCs w:val="32"/>
        </w:rPr>
      </w:pPr>
      <w:r>
        <w:rPr>
          <w:rFonts w:hint="eastAsia" w:ascii="黑体" w:hAnsi="黑体" w:eastAsia="黑体"/>
          <w:snapToGrid w:val="0"/>
          <w:sz w:val="32"/>
          <w:szCs w:val="32"/>
        </w:rPr>
        <w:t>第四十二条</w:t>
      </w:r>
      <w:r>
        <w:rPr>
          <w:rFonts w:hint="eastAsia" w:ascii="仿宋_GB2312" w:hAnsi="宋体" w:eastAsia="仿宋_GB2312"/>
          <w:snapToGrid w:val="0"/>
          <w:sz w:val="32"/>
          <w:szCs w:val="32"/>
        </w:rPr>
        <w:t>　本办法自2002年3月1日起施行。</w:t>
      </w:r>
    </w:p>
    <w:sectPr>
      <w:headerReference r:id="rId3" w:type="default"/>
      <w:footerReference r:id="rId4" w:type="default"/>
      <w:pgSz w:w="11906" w:h="16838"/>
      <w:pgMar w:top="1962" w:right="1474" w:bottom="1848" w:left="1587"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27EBDA8-0D20-4927-893D-B8F9BE6FA5AF}"/>
  </w:font>
  <w:font w:name="Arial">
    <w:panose1 w:val="020B0604020202020204"/>
    <w:charset w:val="01"/>
    <w:family w:val="swiss"/>
    <w:pitch w:val="default"/>
    <w:sig w:usb0="E0002EFF" w:usb1="C0007843" w:usb2="00000009" w:usb3="00000000" w:csb0="400001FF" w:csb1="FFFF0000"/>
    <w:embedRegular r:id="rId2" w:fontKey="{EDDE977B-5A5C-4082-A169-360C174EDA61}"/>
  </w:font>
  <w:font w:name="黑体">
    <w:panose1 w:val="02010609060101010101"/>
    <w:charset w:val="86"/>
    <w:family w:val="auto"/>
    <w:pitch w:val="default"/>
    <w:sig w:usb0="800002BF" w:usb1="38CF7CFA" w:usb2="00000016" w:usb3="00000000" w:csb0="00040001" w:csb1="00000000"/>
    <w:embedRegular r:id="rId3" w:fontKey="{0C52CF60-D146-4E06-9B1F-F1BF14A3F8C5}"/>
  </w:font>
  <w:font w:name="Courier New">
    <w:panose1 w:val="02070309020205020404"/>
    <w:charset w:val="01"/>
    <w:family w:val="modern"/>
    <w:pitch w:val="default"/>
    <w:sig w:usb0="E0002EFF" w:usb1="C0007843" w:usb2="00000009" w:usb3="00000000" w:csb0="400001FF" w:csb1="FFFF0000"/>
    <w:embedRegular r:id="rId4" w:fontKey="{DC6020E4-F1CA-4686-999A-5590617028BE}"/>
  </w:font>
  <w:font w:name="Symbol">
    <w:panose1 w:val="05050102010706020507"/>
    <w:charset w:val="02"/>
    <w:family w:val="roman"/>
    <w:pitch w:val="default"/>
    <w:sig w:usb0="00000000" w:usb1="00000000" w:usb2="00000000" w:usb3="00000000" w:csb0="80000000" w:csb1="00000000"/>
    <w:embedRegular r:id="rId5" w:fontKey="{A945CD8E-8C05-4738-B925-F8E089B98EA0}"/>
  </w:font>
  <w:font w:name="Calibri">
    <w:panose1 w:val="020F0502020204030204"/>
    <w:charset w:val="00"/>
    <w:family w:val="swiss"/>
    <w:pitch w:val="default"/>
    <w:sig w:usb0="E0002AFF" w:usb1="C000247B" w:usb2="00000009" w:usb3="00000000" w:csb0="200001FF" w:csb1="00000000"/>
    <w:embedRegular r:id="rId6" w:fontKey="{0EAEA826-1EF5-4D8A-A1E5-33F6C353C948}"/>
  </w:font>
  <w:font w:name="NEU-BZ">
    <w:altName w:val="宋体"/>
    <w:panose1 w:val="00000000000000000000"/>
    <w:charset w:val="86"/>
    <w:family w:val="auto"/>
    <w:pitch w:val="default"/>
    <w:sig w:usb0="00000000" w:usb1="00000000" w:usb2="00000016" w:usb3="00000000" w:csb0="00040001" w:csb1="00000000"/>
  </w:font>
  <w:font w:name="Arial">
    <w:panose1 w:val="020B0604020202020204"/>
    <w:charset w:val="00"/>
    <w:family w:val="swiss"/>
    <w:pitch w:val="default"/>
    <w:sig w:usb0="E0002EFF" w:usb1="C0007843" w:usb2="00000009" w:usb3="00000000" w:csb0="400001FF" w:csb1="FFFF0000"/>
    <w:embedRegular r:id="rId7" w:fontKey="{51BBA78E-9237-4603-8247-A8DA471BA8D7}"/>
  </w:font>
  <w:font w:name="方正书宋简体">
    <w:altName w:val="宋体"/>
    <w:panose1 w:val="00000000000000000000"/>
    <w:charset w:val="86"/>
    <w:family w:val="script"/>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8" w:fontKey="{F085FD3A-9922-4282-AECD-95A733C95C46}"/>
  </w:font>
  <w:font w:name="方正小标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embedRegular r:id="rId9" w:fontKey="{7C355903-5920-475B-B10E-7A3388258DF5}"/>
  </w:font>
  <w:font w:name="仿宋">
    <w:panose1 w:val="02010609060101010101"/>
    <w:charset w:val="86"/>
    <w:family w:val="modern"/>
    <w:pitch w:val="default"/>
    <w:sig w:usb0="800002BF" w:usb1="38CF7CFA" w:usb2="00000016" w:usb3="00000000" w:csb0="00040001" w:csb1="00000000"/>
    <w:embedRegular r:id="rId10" w:fontKey="{789F4B7E-F95B-4192-BA50-3C1A6BA5DD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left="5016" w:leftChars="2280" w:firstLine="6400" w:firstLineChars="2000"/>
      <w:rPr>
        <w:rFonts w:eastAsia="仿宋"/>
        <w:sz w:val="32"/>
        <w:szCs w:val="48"/>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- 2 -</w:t>
                          </w:r>
                          <w:r>
                            <w:rPr>
                              <w:rFonts w:hint="eastAsia" w:ascii="宋体" w:hAnsi="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- 2 -</w:t>
                    </w:r>
                    <w:r>
                      <w:rPr>
                        <w:rFonts w:hint="eastAsia" w:ascii="宋体" w:hAnsi="宋体" w:cs="宋体"/>
                        <w:sz w:val="28"/>
                        <w:szCs w:val="28"/>
                      </w:rPr>
                      <w:fldChar w:fldCharType="end"/>
                    </w:r>
                  </w:p>
                </w:txbxContent>
              </v:textbox>
            </v:shape>
          </w:pict>
        </mc:Fallback>
      </mc:AlternateContent>
    </w:r>
    <w:r>
      <w:rPr>
        <w:rFonts w:hint="eastAsia" w:eastAsia="仿宋"/>
        <w:sz w:val="32"/>
        <w:szCs w:val="48"/>
      </w:rPr>
      <w:t xml:space="preserve">  </w:t>
    </w:r>
  </w:p>
  <w:p>
    <w:pPr>
      <w:pStyle w:val="5"/>
      <w:wordWrap w:val="0"/>
      <w:ind w:left="5016" w:leftChars="2280" w:firstLine="6400" w:firstLineChars="2000"/>
      <w:jc w:val="right"/>
      <w:rPr>
        <w:rFonts w:ascii="宋体" w:hAnsi="宋体" w:cs="宋体"/>
        <w:b/>
        <w:bCs/>
        <w:color w:val="005192"/>
        <w:sz w:val="28"/>
        <w:szCs w:val="44"/>
      </w:rPr>
    </w:pPr>
    <w:r>
      <w:rPr>
        <w:sz w:val="32"/>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85pt;height:0.15pt;width:442.25pt;z-index:251660288;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zp6XR1AAA&#10;AAYBAAAPAAAAAAAAAAEAIAAAACIAAABkcnMvZG93bnJldi54bWxQSwECFAAUAAAACACHTuJA8DYt&#10;KekBAAC1AwAADgAAAAAAAAABACAAAAAjAQAAZHJzL2Uyb0RvYy54bWxQSwUGAAAAAAYABgBZAQAA&#10;fgUAAAAA&#10;">
              <v:fill on="f" focussize="0,0"/>
              <v:stroke weight="1.75pt" color="#005192 [3204]" miterlimit="8" joinstyle="miter"/>
              <v:imagedata o:title=""/>
              <o:lock v:ext="edit" aspectratio="f"/>
            </v:line>
          </w:pict>
        </mc:Fallback>
      </mc:AlternateContent>
    </w:r>
    <w:r>
      <w:rPr>
        <w:rFonts w:hint="eastAsia" w:eastAsia="仿宋"/>
        <w:sz w:val="32"/>
        <w:szCs w:val="48"/>
      </w:rPr>
      <w:t>X</w:t>
    </w:r>
    <w:r>
      <w:rPr>
        <w:rFonts w:hint="eastAsia" w:ascii="宋体" w:hAnsi="宋体" w:cs="宋体"/>
        <w:b/>
        <w:bCs/>
        <w:color w:val="005192"/>
        <w:sz w:val="28"/>
        <w:szCs w:val="44"/>
      </w:rPr>
      <w:t xml:space="preserve">苏州市人民政府发布     </w:t>
    </w:r>
  </w:p>
  <w:p>
    <w:pPr>
      <w:pStyle w:val="5"/>
      <w:wordWrap w:val="0"/>
      <w:ind w:left="5016" w:leftChars="2280" w:firstLine="5622" w:firstLineChars="2000"/>
      <w:jc w:val="right"/>
      <w:rPr>
        <w:rFonts w:ascii="宋体" w:hAnsi="宋体" w:cs="宋体"/>
        <w:b/>
        <w:bCs/>
        <w:color w:val="005192"/>
        <w:sz w:val="28"/>
        <w:szCs w:val="4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idowControl w:val="0"/>
      <w:textAlignment w:val="center"/>
      <w:rPr>
        <w:rFonts w:ascii="宋体" w:hAnsi="宋体" w:cs="宋体"/>
        <w:b/>
        <w:bCs/>
        <w:color w:val="005192"/>
        <w:sz w:val="32"/>
      </w:rPr>
    </w:pPr>
    <w:r>
      <w:rPr>
        <w:rFonts w:hint="eastAsia" w:ascii="宋体" w:hAnsi="宋体" w:cs="宋体"/>
        <w:b/>
        <w:bCs/>
        <w:color w:val="005192"/>
        <w:sz w:val="32"/>
      </w:rPr>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690245</wp:posOffset>
              </wp:positionV>
              <wp:extent cx="5620385" cy="0"/>
              <wp:effectExtent l="0" t="12700" r="18415" b="15875"/>
              <wp:wrapNone/>
              <wp:docPr id="4" name="直接连接符 4"/>
              <wp:cNvGraphicFramePr/>
              <a:graphic xmlns:a="http://schemas.openxmlformats.org/drawingml/2006/main">
                <a:graphicData uri="http://schemas.microsoft.com/office/word/2010/wordprocessingShape">
                  <wps:wsp>
                    <wps:cNvCnPr/>
                    <wps:spPr>
                      <a:xfrm>
                        <a:off x="4133850" y="864870"/>
                        <a:ext cx="562038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3pt;margin-top:54.35pt;height:0pt;width:442.55pt;z-index:251659264;mso-width-relative:page;mso-height-relative:page;" filled="f" stroked="t" coordsize="21600,21600" o:gfxdata="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EdA1tUAAAAJAQAADwAAAAAAAAABACAAAAAiAAAAZHJzL2Rvd25yZXYueG1sUEsBAhQAFAAA&#10;AAgAh07iQAXuux7yAQAAvQMAAA4AAAAAAAAAAQAgAAAAJAEAAGRycy9lMm9Eb2MueG1sUEsFBgAA&#10;AAAGAAYAWQEAAIgFAAAAAA==&#10;">
              <v:fill on="f" focussize="0,0"/>
              <v:stroke weight="1.75pt" color="#005192 [3204]" miterlimit="8" joinstyle="miter"/>
              <v:imagedata o:title=""/>
              <o:lock v:ext="edit" aspectratio="f"/>
            </v:line>
          </w:pict>
        </mc:Fallback>
      </mc:AlternateContent>
    </w:r>
  </w:p>
  <w:p>
    <w:pPr>
      <w:pStyle w:val="5"/>
      <w:widowControl w:val="0"/>
      <w:textAlignment w:val="center"/>
      <w:rPr>
        <w:rFonts w:ascii="宋体" w:hAnsi="宋体" w:cs="宋体"/>
        <w:b/>
        <w:bCs/>
        <w:color w:val="005192"/>
        <w:sz w:val="32"/>
        <w:szCs w:val="32"/>
      </w:rPr>
    </w:pPr>
    <w:r>
      <w:rPr>
        <w:rFonts w:hint="eastAsia" w:ascii="宋体" w:hAnsi="宋体" w:cs="宋体"/>
        <w:b/>
        <w:bCs/>
        <w:color w:val="005192"/>
        <w:sz w:val="32"/>
      </w:rPr>
      <w:drawing>
        <wp:inline distT="0" distB="0" distL="114300" distR="114300">
          <wp:extent cx="308610" cy="308610"/>
          <wp:effectExtent l="0" t="0" r="11430" b="11430"/>
          <wp:docPr id="6"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cs="宋体"/>
        <w:b/>
        <w:bCs/>
        <w:color w:val="005192"/>
        <w:sz w:val="32"/>
        <w:szCs w:val="32"/>
      </w:rPr>
      <w:t>苏州市人民政府规章</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9011D9"/>
    <w:rsid w:val="0000565E"/>
    <w:rsid w:val="00025E47"/>
    <w:rsid w:val="00033620"/>
    <w:rsid w:val="000A36A8"/>
    <w:rsid w:val="001A6013"/>
    <w:rsid w:val="001E0BFF"/>
    <w:rsid w:val="00284129"/>
    <w:rsid w:val="0029429C"/>
    <w:rsid w:val="004165D3"/>
    <w:rsid w:val="00476822"/>
    <w:rsid w:val="00487980"/>
    <w:rsid w:val="00547B69"/>
    <w:rsid w:val="006444FC"/>
    <w:rsid w:val="0066020E"/>
    <w:rsid w:val="00674FC1"/>
    <w:rsid w:val="00694506"/>
    <w:rsid w:val="006C1BF0"/>
    <w:rsid w:val="00715DAF"/>
    <w:rsid w:val="00720E7C"/>
    <w:rsid w:val="007C7184"/>
    <w:rsid w:val="007D2EEA"/>
    <w:rsid w:val="00810E54"/>
    <w:rsid w:val="00811A33"/>
    <w:rsid w:val="009B3BDB"/>
    <w:rsid w:val="00A20BCF"/>
    <w:rsid w:val="00AE6051"/>
    <w:rsid w:val="00B07ED7"/>
    <w:rsid w:val="00B3424F"/>
    <w:rsid w:val="00B723DA"/>
    <w:rsid w:val="00BD7FE1"/>
    <w:rsid w:val="00BF17AA"/>
    <w:rsid w:val="00C35850"/>
    <w:rsid w:val="00C92C41"/>
    <w:rsid w:val="00CD2906"/>
    <w:rsid w:val="00DB6497"/>
    <w:rsid w:val="00EA1619"/>
    <w:rsid w:val="00F43045"/>
    <w:rsid w:val="00F56D64"/>
    <w:rsid w:val="00F86BFD"/>
    <w:rsid w:val="00F9139C"/>
    <w:rsid w:val="00FE3ADD"/>
    <w:rsid w:val="00FF7E75"/>
    <w:rsid w:val="019E71BD"/>
    <w:rsid w:val="05440955"/>
    <w:rsid w:val="066E5641"/>
    <w:rsid w:val="06A67E67"/>
    <w:rsid w:val="080F63D8"/>
    <w:rsid w:val="09341458"/>
    <w:rsid w:val="0CE65B2C"/>
    <w:rsid w:val="0D5C5CF8"/>
    <w:rsid w:val="101F0538"/>
    <w:rsid w:val="10254BD6"/>
    <w:rsid w:val="13A23C39"/>
    <w:rsid w:val="152D2DCA"/>
    <w:rsid w:val="169E6AC5"/>
    <w:rsid w:val="1C86388D"/>
    <w:rsid w:val="1E466CFF"/>
    <w:rsid w:val="22440422"/>
    <w:rsid w:val="23F13B42"/>
    <w:rsid w:val="2FCE575A"/>
    <w:rsid w:val="2FFC7EDE"/>
    <w:rsid w:val="31A15F24"/>
    <w:rsid w:val="39A232A0"/>
    <w:rsid w:val="3A1C636B"/>
    <w:rsid w:val="3B5A6BBB"/>
    <w:rsid w:val="3BE16DE7"/>
    <w:rsid w:val="3E0E7999"/>
    <w:rsid w:val="3EDA13A6"/>
    <w:rsid w:val="3F5730EA"/>
    <w:rsid w:val="426562BA"/>
    <w:rsid w:val="42F058B7"/>
    <w:rsid w:val="436109F6"/>
    <w:rsid w:val="441A38D4"/>
    <w:rsid w:val="49B91357"/>
    <w:rsid w:val="4AEC52E8"/>
    <w:rsid w:val="4BC77339"/>
    <w:rsid w:val="4C9236C5"/>
    <w:rsid w:val="4E2A37E2"/>
    <w:rsid w:val="50414CBD"/>
    <w:rsid w:val="51E247E8"/>
    <w:rsid w:val="526F08CC"/>
    <w:rsid w:val="52F46F0B"/>
    <w:rsid w:val="55274B4C"/>
    <w:rsid w:val="55E064E0"/>
    <w:rsid w:val="5A4F3EF9"/>
    <w:rsid w:val="5D0D7ECB"/>
    <w:rsid w:val="608816D1"/>
    <w:rsid w:val="69D03F98"/>
    <w:rsid w:val="6B16644B"/>
    <w:rsid w:val="6BF75DB0"/>
    <w:rsid w:val="6C09760A"/>
    <w:rsid w:val="6D0E3F22"/>
    <w:rsid w:val="714A2531"/>
    <w:rsid w:val="71E9213F"/>
    <w:rsid w:val="75AA717D"/>
    <w:rsid w:val="7C9011D9"/>
    <w:rsid w:val="7DC651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NEU-BZ" w:eastAsia="宋体" w:cs="Times New Roman"/>
      <w:sz w:val="22"/>
      <w:szCs w:val="22"/>
      <w:lang w:val="en-US" w:eastAsia="zh-CN" w:bidi="ar-SA"/>
    </w:rPr>
  </w:style>
  <w:style w:type="paragraph" w:styleId="2">
    <w:name w:val="heading 2"/>
    <w:basedOn w:val="1"/>
    <w:next w:val="1"/>
    <w:qFormat/>
    <w:uiPriority w:val="0"/>
    <w:pPr>
      <w:keepNext/>
      <w:keepLines/>
      <w:spacing w:before="100" w:beforeLines="100" w:after="100" w:afterLines="100" w:line="600" w:lineRule="exact"/>
      <w:jc w:val="center"/>
      <w:outlineLvl w:val="1"/>
    </w:pPr>
    <w:rPr>
      <w:rFonts w:ascii="黑体" w:hAnsi="Arial" w:eastAsia="黑体"/>
      <w:bCs/>
      <w:sz w:val="32"/>
      <w:szCs w:val="32"/>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3"/>
    <w:uiPriority w:val="0"/>
    <w:rPr>
      <w:sz w:val="18"/>
      <w:szCs w:val="18"/>
    </w:rPr>
  </w:style>
  <w:style w:type="paragraph" w:styleId="4">
    <w:name w:val="footer"/>
    <w:basedOn w:val="1"/>
    <w:qFormat/>
    <w:uiPriority w:val="0"/>
    <w:pPr>
      <w:tabs>
        <w:tab w:val="center" w:pos="4153"/>
        <w:tab w:val="right" w:pos="8306"/>
      </w:tabs>
      <w:snapToGrid w:val="0"/>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character" w:styleId="8">
    <w:name w:val="page number"/>
    <w:basedOn w:val="7"/>
    <w:qFormat/>
    <w:uiPriority w:val="0"/>
  </w:style>
  <w:style w:type="paragraph" w:customStyle="1" w:styleId="9">
    <w:name w:val="15.5正文（仿宋GB）"/>
    <w:basedOn w:val="1"/>
    <w:qFormat/>
    <w:uiPriority w:val="0"/>
    <w:pPr>
      <w:ind w:firstLine="200" w:firstLineChars="200"/>
    </w:pPr>
    <w:rPr>
      <w:rFonts w:ascii="方正书宋简体" w:hAnsi="方正书宋简体" w:eastAsia="仿宋_GB2312"/>
      <w:color w:val="000000"/>
      <w:sz w:val="31"/>
      <w:szCs w:val="31"/>
    </w:rPr>
  </w:style>
  <w:style w:type="paragraph" w:customStyle="1" w:styleId="10">
    <w:name w:val="一级标题（二号小标宋）"/>
    <w:basedOn w:val="1"/>
    <w:qFormat/>
    <w:uiPriority w:val="0"/>
    <w:pPr>
      <w:jc w:val="center"/>
    </w:pPr>
    <w:rPr>
      <w:rFonts w:ascii="方正书宋简体" w:hAnsi="方正书宋简体" w:eastAsia="方正小标宋_GBK"/>
      <w:color w:val="000000"/>
      <w:sz w:val="42"/>
      <w:szCs w:val="42"/>
    </w:rPr>
  </w:style>
  <w:style w:type="paragraph" w:customStyle="1" w:styleId="11">
    <w:name w:val="15.5楷体（标题下楷体）"/>
    <w:basedOn w:val="1"/>
    <w:qFormat/>
    <w:uiPriority w:val="0"/>
    <w:pPr>
      <w:spacing w:before="105"/>
      <w:ind w:firstLine="200" w:firstLineChars="200"/>
      <w:jc w:val="center"/>
    </w:pPr>
    <w:rPr>
      <w:rFonts w:ascii="方正书宋简体" w:hAnsi="方正书宋简体" w:eastAsia="楷体_GB2312"/>
      <w:color w:val="000000"/>
      <w:sz w:val="31"/>
      <w:szCs w:val="31"/>
    </w:rPr>
  </w:style>
  <w:style w:type="paragraph" w:customStyle="1" w:styleId="12">
    <w:name w:val="样式3"/>
    <w:basedOn w:val="1"/>
    <w:qFormat/>
    <w:uiPriority w:val="0"/>
    <w:pPr>
      <w:widowControl w:val="0"/>
      <w:adjustRightInd w:val="0"/>
      <w:snapToGrid w:val="0"/>
      <w:spacing w:before="100" w:beforeLines="100" w:after="100" w:afterLines="100" w:line="600" w:lineRule="exact"/>
      <w:jc w:val="center"/>
    </w:pPr>
    <w:rPr>
      <w:rFonts w:ascii="方正书宋简体" w:hAnsi="方正书宋简体" w:eastAsia="楷体_GB2312"/>
      <w:color w:val="000000"/>
      <w:sz w:val="31"/>
      <w:szCs w:val="31"/>
    </w:rPr>
  </w:style>
  <w:style w:type="character" w:customStyle="1" w:styleId="13">
    <w:name w:val="批注框文本 Char"/>
    <w:basedOn w:val="7"/>
    <w:link w:val="3"/>
    <w:qFormat/>
    <w:uiPriority w:val="0"/>
    <w:rPr>
      <w:rFonts w:ascii="Calibri" w:hAnsi="NEU-BZ"/>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603</Words>
  <Characters>3439</Characters>
  <Lines>28</Lines>
  <Paragraphs>8</Paragraphs>
  <TotalTime>31</TotalTime>
  <ScaleCrop>false</ScaleCrop>
  <LinksUpToDate>false</LinksUpToDate>
  <CharactersWithSpaces>4034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2021-09-09T02:41:00Z</dcterms:created>
  <dc:creator>t</dc:creator>
  <cp:lastModifiedBy>chris</cp:lastModifiedBy>
  <cp:lastPrinted>2021-11-15T04:09:00Z</cp:lastPrinted>
  <dcterms:modified xsi:type="dcterms:W3CDTF">2022-02-18T06:44:08Z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D4FA9038FB7A439A82A6ED55A798BB39</vt:lpwstr>
  </property>
  <property fmtid="{D5CDD505-2E9C-101B-9397-08002B2CF9AE}" pid="4" name="KSOSaveFontToCloudKey">
    <vt:lpwstr>625703374_embed</vt:lpwstr>
  </property>
</Properties>
</file>