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3FB53">
      <w:pPr>
        <w:spacing w:line="60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苏州市“十五五”安全生产、应急管理</w:t>
      </w:r>
    </w:p>
    <w:p w14:paraId="511BE976">
      <w:pPr>
        <w:spacing w:line="60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和消防救援事业发展规划</w:t>
      </w:r>
    </w:p>
    <w:p w14:paraId="34CBB435">
      <w:pPr>
        <w:shd w:val="clear" w:color="auto" w:fill="FFFFFF"/>
        <w:spacing w:line="560" w:lineRule="exact"/>
        <w:jc w:val="center"/>
        <w:rPr>
          <w:rFonts w:ascii="Times New Roman" w:hAnsi="Times New Roman" w:eastAsia="楷体" w:cs="楷体"/>
          <w:snapToGrid w:val="0"/>
          <w:color w:val="000000" w:themeColor="text1"/>
          <w:kern w:val="0"/>
          <w:sz w:val="32"/>
          <w:szCs w:val="22"/>
          <w14:textFill>
            <w14:solidFill>
              <w14:schemeClr w14:val="tx1"/>
            </w14:solidFill>
          </w14:textFill>
        </w:rPr>
      </w:pPr>
      <w:r>
        <w:rPr>
          <w:rFonts w:hint="eastAsia" w:ascii="Times New Roman" w:hAnsi="Times New Roman" w:eastAsia="楷体" w:cs="楷体"/>
          <w:snapToGrid w:val="0"/>
          <w:color w:val="000000" w:themeColor="text1"/>
          <w:kern w:val="0"/>
          <w:sz w:val="32"/>
          <w:szCs w:val="22"/>
          <w14:textFill>
            <w14:solidFill>
              <w14:schemeClr w14:val="tx1"/>
            </w14:solidFill>
          </w14:textFill>
        </w:rPr>
        <w:t>（</w:t>
      </w:r>
      <w:r>
        <w:rPr>
          <w:rFonts w:hint="eastAsia" w:ascii="Times New Roman" w:hAnsi="Times New Roman" w:eastAsia="楷体" w:cs="楷体"/>
          <w:snapToGrid w:val="0"/>
          <w:color w:val="000000" w:themeColor="text1"/>
          <w:kern w:val="0"/>
          <w:sz w:val="32"/>
          <w:szCs w:val="22"/>
          <w:lang w:val="en-US" w:eastAsia="zh-CN"/>
          <w14:textFill>
            <w14:solidFill>
              <w14:schemeClr w14:val="tx1"/>
            </w14:solidFill>
          </w14:textFill>
        </w:rPr>
        <w:t>征求意见稿</w:t>
      </w:r>
      <w:r>
        <w:rPr>
          <w:rFonts w:hint="eastAsia" w:ascii="Times New Roman" w:hAnsi="Times New Roman" w:eastAsia="楷体" w:cs="楷体"/>
          <w:snapToGrid w:val="0"/>
          <w:color w:val="000000" w:themeColor="text1"/>
          <w:kern w:val="0"/>
          <w:sz w:val="32"/>
          <w:szCs w:val="22"/>
          <w14:textFill>
            <w14:solidFill>
              <w14:schemeClr w14:val="tx1"/>
            </w14:solidFill>
          </w14:textFill>
        </w:rPr>
        <w:t>）</w:t>
      </w:r>
    </w:p>
    <w:p w14:paraId="382EBE59">
      <w:pPr>
        <w:shd w:val="clear" w:color="auto" w:fill="FFFFFF"/>
        <w:spacing w:line="580" w:lineRule="exact"/>
        <w:ind w:firstLine="640" w:firstLineChars="200"/>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pPr>
      <w:bookmarkStart w:id="0" w:name="_Toc227324395"/>
      <w:bookmarkStart w:id="1" w:name="_Toc217298311"/>
      <w:bookmarkStart w:id="2" w:name="_Toc4577"/>
      <w:bookmarkStart w:id="3" w:name="_Toc232019487"/>
      <w:bookmarkStart w:id="4" w:name="OLE_LINK2"/>
    </w:p>
    <w:p w14:paraId="588F4186">
      <w:pPr>
        <w:shd w:val="clear" w:color="auto" w:fill="FFFFFF"/>
        <w:spacing w:line="580" w:lineRule="exact"/>
        <w:ind w:firstLine="640" w:firstLineChars="200"/>
        <w:rPr>
          <w:rFonts w:ascii="Times New Roman" w:hAnsi="Times New Roman" w:eastAsia="仿宋_GB2312" w:cs="Times New Roman"/>
          <w:snapToGrid w:val="0"/>
          <w:color w:val="000000" w:themeColor="text1"/>
          <w:kern w:val="0"/>
          <w:sz w:val="32"/>
          <w:szCs w:val="22"/>
          <w14:textFill>
            <w14:solidFill>
              <w14:schemeClr w14:val="tx1"/>
            </w14:solidFill>
          </w14:textFill>
        </w:rPr>
      </w:pP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为全面贯彻党中央国务院、省委省政府以及市委市政府相关决策部署，加快建设与中国式现代化江苏新实践相适应的应急管理体系和能力，依据《苏州市国民经济和社会发展第十五个五年规划纲要》</w:t>
      </w:r>
      <w:r>
        <w:rPr>
          <w:rFonts w:ascii="Times New Roman" w:hAnsi="Times New Roman" w:eastAsia="仿宋_GB2312" w:cs="Times New Roman"/>
          <w:snapToGrid w:val="0"/>
          <w:color w:val="000000" w:themeColor="text1"/>
          <w:kern w:val="0"/>
          <w:sz w:val="32"/>
          <w:szCs w:val="22"/>
          <w14:textFill>
            <w14:solidFill>
              <w14:schemeClr w14:val="tx1"/>
            </w14:solidFill>
          </w14:textFill>
        </w:rPr>
        <w:t>等文件和有关法律法规</w:t>
      </w: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，制定本规划。</w:t>
      </w:r>
    </w:p>
    <w:p w14:paraId="5A4120DE">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一、</w:t>
      </w:r>
      <w:bookmarkEnd w:id="0"/>
      <w:bookmarkEnd w:id="1"/>
      <w:bookmarkEnd w:id="2"/>
      <w:r>
        <w:rPr>
          <w:rFonts w:hint="eastAsia"/>
          <w:color w:val="000000" w:themeColor="text1"/>
          <w14:textFill>
            <w14:solidFill>
              <w14:schemeClr w14:val="tx1"/>
            </w14:solidFill>
          </w14:textFill>
        </w:rPr>
        <w:t>基础</w:t>
      </w:r>
      <w:bookmarkEnd w:id="3"/>
      <w:r>
        <w:rPr>
          <w:rFonts w:hint="eastAsia"/>
          <w:color w:val="000000" w:themeColor="text1"/>
          <w14:textFill>
            <w14:solidFill>
              <w14:schemeClr w14:val="tx1"/>
            </w14:solidFill>
          </w14:textFill>
        </w:rPr>
        <w:t>形势和总体要求</w:t>
      </w:r>
    </w:p>
    <w:p w14:paraId="75F8002E">
      <w:pPr>
        <w:shd w:val="clear" w:color="auto" w:fill="FFFFFF"/>
        <w:spacing w:line="580" w:lineRule="exact"/>
        <w:ind w:firstLine="640" w:firstLineChars="200"/>
        <w:rPr>
          <w:rFonts w:ascii="Times New Roman" w:hAnsi="Times New Roman" w:eastAsia="仿宋_GB2312" w:cs="Times New Roman"/>
          <w:b/>
          <w:bCs/>
          <w:snapToGrid w:val="0"/>
          <w:color w:val="000000" w:themeColor="text1"/>
          <w:kern w:val="0"/>
          <w:sz w:val="32"/>
          <w:szCs w:val="22"/>
          <w14:textFill>
            <w14:solidFill>
              <w14:schemeClr w14:val="tx1"/>
            </w14:solidFill>
          </w14:textFill>
        </w:rPr>
      </w:pPr>
      <w:r>
        <w:rPr>
          <w:rFonts w:ascii="Times New Roman" w:hAnsi="Times New Roman" w:eastAsia="仿宋_GB2312" w:cs="Times New Roman"/>
          <w:snapToGrid w:val="0"/>
          <w:color w:val="000000" w:themeColor="text1"/>
          <w:kern w:val="0"/>
          <w:sz w:val="32"/>
          <w:szCs w:val="22"/>
          <w14:textFill>
            <w14:solidFill>
              <w14:schemeClr w14:val="tx1"/>
            </w14:solidFill>
          </w14:textFill>
        </w:rPr>
        <w:t>“十四五”以来，应急管理</w:t>
      </w: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领域规划</w:t>
      </w:r>
      <w:r>
        <w:rPr>
          <w:rFonts w:ascii="Times New Roman" w:hAnsi="Times New Roman" w:eastAsia="仿宋_GB2312" w:cs="Times New Roman"/>
          <w:snapToGrid w:val="0"/>
          <w:color w:val="000000" w:themeColor="text1"/>
          <w:kern w:val="0"/>
          <w:sz w:val="32"/>
          <w:szCs w:val="22"/>
          <w14:textFill>
            <w14:solidFill>
              <w14:schemeClr w14:val="tx1"/>
            </w14:solidFill>
          </w14:textFill>
        </w:rPr>
        <w:t>目标全面完成，</w:t>
      </w: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生产安全事故起数和死亡人数逐年“双下降”，</w:t>
      </w:r>
      <w:r>
        <w:rPr>
          <w:rFonts w:ascii="Times New Roman" w:hAnsi="Times New Roman" w:eastAsia="仿宋_GB2312" w:cs="Times New Roman"/>
          <w:snapToGrid w:val="0"/>
          <w:color w:val="000000" w:themeColor="text1"/>
          <w:kern w:val="0"/>
          <w:sz w:val="32"/>
          <w:szCs w:val="22"/>
          <w14:textFill>
            <w14:solidFill>
              <w14:schemeClr w14:val="tx1"/>
            </w14:solidFill>
          </w14:textFill>
        </w:rPr>
        <w:t>安全</w:t>
      </w: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生产</w:t>
      </w:r>
      <w:r>
        <w:rPr>
          <w:rFonts w:ascii="Times New Roman" w:hAnsi="Times New Roman" w:eastAsia="仿宋_GB2312" w:cs="Times New Roman"/>
          <w:snapToGrid w:val="0"/>
          <w:color w:val="000000" w:themeColor="text1"/>
          <w:kern w:val="0"/>
          <w:sz w:val="32"/>
          <w:szCs w:val="22"/>
          <w14:textFill>
            <w14:solidFill>
              <w14:schemeClr w14:val="tx1"/>
            </w14:solidFill>
          </w14:textFill>
        </w:rPr>
        <w:t>形势总体平稳</w:t>
      </w: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。各级党政领导积极领办解决安全生产和消防突出问题，扎实开展</w:t>
      </w:r>
      <w:r>
        <w:rPr>
          <w:rFonts w:ascii="Times New Roman" w:hAnsi="Times New Roman" w:eastAsia="仿宋_GB2312" w:cs="Times New Roman"/>
          <w:snapToGrid w:val="0"/>
          <w:color w:val="000000" w:themeColor="text1"/>
          <w:kern w:val="0"/>
          <w:sz w:val="32"/>
          <w:szCs w:val="22"/>
          <w14:textFill>
            <w14:solidFill>
              <w14:schemeClr w14:val="tx1"/>
            </w14:solidFill>
          </w14:textFill>
        </w:rPr>
        <w:t>安全生产“六化”建设</w:t>
      </w: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，推进治本攻坚，持续深化“一件事”全链条和社会面小场所安全治理，强化行业领域隐患排查整治。深化部门数据融合，推进乡镇（街道）视频指挥调度系统建设。织密市、县两级储备网络，开展</w:t>
      </w:r>
      <w:r>
        <w:rPr>
          <w:rFonts w:ascii="Times New Roman" w:hAnsi="Times New Roman" w:eastAsia="仿宋_GB2312" w:cs="Times New Roman"/>
          <w:snapToGrid w:val="0"/>
          <w:color w:val="000000" w:themeColor="text1"/>
          <w:kern w:val="0"/>
          <w:sz w:val="32"/>
          <w:szCs w:val="22"/>
          <w14:textFill>
            <w14:solidFill>
              <w14:schemeClr w14:val="tx1"/>
            </w14:solidFill>
          </w14:textFill>
        </w:rPr>
        <w:t>智能仓储管理</w:t>
      </w: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w:t>
      </w:r>
      <w:bookmarkStart w:id="5" w:name="OLE_LINK26"/>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研发的电气焊数字化监管系统（苏心焊）获全国信息技术应用创新重点推荐应用案例。</w:t>
      </w:r>
      <w:bookmarkEnd w:id="5"/>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打造“保险+服务+科技”模式，建立安全生产举报奖励和社会监督员制度。</w:t>
      </w:r>
      <w:bookmarkEnd w:id="4"/>
    </w:p>
    <w:p w14:paraId="00E59FDE">
      <w:pPr>
        <w:shd w:val="clear" w:color="auto" w:fill="FFFFFF"/>
        <w:spacing w:line="580" w:lineRule="exact"/>
        <w:ind w:firstLine="643" w:firstLineChars="200"/>
        <w:rPr>
          <w:rFonts w:ascii="Times New Roman" w:hAnsi="Times New Roman" w:eastAsia="仿宋_GB2312" w:cs="Times New Roman"/>
          <w:b/>
          <w:bCs/>
          <w:snapToGrid w:val="0"/>
          <w:color w:val="000000" w:themeColor="text1"/>
          <w:kern w:val="0"/>
          <w:sz w:val="32"/>
          <w:szCs w:val="22"/>
          <w14:textFill>
            <w14:solidFill>
              <w14:schemeClr w14:val="tx1"/>
            </w14:solidFill>
          </w14:textFill>
        </w:rPr>
      </w:pPr>
      <w:r>
        <w:rPr>
          <w:rFonts w:hint="eastAsia" w:ascii="Times New Roman" w:hAnsi="Times New Roman" w:eastAsia="仿宋_GB2312" w:cs="Times New Roman"/>
          <w:b/>
          <w:bCs/>
          <w:snapToGrid w:val="0"/>
          <w:color w:val="000000" w:themeColor="text1"/>
          <w:kern w:val="0"/>
          <w:sz w:val="32"/>
          <w:szCs w:val="22"/>
          <w14:textFill>
            <w14:solidFill>
              <w14:schemeClr w14:val="tx1"/>
            </w14:solidFill>
          </w14:textFill>
        </w:rPr>
        <w:t>苏州高质量发展为安全应急的快速发展提供了坚实保障，但也要看到，</w:t>
      </w: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苏州作为特大城市，经济规模大、产业集聚度高、人员流动频繁。重点行业企业固有风险高</w:t>
      </w:r>
      <w:bookmarkStart w:id="6" w:name="OLE_LINK27"/>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、社会面小场所底数大</w:t>
      </w:r>
      <w:bookmarkEnd w:id="6"/>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、新产业新业态带来的新风险和基础设施老化等问题对城市安全治理提出更高要求。</w:t>
      </w:r>
      <w:r>
        <w:rPr>
          <w:rFonts w:ascii="Times New Roman" w:hAnsi="Times New Roman" w:eastAsia="仿宋_GB2312" w:cs="Times New Roman"/>
          <w:snapToGrid w:val="0"/>
          <w:color w:val="000000" w:themeColor="text1"/>
          <w:kern w:val="0"/>
          <w:sz w:val="32"/>
          <w:szCs w:val="22"/>
          <w14:textFill>
            <w14:solidFill>
              <w14:schemeClr w14:val="tx1"/>
            </w14:solidFill>
          </w14:textFill>
        </w:rPr>
        <w:t>极端天气频发叠加</w:t>
      </w:r>
      <w:bookmarkStart w:id="7" w:name="OLE_LINK1"/>
      <w:r>
        <w:rPr>
          <w:rFonts w:ascii="Times New Roman" w:hAnsi="Times New Roman" w:eastAsia="仿宋_GB2312" w:cs="Times New Roman"/>
          <w:snapToGrid w:val="0"/>
          <w:color w:val="000000" w:themeColor="text1"/>
          <w:kern w:val="0"/>
          <w:sz w:val="32"/>
          <w:szCs w:val="22"/>
          <w14:textFill>
            <w14:solidFill>
              <w14:schemeClr w14:val="tx1"/>
            </w14:solidFill>
          </w14:textFill>
        </w:rPr>
        <w:t>山区林地</w:t>
      </w:r>
      <w:bookmarkEnd w:id="7"/>
      <w:bookmarkStart w:id="8" w:name="OLE_LINK11"/>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火灾风险等因素，对</w:t>
      </w:r>
      <w:r>
        <w:rPr>
          <w:rFonts w:ascii="Times New Roman" w:hAnsi="Times New Roman" w:eastAsia="仿宋_GB2312" w:cs="Times New Roman"/>
          <w:snapToGrid w:val="0"/>
          <w:color w:val="000000" w:themeColor="text1"/>
          <w:kern w:val="0"/>
          <w:sz w:val="32"/>
          <w:szCs w:val="22"/>
          <w14:textFill>
            <w14:solidFill>
              <w14:schemeClr w14:val="tx1"/>
            </w14:solidFill>
          </w14:textFill>
        </w:rPr>
        <w:t>防灾减灾救灾工作</w:t>
      </w:r>
      <w:bookmarkEnd w:id="8"/>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提出更高要求</w:t>
      </w:r>
      <w:r>
        <w:rPr>
          <w:rFonts w:ascii="Times New Roman" w:hAnsi="Times New Roman" w:eastAsia="仿宋_GB2312" w:cs="Times New Roman"/>
          <w:snapToGrid w:val="0"/>
          <w:color w:val="000000" w:themeColor="text1"/>
          <w:kern w:val="0"/>
          <w:sz w:val="32"/>
          <w:szCs w:val="22"/>
          <w14:textFill>
            <w14:solidFill>
              <w14:schemeClr w14:val="tx1"/>
            </w14:solidFill>
          </w14:textFill>
        </w:rPr>
        <w:t>。专业救援力量配置不足</w:t>
      </w: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，救援</w:t>
      </w:r>
      <w:r>
        <w:rPr>
          <w:rFonts w:ascii="Times New Roman" w:hAnsi="Times New Roman" w:eastAsia="仿宋_GB2312" w:cs="Times New Roman"/>
          <w:snapToGrid w:val="0"/>
          <w:color w:val="000000" w:themeColor="text1"/>
          <w:kern w:val="0"/>
          <w:sz w:val="32"/>
          <w:szCs w:val="22"/>
          <w14:textFill>
            <w14:solidFill>
              <w14:schemeClr w14:val="tx1"/>
            </w14:solidFill>
          </w14:textFill>
        </w:rPr>
        <w:t>装备</w:t>
      </w: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存在</w:t>
      </w:r>
      <w:r>
        <w:rPr>
          <w:rFonts w:ascii="Times New Roman" w:hAnsi="Times New Roman" w:eastAsia="仿宋_GB2312" w:cs="Times New Roman"/>
          <w:snapToGrid w:val="0"/>
          <w:color w:val="000000" w:themeColor="text1"/>
          <w:kern w:val="0"/>
          <w:sz w:val="32"/>
          <w:szCs w:val="22"/>
          <w14:textFill>
            <w14:solidFill>
              <w14:schemeClr w14:val="tx1"/>
            </w14:solidFill>
          </w14:textFill>
        </w:rPr>
        <w:t>缺口</w:t>
      </w: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w:t>
      </w:r>
      <w:r>
        <w:rPr>
          <w:rFonts w:ascii="Times New Roman" w:hAnsi="Times New Roman" w:eastAsia="仿宋_GB2312" w:cs="Times New Roman"/>
          <w:snapToGrid w:val="0"/>
          <w:color w:val="000000" w:themeColor="text1"/>
          <w:kern w:val="0"/>
          <w:sz w:val="32"/>
          <w:szCs w:val="22"/>
          <w14:textFill>
            <w14:solidFill>
              <w14:schemeClr w14:val="tx1"/>
            </w14:solidFill>
          </w14:textFill>
        </w:rPr>
        <w:t>基层应急管理</w:t>
      </w: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能力还需提升。</w:t>
      </w:r>
    </w:p>
    <w:p w14:paraId="270E2E6F">
      <w:pPr>
        <w:shd w:val="clear" w:color="auto" w:fill="FFFFFF"/>
        <w:spacing w:line="580" w:lineRule="exact"/>
        <w:ind w:firstLine="640" w:firstLineChars="200"/>
        <w:rPr>
          <w:rFonts w:ascii="Times New Roman" w:hAnsi="Times New Roman" w:eastAsia="仿宋_GB2312" w:cs="Times New Roman"/>
          <w:snapToGrid w:val="0"/>
          <w:color w:val="000000" w:themeColor="text1"/>
          <w:kern w:val="0"/>
          <w:sz w:val="32"/>
          <w:szCs w:val="22"/>
          <w14:textFill>
            <w14:solidFill>
              <w14:schemeClr w14:val="tx1"/>
            </w14:solidFill>
          </w14:textFill>
        </w:rPr>
      </w:pPr>
      <w:r>
        <w:rPr>
          <w:rFonts w:ascii="Times New Roman" w:hAnsi="Times New Roman" w:eastAsia="仿宋_GB2312" w:cs="Times New Roman"/>
          <w:snapToGrid w:val="0"/>
          <w:color w:val="000000" w:themeColor="text1"/>
          <w:kern w:val="0"/>
          <w:sz w:val="32"/>
          <w:szCs w:val="22"/>
          <w14:textFill>
            <w14:solidFill>
              <w14:schemeClr w14:val="tx1"/>
            </w14:solidFill>
          </w14:textFill>
        </w:rPr>
        <w:t>“十五五”时期，坚持以习近平新时代中国特色社会主义思想为指导，深入</w:t>
      </w: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贯彻党的二十大和二十届历次全会精神，</w:t>
      </w:r>
      <w:r>
        <w:rPr>
          <w:rFonts w:ascii="Times New Roman" w:hAnsi="Times New Roman" w:eastAsia="仿宋_GB2312" w:cs="Times New Roman"/>
          <w:snapToGrid w:val="0"/>
          <w:color w:val="000000" w:themeColor="text1"/>
          <w:kern w:val="0"/>
          <w:sz w:val="32"/>
          <w:szCs w:val="22"/>
          <w14:textFill>
            <w14:solidFill>
              <w14:schemeClr w14:val="tx1"/>
            </w14:solidFill>
          </w14:textFill>
        </w:rPr>
        <w:t>认真落实四中全会部署，</w:t>
      </w: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全面贯彻习近平总书记对江苏、苏州工作重要讲话精神和有关应急管理的重要指示批示，坚持人民至上、生命至上，更好统筹发展和安全，推动公共安全治理模式向事前预防转型，</w:t>
      </w:r>
      <w:bookmarkStart w:id="9" w:name="OLE_LINK8"/>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推进应急管理体系和能力现代化建设，</w:t>
      </w:r>
      <w:bookmarkEnd w:id="9"/>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全面提升全社会本质安全水平，以新安全格局保障新发展格局，在江苏推进中国式现代化走在前、做示范中勇挑大梁，在接续奋斗中谱写“强富美高”新苏州现代化建设新篇章。</w:t>
      </w:r>
    </w:p>
    <w:p w14:paraId="2D971051">
      <w:pPr>
        <w:overflowPunct w:val="0"/>
        <w:spacing w:after="156" w:afterLines="50" w:line="580" w:lineRule="exact"/>
        <w:ind w:firstLine="640" w:firstLineChars="200"/>
        <w:rPr>
          <w:rFonts w:ascii="Times New Roman" w:hAnsi="Times New Roman" w:eastAsia="仿宋_GB2312" w:cs="Times New Roman"/>
          <w:snapToGrid w:val="0"/>
          <w:color w:val="000000" w:themeColor="text1"/>
          <w:kern w:val="0"/>
          <w:sz w:val="32"/>
          <w:szCs w:val="22"/>
          <w14:textFill>
            <w14:solidFill>
              <w14:schemeClr w14:val="tx1"/>
            </w14:solidFill>
          </w14:textFill>
        </w:rPr>
      </w:pPr>
      <w:r>
        <w:rPr>
          <w:rFonts w:ascii="Times New Roman" w:hAnsi="Times New Roman" w:eastAsia="仿宋_GB2312" w:cs="Times New Roman"/>
          <w:snapToGrid w:val="0"/>
          <w:color w:val="000000" w:themeColor="text1"/>
          <w:kern w:val="0"/>
          <w:sz w:val="32"/>
          <w:szCs w:val="22"/>
          <w14:textFill>
            <w14:solidFill>
              <w14:schemeClr w14:val="tx1"/>
            </w14:solidFill>
          </w14:textFill>
        </w:rPr>
        <w:t>到2030年，</w:t>
      </w:r>
      <w:r>
        <w:rPr>
          <w:rFonts w:hint="eastAsia" w:ascii="Times New Roman" w:hAnsi="Times New Roman" w:eastAsia="仿宋_GB2312" w:cs="Times New Roman"/>
          <w:snapToGrid w:val="0"/>
          <w:color w:val="000000" w:themeColor="text1"/>
          <w:kern w:val="0"/>
          <w:sz w:val="32"/>
          <w:szCs w:val="22"/>
          <w14:textFill>
            <w14:solidFill>
              <w14:schemeClr w14:val="tx1"/>
            </w14:solidFill>
          </w14:textFill>
        </w:rPr>
        <w:t>基本实现与“在推进中国式现代化中走在前、做示范”的战略定位相适应、与“争当表率、争做示范、走在前列”的总体要求相符合的应急管理体系和能力现代化，安全生产治理体系更加完善、灾害防范应对更加精准、应急救援能力显著增强。</w:t>
      </w:r>
      <w:r>
        <w:rPr>
          <w:rFonts w:ascii="Times New Roman" w:hAnsi="Times New Roman" w:eastAsia="仿宋_GB2312" w:cs="Times New Roman"/>
          <w:snapToGrid w:val="0"/>
          <w:color w:val="000000" w:themeColor="text1"/>
          <w:kern w:val="0"/>
          <w:sz w:val="32"/>
          <w:szCs w:val="22"/>
          <w14:textFill>
            <w14:solidFill>
              <w14:schemeClr w14:val="tx1"/>
            </w14:solidFill>
          </w14:textFill>
        </w:rPr>
        <w:t>到2035年，全面建成与走在前、做示范相符合的现代化应急管理体系，服务保障高质量发展的能力全面增强，人民群众的安全感更加充实，应急管理事业改革发展实现新突破。</w:t>
      </w:r>
    </w:p>
    <w:p w14:paraId="632A3436">
      <w:pPr>
        <w:pStyle w:val="3"/>
        <w:rPr>
          <w:color w:val="000000" w:themeColor="text1"/>
          <w14:textFill>
            <w14:solidFill>
              <w14:schemeClr w14:val="tx1"/>
            </w14:solidFill>
          </w14:textFill>
        </w:rPr>
      </w:pPr>
      <w:bookmarkStart w:id="10" w:name="_Toc15848"/>
      <w:bookmarkStart w:id="11" w:name="_Toc227324404"/>
      <w:bookmarkStart w:id="12" w:name="_Toc217298325"/>
      <w:bookmarkStart w:id="13" w:name="_Toc232019494"/>
      <w:bookmarkStart w:id="14" w:name="_Toc20742"/>
      <w:bookmarkStart w:id="15" w:name="_Hlk193067394"/>
      <w:r>
        <w:rPr>
          <w:rFonts w:hint="eastAsia"/>
          <w:color w:val="000000" w:themeColor="text1"/>
          <w14:textFill>
            <w14:solidFill>
              <w14:schemeClr w14:val="tx1"/>
            </w14:solidFill>
          </w14:textFill>
        </w:rPr>
        <w:t>二、深化“六化”引领，健全体制机制</w:t>
      </w:r>
      <w:bookmarkEnd w:id="10"/>
      <w:bookmarkEnd w:id="11"/>
      <w:bookmarkEnd w:id="12"/>
      <w:bookmarkEnd w:id="13"/>
    </w:p>
    <w:p w14:paraId="5E6B56A6">
      <w:pPr>
        <w:pStyle w:val="4"/>
        <w:ind w:firstLine="640"/>
        <w:rPr>
          <w:rFonts w:hint="eastAsia"/>
        </w:rPr>
      </w:pPr>
      <w:r>
        <w:rPr>
          <w:rFonts w:hint="eastAsia" w:ascii="Times New Roman" w:hAnsi="Times New Roman"/>
          <w:color w:val="000000" w:themeColor="text1"/>
          <w14:textFill>
            <w14:solidFill>
              <w14:schemeClr w14:val="tx1"/>
            </w14:solidFill>
          </w14:textFill>
        </w:rPr>
        <w:t>（一）进一步夯实责任根基</w:t>
      </w:r>
    </w:p>
    <w:p w14:paraId="06F1A40D">
      <w:pPr>
        <w:spacing w:line="580" w:lineRule="exact"/>
        <w:ind w:firstLine="640" w:firstLineChars="200"/>
        <w:rPr>
          <w:rFonts w:ascii="Times New Roman" w:hAnsi="Times New Roman"/>
          <w:color w:val="000000" w:themeColor="text1"/>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将安全生产“六化”建设作为一项牵引性、基础性、长期性工程，全面压实党政领导、部门监管、企业主体三方责任。</w:t>
      </w:r>
      <w:r>
        <w:rPr>
          <w:rFonts w:hint="eastAsia" w:ascii="Times New Roman" w:hAnsi="Times New Roman" w:eastAsia="仿宋_GB2312" w:cs="Times New Roman"/>
          <w:color w:val="000000" w:themeColor="text1"/>
          <w:sz w:val="32"/>
          <w:szCs w:val="32"/>
          <w14:textFill>
            <w14:solidFill>
              <w14:schemeClr w14:val="tx1"/>
            </w14:solidFill>
          </w14:textFill>
        </w:rPr>
        <w:t>落实“党政同责、一岗双责”工作要求，</w:t>
      </w:r>
      <w:r>
        <w:rPr>
          <w:rFonts w:hint="eastAsia" w:ascii="Times New Roman" w:hAnsi="Times New Roman" w:eastAsia="仿宋_GB2312" w:cs="Times New Roman"/>
          <w:sz w:val="32"/>
          <w:szCs w:val="32"/>
        </w:rPr>
        <w:t>各级领导干部持续落实年度安全生产重点工作清单，领办解决安全生产和消防突出问题。落实市委工作清单制度，推动安全生产和自然灾害重点问题整改闭环。狠抓部门安全监管“网格化、专业化、数字化”，扎实落实“三</w:t>
      </w:r>
      <w:r>
        <w:rPr>
          <w:rFonts w:hint="eastAsia" w:ascii="Times New Roman" w:hAnsi="Times New Roman" w:eastAsia="仿宋_GB2312" w:cs="Times New Roman"/>
          <w:color w:val="000000" w:themeColor="text1"/>
          <w:sz w:val="32"/>
          <w:szCs w:val="32"/>
          <w14:textFill>
            <w14:solidFill>
              <w14:schemeClr w14:val="tx1"/>
            </w14:solidFill>
          </w14:textFill>
        </w:rPr>
        <w:t>管三必须”工作要求。各行业主管部门细化制定安全生产风险、责任、措施和应急“四张清单”，配强行业安全管理专业人员。</w:t>
      </w:r>
      <w:r>
        <w:rPr>
          <w:rFonts w:ascii="Times New Roman" w:hAnsi="Times New Roman" w:eastAsia="仿宋_GB2312" w:cs="Times New Roman"/>
          <w:color w:val="000000" w:themeColor="text1"/>
          <w:sz w:val="32"/>
          <w:szCs w:val="32"/>
          <w14:textFill>
            <w14:solidFill>
              <w14:schemeClr w14:val="tx1"/>
            </w14:solidFill>
          </w14:textFill>
        </w:rPr>
        <w:t>通过“三办”会商，</w:t>
      </w:r>
      <w:r>
        <w:rPr>
          <w:rFonts w:hint="eastAsia" w:ascii="Times New Roman" w:hAnsi="Times New Roman" w:eastAsia="仿宋_GB2312" w:cs="Times New Roman"/>
          <w:color w:val="000000" w:themeColor="text1"/>
          <w:sz w:val="32"/>
          <w:szCs w:val="32"/>
          <w14:textFill>
            <w14:solidFill>
              <w14:schemeClr w14:val="tx1"/>
            </w14:solidFill>
          </w14:textFill>
        </w:rPr>
        <w:t>明确</w:t>
      </w:r>
      <w:r>
        <w:rPr>
          <w:rFonts w:ascii="Times New Roman" w:hAnsi="Times New Roman" w:eastAsia="仿宋_GB2312" w:cs="Times New Roman"/>
          <w:color w:val="000000" w:themeColor="text1"/>
          <w:sz w:val="32"/>
          <w:szCs w:val="32"/>
          <w14:textFill>
            <w14:solidFill>
              <w14:schemeClr w14:val="tx1"/>
            </w14:solidFill>
          </w14:textFill>
        </w:rPr>
        <w:t>新兴行业领域、职责交叉领域的安全监管职责。</w:t>
      </w:r>
      <w:r>
        <w:rPr>
          <w:rFonts w:hint="eastAsia" w:ascii="Times New Roman" w:hAnsi="Times New Roman" w:eastAsia="仿宋_GB2312" w:cs="Times New Roman"/>
          <w:color w:val="000000" w:themeColor="text1"/>
          <w:sz w:val="32"/>
          <w:szCs w:val="32"/>
          <w14:textFill>
            <w14:solidFill>
              <w14:schemeClr w14:val="tx1"/>
            </w14:solidFill>
          </w14:textFill>
        </w:rPr>
        <w:t>紧盯企业安全管理“全员化、实体化、手册化”，健全安全管理组织体系，落实安全生产全员责任制，强化规范化管理和全员参与。编制完善</w:t>
      </w:r>
      <w:r>
        <w:rPr>
          <w:rFonts w:ascii="Times New Roman" w:hAnsi="Times New Roman" w:eastAsia="仿宋_GB2312" w:cs="Times New Roman"/>
          <w:color w:val="000000" w:themeColor="text1"/>
          <w:sz w:val="32"/>
          <w:szCs w:val="32"/>
          <w14:textFill>
            <w14:solidFill>
              <w14:schemeClr w14:val="tx1"/>
            </w14:solidFill>
          </w14:textFill>
        </w:rPr>
        <w:t>案例手册</w:t>
      </w:r>
      <w:r>
        <w:rPr>
          <w:rFonts w:hint="eastAsia" w:ascii="Times New Roman" w:hAnsi="Times New Roman" w:eastAsia="仿宋_GB2312" w:cs="Times New Roman"/>
          <w:color w:val="000000" w:themeColor="text1"/>
          <w:sz w:val="32"/>
          <w:szCs w:val="32"/>
          <w14:textFill>
            <w14:solidFill>
              <w14:schemeClr w14:val="tx1"/>
            </w14:solidFill>
          </w14:textFill>
        </w:rPr>
        <w:t>、安全手册，加强</w:t>
      </w:r>
      <w:r>
        <w:rPr>
          <w:rFonts w:ascii="Times New Roman" w:hAnsi="Times New Roman" w:eastAsia="仿宋_GB2312" w:cs="Times New Roman"/>
          <w:color w:val="000000" w:themeColor="text1"/>
          <w:sz w:val="32"/>
          <w:szCs w:val="32"/>
          <w14:textFill>
            <w14:solidFill>
              <w14:schemeClr w14:val="tx1"/>
            </w14:solidFill>
          </w14:textFill>
        </w:rPr>
        <w:t>警示教育</w:t>
      </w:r>
      <w:r>
        <w:rPr>
          <w:rFonts w:hint="eastAsia" w:ascii="Times New Roman" w:hAnsi="Times New Roman" w:eastAsia="仿宋_GB2312" w:cs="Times New Roman"/>
          <w:color w:val="000000" w:themeColor="text1"/>
          <w:sz w:val="32"/>
          <w:szCs w:val="32"/>
          <w14:textFill>
            <w14:solidFill>
              <w14:schemeClr w14:val="tx1"/>
            </w14:solidFill>
          </w14:textFill>
        </w:rPr>
        <w:t>、实操实训。</w:t>
      </w:r>
    </w:p>
    <w:p w14:paraId="7F2F3613">
      <w:pPr>
        <w:pStyle w:val="4"/>
        <w:ind w:firstLine="640"/>
        <w:rPr>
          <w:rFonts w:hint="eastAsia"/>
        </w:rPr>
      </w:pPr>
      <w:bookmarkStart w:id="16" w:name="_Toc230609189"/>
      <w:bookmarkStart w:id="17" w:name="_Toc232019496"/>
      <w:bookmarkStart w:id="18" w:name="_Toc21731"/>
      <w:bookmarkStart w:id="19" w:name="_Toc229997120"/>
      <w:bookmarkStart w:id="20" w:name="_Toc227324406"/>
      <w:bookmarkStart w:id="21" w:name="_Toc217298327"/>
      <w:r>
        <w:rPr>
          <w:rFonts w:hint="eastAsia" w:ascii="Times New Roman" w:hAnsi="Times New Roman"/>
          <w:color w:val="000000" w:themeColor="text1"/>
          <w14:textFill>
            <w14:solidFill>
              <w14:schemeClr w14:val="tx1"/>
            </w14:solidFill>
          </w14:textFill>
        </w:rPr>
        <w:t>（二）持续完善体制机制</w:t>
      </w:r>
      <w:bookmarkEnd w:id="16"/>
      <w:bookmarkEnd w:id="17"/>
      <w:bookmarkEnd w:id="18"/>
      <w:bookmarkEnd w:id="19"/>
      <w:bookmarkEnd w:id="20"/>
      <w:bookmarkEnd w:id="21"/>
    </w:p>
    <w:p w14:paraId="6C63B619">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强化基层安全监管，由县级党委和政府整合安全生产监管、消防、防灾减灾救灾及应急救援等职责，统一归口应急管理部门综合管理。按程序调整完善乡镇（街道）履职事项清单中应急管理领域有关事项。完善基层安全生产和消防工作体系，探索基层“5+N”综合治理模式。因地制宜推行应消合一、队站一体的基层应急消防工作机制。按照工业、社会面小场所、住宅、行业四类巡查单元划分</w:t>
      </w:r>
      <w:r>
        <w:rPr>
          <w:rFonts w:ascii="Times New Roman" w:hAnsi="Times New Roman" w:eastAsia="仿宋_GB2312"/>
          <w:color w:val="000000" w:themeColor="text1"/>
          <w:sz w:val="32"/>
          <w:szCs w:val="32"/>
          <w14:textFill>
            <w14:solidFill>
              <w14:schemeClr w14:val="tx1"/>
            </w14:solidFill>
          </w14:textFill>
        </w:rPr>
        <w:t>安全生产巡查单元</w:t>
      </w:r>
      <w:r>
        <w:rPr>
          <w:rFonts w:hint="eastAsia" w:ascii="Times New Roman" w:hAnsi="Times New Roman" w:eastAsia="仿宋_GB2312"/>
          <w:color w:val="000000" w:themeColor="text1"/>
          <w:sz w:val="32"/>
          <w:szCs w:val="32"/>
          <w14:textFill>
            <w14:solidFill>
              <w14:schemeClr w14:val="tx1"/>
            </w14:solidFill>
          </w14:textFill>
        </w:rPr>
        <w:t>并做好巡查。健全安全生产和消防工作督查巡查</w:t>
      </w:r>
      <w:r>
        <w:rPr>
          <w:rFonts w:hint="eastAsia" w:ascii="Times New Roman" w:hAnsi="Times New Roman" w:eastAsia="仿宋_GB2312" w:cs="Times New Roman"/>
          <w:color w:val="000000" w:themeColor="text1"/>
          <w:sz w:val="32"/>
          <w:szCs w:val="32"/>
          <w14:textFill>
            <w14:solidFill>
              <w14:schemeClr w14:val="tx1"/>
            </w14:solidFill>
          </w14:textFill>
        </w:rPr>
        <w:t>制度体系，进一步规范安全生产突出问题和重大隐患问题挂牌治理，细化工作程序，动态挂牌督办新发现的问题隐患。收集督查巡查发现的典型问题编制工作指引，明确隐患类型、具体表现及检查要点。</w:t>
      </w:r>
    </w:p>
    <w:p w14:paraId="484DCCBA">
      <w:pPr>
        <w:pStyle w:val="4"/>
        <w:ind w:firstLine="640"/>
        <w:rPr>
          <w:rFonts w:hint="eastAsia"/>
        </w:rPr>
      </w:pPr>
      <w:bookmarkStart w:id="22" w:name="_Toc232019497"/>
      <w:bookmarkStart w:id="23" w:name="_Toc227324407"/>
      <w:bookmarkStart w:id="24" w:name="_Toc24020"/>
      <w:bookmarkStart w:id="25" w:name="_Toc230609190"/>
      <w:bookmarkStart w:id="26" w:name="_Toc229997121"/>
      <w:bookmarkStart w:id="27" w:name="OLE_LINK10"/>
      <w:r>
        <w:rPr>
          <w:rFonts w:hint="eastAsia" w:ascii="Times New Roman" w:hAnsi="Times New Roman"/>
          <w:color w:val="000000" w:themeColor="text1"/>
          <w14:textFill>
            <w14:solidFill>
              <w14:schemeClr w14:val="tx1"/>
            </w14:solidFill>
          </w14:textFill>
        </w:rPr>
        <w:t>（三）全面提升监管能力</w:t>
      </w:r>
      <w:bookmarkEnd w:id="22"/>
      <w:bookmarkEnd w:id="23"/>
      <w:bookmarkEnd w:id="24"/>
      <w:bookmarkEnd w:id="25"/>
      <w:bookmarkEnd w:id="26"/>
    </w:p>
    <w:bookmarkEnd w:id="27"/>
    <w:p w14:paraId="6B098618">
      <w:pPr>
        <w:pStyle w:val="2"/>
        <w:spacing w:after="0"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加强乡镇（街道）综合行政执法和安全生产监督管理办公室规范化建设。实行县级消防与镇街双重管理，推行</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防消一体</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消防执法监管，</w:t>
      </w:r>
      <w:bookmarkStart w:id="28" w:name="OLE_LINK12"/>
      <w:r>
        <w:rPr>
          <w:rFonts w:hint="eastAsia" w:eastAsia="仿宋_GB2312"/>
          <w:color w:val="000000" w:themeColor="text1"/>
          <w:sz w:val="32"/>
          <w:szCs w:val="32"/>
          <w14:textFill>
            <w14:solidFill>
              <w14:schemeClr w14:val="tx1"/>
            </w14:solidFill>
          </w14:textFill>
        </w:rPr>
        <w:t>支持取得行政执法资格的消防员依法开展消防监管执法工作，政府专职消防员协助从事消防监督检查。建强安全生产巡查员、生产经营单位安全员、社会面注册安全工程师、注册消防工程师、应急救援员等队伍。</w:t>
      </w:r>
      <w:bookmarkEnd w:id="28"/>
      <w:r>
        <w:rPr>
          <w:rFonts w:hint="eastAsia" w:eastAsia="仿宋_GB2312"/>
          <w:color w:val="000000" w:themeColor="text1"/>
          <w:sz w:val="32"/>
          <w:szCs w:val="32"/>
          <w14:textFill>
            <w14:solidFill>
              <w14:schemeClr w14:val="tx1"/>
            </w14:solidFill>
          </w14:textFill>
        </w:rPr>
        <w:t>推行安全生产巡查员规范化管理。明确企业安全员配备标准与履职要求，将安全员有效履职纳入行业监管范畴。健全注册安全工程师等社会力量的培育扶持和日常管理，推动重点领域规上企业、现场作业员工百人以上工业企业，以及第三方服务机构注册安全工程师</w:t>
      </w:r>
      <w:r>
        <w:rPr>
          <w:rFonts w:eastAsia="仿宋_GB2312"/>
          <w:color w:val="000000" w:themeColor="text1"/>
          <w:sz w:val="32"/>
          <w:szCs w:val="32"/>
          <w14:textFill>
            <w14:solidFill>
              <w14:schemeClr w14:val="tx1"/>
            </w14:solidFill>
          </w14:textFill>
        </w:rPr>
        <w:t>配备</w:t>
      </w:r>
      <w:r>
        <w:rPr>
          <w:rFonts w:hint="eastAsia" w:eastAsia="仿宋_GB2312"/>
          <w:color w:val="000000" w:themeColor="text1"/>
          <w:sz w:val="32"/>
          <w:szCs w:val="32"/>
          <w14:textFill>
            <w14:solidFill>
              <w14:schemeClr w14:val="tx1"/>
            </w14:solidFill>
          </w14:textFill>
        </w:rPr>
        <w:t>全覆盖。</w:t>
      </w:r>
    </w:p>
    <w:p w14:paraId="676A2D25">
      <w:pPr>
        <w:pStyle w:val="3"/>
        <w:rPr>
          <w:color w:val="000000" w:themeColor="text1"/>
          <w14:textFill>
            <w14:solidFill>
              <w14:schemeClr w14:val="tx1"/>
            </w14:solidFill>
          </w14:textFill>
        </w:rPr>
      </w:pPr>
      <w:bookmarkStart w:id="29" w:name="_Toc232019498"/>
      <w:bookmarkStart w:id="30" w:name="_Toc217298329"/>
      <w:bookmarkStart w:id="31" w:name="_Toc2125"/>
      <w:bookmarkStart w:id="32" w:name="_Toc227324408"/>
      <w:r>
        <w:rPr>
          <w:rFonts w:hint="eastAsia"/>
          <w:color w:val="000000" w:themeColor="text1"/>
          <w14:textFill>
            <w14:solidFill>
              <w14:schemeClr w14:val="tx1"/>
            </w14:solidFill>
          </w14:textFill>
        </w:rPr>
        <w:t>三、精准管控风险，筑牢安全防线</w:t>
      </w:r>
      <w:bookmarkEnd w:id="29"/>
      <w:bookmarkEnd w:id="30"/>
      <w:bookmarkEnd w:id="31"/>
      <w:bookmarkEnd w:id="32"/>
    </w:p>
    <w:p w14:paraId="561B0DA7">
      <w:pPr>
        <w:pStyle w:val="4"/>
        <w:ind w:firstLine="640"/>
        <w:rPr>
          <w:rFonts w:hint="eastAsia"/>
        </w:rPr>
      </w:pPr>
      <w:bookmarkStart w:id="33" w:name="_Toc229997123"/>
      <w:bookmarkStart w:id="34" w:name="_Toc232019499"/>
      <w:bookmarkStart w:id="35" w:name="_Toc4521"/>
      <w:bookmarkStart w:id="36" w:name="_Toc227324409"/>
      <w:bookmarkStart w:id="37" w:name="_Toc230609192"/>
      <w:bookmarkStart w:id="38" w:name="_Toc217298331"/>
      <w:bookmarkStart w:id="39" w:name="OLE_LINK3"/>
      <w:r>
        <w:rPr>
          <w:rFonts w:hint="eastAsia" w:ascii="Times New Roman" w:hAnsi="Times New Roman"/>
          <w:color w:val="000000" w:themeColor="text1"/>
          <w14:textFill>
            <w14:solidFill>
              <w14:schemeClr w14:val="tx1"/>
            </w14:solidFill>
          </w14:textFill>
        </w:rPr>
        <w:t>（一）提高风险管控水平</w:t>
      </w:r>
      <w:bookmarkEnd w:id="33"/>
      <w:bookmarkEnd w:id="34"/>
      <w:bookmarkEnd w:id="35"/>
      <w:bookmarkEnd w:id="36"/>
      <w:bookmarkEnd w:id="37"/>
      <w:bookmarkEnd w:id="38"/>
    </w:p>
    <w:bookmarkEnd w:id="39"/>
    <w:p w14:paraId="728C6378">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统筹优化重点行业领域重大项目规划选址，动态更新禁止、限制和控制目录，加强新引进项目安全风险研判，</w:t>
      </w:r>
      <w:r>
        <w:rPr>
          <w:rFonts w:ascii="Times New Roman" w:hAnsi="Times New Roman" w:eastAsia="仿宋_GB2312" w:cs="Times New Roman"/>
          <w:color w:val="000000" w:themeColor="text1"/>
          <w:sz w:val="32"/>
          <w:szCs w:val="32"/>
          <w14:textFill>
            <w14:solidFill>
              <w14:schemeClr w14:val="tx1"/>
            </w14:solidFill>
          </w14:textFill>
        </w:rPr>
        <w:t>强化系统性风险辨识与评估</w:t>
      </w:r>
      <w:r>
        <w:rPr>
          <w:rFonts w:hint="eastAsia" w:ascii="Times New Roman" w:hAnsi="Times New Roman" w:eastAsia="仿宋_GB2312" w:cs="Times New Roman"/>
          <w:color w:val="000000" w:themeColor="text1"/>
          <w:sz w:val="32"/>
          <w:szCs w:val="32"/>
          <w14:textFill>
            <w14:solidFill>
              <w14:schemeClr w14:val="tx1"/>
            </w14:solidFill>
          </w14:textFill>
        </w:rPr>
        <w:t>，合理优化安全风险空间布局。推动生产经营单位准确辨识、科学评估、分级管控、及时报告安全风险。优化工业企业风险报告工作，动态排摸工业企业新增和存续情况。用好“两重”“两新”政策，加快落后工艺设备淘汰退出和更新改造。推广安全先进适用技术及装备目录，开展智能化无人化建设，推进“智改数转网联”与安全生产融合发展。</w:t>
      </w:r>
      <w:r>
        <w:rPr>
          <w:rFonts w:hint="eastAsia" w:ascii="Times New Roman" w:hAnsi="Times New Roman" w:eastAsia="仿宋_GB2312"/>
          <w:color w:val="000000" w:themeColor="text1"/>
          <w:sz w:val="32"/>
          <w:szCs w:val="32"/>
          <w14:textFill>
            <w14:solidFill>
              <w14:schemeClr w14:val="tx1"/>
            </w14:solidFill>
          </w14:textFill>
        </w:rPr>
        <w:t>持续开展重点行业领域企业安全风险监测预警系统建设应用和升级改造。加强生产经营范围重点区域、关键环节实时监测，强化关键指标物联感知，加强高危企业异常生产行为监测预警。深化</w:t>
      </w:r>
      <w:bookmarkStart w:id="40" w:name="OLE_LINK22"/>
      <w:r>
        <w:rPr>
          <w:rFonts w:hint="eastAsia" w:ascii="Times New Roman" w:hAnsi="Times New Roman" w:eastAsia="仿宋_GB2312"/>
          <w:color w:val="000000" w:themeColor="text1"/>
          <w:sz w:val="32"/>
          <w:szCs w:val="32"/>
          <w14:textFill>
            <w14:solidFill>
              <w14:schemeClr w14:val="tx1"/>
            </w14:solidFill>
          </w14:textFill>
        </w:rPr>
        <w:t>城市安全风险综合监测预警体系</w:t>
      </w:r>
      <w:bookmarkEnd w:id="40"/>
      <w:r>
        <w:rPr>
          <w:rFonts w:hint="eastAsia" w:ascii="Times New Roman" w:hAnsi="Times New Roman" w:eastAsia="仿宋_GB2312"/>
          <w:color w:val="000000" w:themeColor="text1"/>
          <w:sz w:val="32"/>
          <w:szCs w:val="32"/>
          <w14:textFill>
            <w14:solidFill>
              <w14:schemeClr w14:val="tx1"/>
            </w14:solidFill>
          </w14:textFill>
        </w:rPr>
        <w:t>建设，</w:t>
      </w:r>
      <w:r>
        <w:rPr>
          <w:rFonts w:hint="eastAsia" w:ascii="Times New Roman" w:hAnsi="Times New Roman" w:eastAsia="仿宋_GB2312" w:cs="Times New Roman"/>
          <w:color w:val="000000" w:themeColor="text1"/>
          <w:sz w:val="32"/>
          <w:szCs w:val="32"/>
          <w14:textFill>
            <w14:solidFill>
              <w14:schemeClr w14:val="tx1"/>
            </w14:solidFill>
          </w14:textFill>
        </w:rPr>
        <w:t>强化城市生命线工程安全监测和预警。</w:t>
      </w:r>
    </w:p>
    <w:p w14:paraId="0ED0E41D">
      <w:pPr>
        <w:pStyle w:val="4"/>
        <w:ind w:firstLine="640"/>
        <w:rPr>
          <w:rFonts w:hint="eastAsia"/>
        </w:rPr>
      </w:pPr>
      <w:bookmarkStart w:id="41" w:name="_Toc230609193"/>
      <w:bookmarkStart w:id="42" w:name="_Toc232019500"/>
      <w:bookmarkStart w:id="43" w:name="_Toc12265"/>
      <w:bookmarkStart w:id="44" w:name="_Toc229997124"/>
      <w:bookmarkStart w:id="45" w:name="_Toc217298332"/>
      <w:bookmarkStart w:id="46" w:name="_Toc227324410"/>
      <w:r>
        <w:rPr>
          <w:rFonts w:hint="eastAsia" w:ascii="Times New Roman" w:hAnsi="Times New Roman"/>
          <w:color w:val="000000" w:themeColor="text1"/>
          <w14:textFill>
            <w14:solidFill>
              <w14:schemeClr w14:val="tx1"/>
            </w14:solidFill>
          </w14:textFill>
        </w:rPr>
        <w:t>（二）深化隐患排查治理</w:t>
      </w:r>
      <w:bookmarkEnd w:id="41"/>
      <w:bookmarkEnd w:id="42"/>
      <w:bookmarkEnd w:id="43"/>
      <w:bookmarkEnd w:id="44"/>
      <w:bookmarkEnd w:id="45"/>
      <w:bookmarkEnd w:id="46"/>
    </w:p>
    <w:p w14:paraId="4EA7DD4C">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纵深推进安全生产治本攻坚，</w:t>
      </w:r>
      <w:r>
        <w:rPr>
          <w:rFonts w:ascii="Times New Roman" w:hAnsi="Times New Roman" w:eastAsia="仿宋_GB2312" w:cs="Times New Roman"/>
          <w:color w:val="000000" w:themeColor="text1"/>
          <w:sz w:val="32"/>
          <w:szCs w:val="32"/>
          <w14:textFill>
            <w14:solidFill>
              <w14:schemeClr w14:val="tx1"/>
            </w14:solidFill>
          </w14:textFill>
        </w:rPr>
        <w:t>构建生产安全事故“135”防控体系。</w:t>
      </w:r>
      <w:r>
        <w:rPr>
          <w:rFonts w:hint="eastAsia" w:ascii="Times New Roman" w:hAnsi="Times New Roman" w:eastAsia="仿宋_GB2312" w:cs="Times New Roman"/>
          <w:color w:val="000000" w:themeColor="text1"/>
          <w:sz w:val="32"/>
          <w:szCs w:val="32"/>
          <w14:textFill>
            <w14:solidFill>
              <w14:schemeClr w14:val="tx1"/>
            </w14:solidFill>
          </w14:textFill>
        </w:rPr>
        <w:t>深化建筑施工、交通运输、渔业船舶等重点行业领域指导帮扶，持续加强电工作业、高处作业、焊接与热切割作业等特种作业人员培训考核和安全管理，推动一批技防、工程防、管理防措施落地。全面落实“</w:t>
      </w:r>
      <w:bookmarkStart w:id="47" w:name="OLE_LINK34"/>
      <w:r>
        <w:rPr>
          <w:rFonts w:hint="eastAsia" w:ascii="Times New Roman" w:hAnsi="Times New Roman" w:eastAsia="仿宋_GB2312" w:cs="Times New Roman"/>
          <w:color w:val="000000" w:themeColor="text1"/>
          <w:sz w:val="32"/>
          <w:szCs w:val="32"/>
          <w14:textFill>
            <w14:solidFill>
              <w14:schemeClr w14:val="tx1"/>
            </w14:solidFill>
          </w14:textFill>
        </w:rPr>
        <w:t>以房管安</w:t>
      </w:r>
      <w:bookmarkEnd w:id="47"/>
      <w:r>
        <w:rPr>
          <w:rFonts w:hint="eastAsia" w:ascii="Times New Roman" w:hAnsi="Times New Roman" w:eastAsia="仿宋_GB2312" w:cs="Times New Roman"/>
          <w:color w:val="000000" w:themeColor="text1"/>
          <w:sz w:val="32"/>
          <w:szCs w:val="32"/>
          <w14:textFill>
            <w14:solidFill>
              <w14:schemeClr w14:val="tx1"/>
            </w14:solidFill>
          </w14:textFill>
        </w:rPr>
        <w:t>”，持续深化“一件事”全链条治理，聚焦重点领域关键环节，精准施策、持续发力，着力提升安全监管效能。强化社会面小场所信息及时更新，持续强化风险辨识分级管控。重点抓好事故隐患闭环整改。实施台账式管理、清单式交办、销号式整改。健全企业隐患自查自改常态机制，推动隐患排查系统化、常态化。完善全链条排查整治重大事故隐患责任体系，推动多部门协同联动、闭环管理。严格落实重大隐患“双报告”制度，健全重大事故隐患治理督办。</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1FE9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18E18CF8">
            <w:pPr>
              <w:overflowPunct w:val="0"/>
              <w:autoSpaceDE w:val="0"/>
              <w:autoSpaceDN w:val="0"/>
              <w:snapToGrid w:val="0"/>
              <w:jc w:val="center"/>
              <w:rPr>
                <w:rFonts w:ascii="Times New Roman" w:hAnsi="Times New Roman" w:eastAsia="黑体" w:cs="Times New Roman"/>
                <w:snapToGrid w:val="0"/>
                <w:color w:val="000000" w:themeColor="text1"/>
                <w:kern w:val="0"/>
                <w:sz w:val="32"/>
                <w:szCs w:val="20"/>
                <w14:textFill>
                  <w14:solidFill>
                    <w14:schemeClr w14:val="tx1"/>
                  </w14:solidFill>
                </w14:textFill>
              </w:rPr>
            </w:pPr>
            <w:r>
              <w:rPr>
                <w:rFonts w:hint="eastAsia" w:ascii="Times New Roman" w:hAnsi="Times New Roman" w:eastAsia="黑体" w:cs="Times New Roman"/>
                <w:snapToGrid w:val="0"/>
                <w:color w:val="000000" w:themeColor="text1"/>
                <w:kern w:val="0"/>
                <w:sz w:val="24"/>
                <w:szCs w:val="20"/>
                <w14:textFill>
                  <w14:solidFill>
                    <w14:schemeClr w14:val="tx1"/>
                  </w14:solidFill>
                </w14:textFill>
              </w:rPr>
              <w:t>专栏2 重点行业领域安全生产专项整治</w:t>
            </w:r>
          </w:p>
        </w:tc>
      </w:tr>
      <w:tr w14:paraId="41BC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67E500A7">
            <w:pPr>
              <w:overflowPunct w:val="0"/>
              <w:autoSpaceDE w:val="0"/>
              <w:autoSpaceDN w:val="0"/>
              <w:snapToGrid w:val="0"/>
              <w:spacing w:line="360" w:lineRule="exact"/>
              <w:ind w:firstLine="480" w:firstLineChars="200"/>
              <w:rPr>
                <w:rFonts w:ascii="Times New Roman" w:hAnsi="Times New Roman" w:eastAsia="仿宋_GB2312" w:cs="Times New Roman"/>
                <w:snapToGrid w:val="0"/>
                <w:color w:val="000000" w:themeColor="text1"/>
                <w:kern w:val="0"/>
                <w:sz w:val="24"/>
                <w14:textFill>
                  <w14:solidFill>
                    <w14:schemeClr w14:val="tx1"/>
                  </w14:solidFill>
                </w14:textFill>
              </w:rPr>
            </w:pPr>
            <w:r>
              <w:rPr>
                <w:rFonts w:hint="eastAsia" w:ascii="Times New Roman" w:hAnsi="Times New Roman" w:eastAsia="仿宋_GB2312" w:cs="Times New Roman"/>
                <w:snapToGrid w:val="0"/>
                <w:color w:val="000000" w:themeColor="text1"/>
                <w:kern w:val="0"/>
                <w:sz w:val="24"/>
                <w14:textFill>
                  <w14:solidFill>
                    <w14:schemeClr w14:val="tx1"/>
                  </w14:solidFill>
                </w14:textFill>
              </w:rPr>
              <w:t>1.化工和危险化学品安全：稳步实施高危工艺低危化改造，积极应用微通道等先进技术，大幅减少反应体系在线量，完成高危工艺企业全流程自动化改造提升。推动机器人巡检、检维修“外操无人化” 建设，降低危险环境人员暴露风险。推进顺控、先进控制系统（APC）、零手操装置建设“内操智能化”建设，打造“正常运行无人操作、异常工况远程处置”的“黑灯车间”。推动老旧装置滚动摸排和更新改造，淘汰落后低效设备、超期服役老旧装置。深化“无泄漏”工厂建设，将较大以上风险泄漏点纳入双重预防常态管控，确保动静密封点泄漏率分别控制在2‰和0.5‰以内。</w:t>
            </w:r>
          </w:p>
          <w:p w14:paraId="5756F57C">
            <w:pPr>
              <w:overflowPunct w:val="0"/>
              <w:autoSpaceDE w:val="0"/>
              <w:autoSpaceDN w:val="0"/>
              <w:snapToGrid w:val="0"/>
              <w:spacing w:line="360" w:lineRule="exact"/>
              <w:ind w:firstLine="480" w:firstLineChars="200"/>
              <w:rPr>
                <w:rFonts w:ascii="Times New Roman" w:hAnsi="Times New Roman" w:eastAsia="仿宋_GB2312" w:cs="Times New Roman"/>
                <w:snapToGrid w:val="0"/>
                <w:color w:val="000000" w:themeColor="text1"/>
                <w:kern w:val="0"/>
                <w:sz w:val="24"/>
                <w14:textFill>
                  <w14:solidFill>
                    <w14:schemeClr w14:val="tx1"/>
                  </w14:solidFill>
                </w14:textFill>
              </w:rPr>
            </w:pPr>
            <w:r>
              <w:rPr>
                <w:rFonts w:hint="eastAsia" w:ascii="Times New Roman" w:hAnsi="Times New Roman" w:eastAsia="仿宋_GB2312" w:cs="Times New Roman"/>
                <w:snapToGrid w:val="0"/>
                <w:color w:val="000000" w:themeColor="text1"/>
                <w:kern w:val="0"/>
                <w:sz w:val="24"/>
                <w14:textFill>
                  <w14:solidFill>
                    <w14:schemeClr w14:val="tx1"/>
                  </w14:solidFill>
                </w14:textFill>
              </w:rPr>
              <w:t>2.冶金等工贸安全：推动钢铁企业高危岗位远程控制、机器人替代，提升本质安全水平。推动铝加工（深井铸造）企业设备升级改造，新建企业严禁使用固定炉和钢丝绳提升系统，逐步更换在用固定炉和钢丝绳提升系统，定期视频抽查企业浇铸工序员工违章作业，督促企业加强员工作业管理。指导粉尘企业运用监测预警系统，强化风险管控能力，确保除尘系统安全稳定运行。重点有限空间企业落实上锁、加栏、覆网、入柜“四件套”，推广非进入式作业和非进入式作业救援，开展有限空间智能监测预警系统建设试点，切实提高有限空间风险防范水平。落实“厂中厂”安全治理年度重点任务，全面安装消防“三件套”（“一键报警”装置、智能烟感报警装置、消火栓）、电动自行车“新三件套”（消防长钩、锂电池专用灭火器、智能AI摄像头）、推广配备“安全管家”、打造一批现场教学点。</w:t>
            </w:r>
          </w:p>
          <w:p w14:paraId="3E1488B0">
            <w:pPr>
              <w:overflowPunct w:val="0"/>
              <w:autoSpaceDE w:val="0"/>
              <w:autoSpaceDN w:val="0"/>
              <w:snapToGrid w:val="0"/>
              <w:spacing w:line="360" w:lineRule="exact"/>
              <w:ind w:firstLine="480" w:firstLineChars="200"/>
              <w:rPr>
                <w:rFonts w:ascii="Times New Roman" w:hAnsi="Times New Roman" w:eastAsia="仿宋_GB2312" w:cs="Times New Roman"/>
                <w:snapToGrid w:val="0"/>
                <w:color w:val="000000" w:themeColor="text1"/>
                <w:kern w:val="0"/>
                <w:sz w:val="24"/>
                <w14:textFill>
                  <w14:solidFill>
                    <w14:schemeClr w14:val="tx1"/>
                  </w14:solidFill>
                </w14:textFill>
              </w:rPr>
            </w:pPr>
            <w:r>
              <w:rPr>
                <w:rFonts w:hint="eastAsia" w:ascii="Times New Roman" w:hAnsi="Times New Roman" w:eastAsia="仿宋_GB2312" w:cs="Times New Roman"/>
                <w:snapToGrid w:val="0"/>
                <w:color w:val="000000" w:themeColor="text1"/>
                <w:kern w:val="0"/>
                <w:sz w:val="24"/>
                <w14:textFill>
                  <w14:solidFill>
                    <w14:schemeClr w14:val="tx1"/>
                  </w14:solidFill>
                </w14:textFill>
              </w:rPr>
              <w:t>3.消防安全：加强高层建筑、多业态场所、文物古建筑、</w:t>
            </w:r>
            <w:r>
              <w:rPr>
                <w:rFonts w:hint="eastAsia" w:ascii="仿宋_GB2312" w:hAnsi="Times New Roman" w:eastAsia="仿宋_GB2312" w:cs="Times New Roman"/>
                <w:snapToGrid w:val="0"/>
                <w:color w:val="000000" w:themeColor="text1"/>
                <w:kern w:val="0"/>
                <w:sz w:val="24"/>
                <w14:textFill>
                  <w14:solidFill>
                    <w14:schemeClr w14:val="tx1"/>
                  </w14:solidFill>
                </w14:textFill>
              </w:rPr>
              <w:t>涉锂新能源企业四类场所火灾防控工作。持续推进人员密集场所动火作业、建筑保温材料等“一件事”全链条专项整治，切实加强养老院、护理院、福利院(含儿童福利机构、精神卫生福利机构)、月子会所等四类场所及医院、学校、培训机构等特殊场所安全防范，持续深化经营性自建房、“三合一”和“九小场所”隐患治理，深化畅通消防“生命通道”和消防设施治理。</w:t>
            </w:r>
            <w:r>
              <w:rPr>
                <w:rFonts w:hint="eastAsia" w:ascii="Times New Roman" w:hAnsi="Times New Roman" w:eastAsia="仿宋_GB2312" w:cs="Times New Roman"/>
                <w:snapToGrid w:val="0"/>
                <w:color w:val="000000" w:themeColor="text1"/>
                <w:kern w:val="0"/>
                <w:sz w:val="24"/>
                <w14:textFill>
                  <w14:solidFill>
                    <w14:schemeClr w14:val="tx1"/>
                  </w14:solidFill>
                </w14:textFill>
              </w:rPr>
              <w:t>推进居民小区消防快速处置队建设。</w:t>
            </w:r>
          </w:p>
          <w:p w14:paraId="34CC9E55">
            <w:pPr>
              <w:overflowPunct w:val="0"/>
              <w:autoSpaceDE w:val="0"/>
              <w:autoSpaceDN w:val="0"/>
              <w:snapToGrid w:val="0"/>
              <w:spacing w:line="360" w:lineRule="exact"/>
              <w:ind w:firstLine="480" w:firstLineChars="200"/>
              <w:rPr>
                <w:rFonts w:ascii="Times New Roman" w:hAnsi="Times New Roman" w:eastAsia="仿宋_GB2312" w:cs="Times New Roman"/>
                <w:snapToGrid w:val="0"/>
                <w:color w:val="000000" w:themeColor="text1"/>
                <w:kern w:val="0"/>
                <w:sz w:val="24"/>
                <w14:textFill>
                  <w14:solidFill>
                    <w14:schemeClr w14:val="tx1"/>
                  </w14:solidFill>
                </w14:textFill>
              </w:rPr>
            </w:pPr>
            <w:r>
              <w:rPr>
                <w:rFonts w:hint="eastAsia" w:ascii="Times New Roman" w:hAnsi="Times New Roman" w:eastAsia="仿宋_GB2312" w:cs="Times New Roman"/>
                <w:snapToGrid w:val="0"/>
                <w:color w:val="000000" w:themeColor="text1"/>
                <w:kern w:val="0"/>
                <w:sz w:val="24"/>
                <w14:textFill>
                  <w14:solidFill>
                    <w14:schemeClr w14:val="tx1"/>
                  </w14:solidFill>
                </w14:textFill>
              </w:rPr>
              <w:t>4.交通运输安全：</w:t>
            </w:r>
            <w:r>
              <w:rPr>
                <w:rFonts w:hint="eastAsia" w:ascii="仿宋_GB2312" w:hAnsi="Times New Roman" w:eastAsia="仿宋_GB2312" w:cs="Times New Roman"/>
                <w:snapToGrid w:val="0"/>
                <w:color w:val="000000" w:themeColor="text1"/>
                <w:kern w:val="0"/>
                <w:sz w:val="24"/>
                <w14:textFill>
                  <w14:solidFill>
                    <w14:schemeClr w14:val="tx1"/>
                  </w14:solidFill>
                </w14:textFill>
              </w:rPr>
              <w:t>推进“5510”工程，全面完成隐患路段整治任务。深化“两客一危”车辆赋码管理，</w:t>
            </w:r>
            <w:r>
              <w:rPr>
                <w:rFonts w:hint="eastAsia" w:ascii="Times New Roman" w:hAnsi="Times New Roman" w:eastAsia="仿宋_GB2312" w:cs="Times New Roman"/>
                <w:snapToGrid w:val="0"/>
                <w:color w:val="000000" w:themeColor="text1"/>
                <w:kern w:val="0"/>
                <w:sz w:val="24"/>
                <w14:textFill>
                  <w14:solidFill>
                    <w14:schemeClr w14:val="tx1"/>
                  </w14:solidFill>
                </w14:textFill>
              </w:rPr>
              <w:t>健全危险货物道路运输跨部门协同监管机制，</w:t>
            </w:r>
            <w:r>
              <w:rPr>
                <w:rFonts w:hint="eastAsia" w:ascii="仿宋_GB2312" w:hAnsi="Times New Roman" w:eastAsia="仿宋_GB2312" w:cs="Times New Roman"/>
                <w:snapToGrid w:val="0"/>
                <w:color w:val="000000" w:themeColor="text1"/>
                <w:kern w:val="0"/>
                <w:sz w:val="24"/>
                <w14:textFill>
                  <w14:solidFill>
                    <w14:schemeClr w14:val="tx1"/>
                  </w14:solidFill>
                </w14:textFill>
              </w:rPr>
              <w:t>强化危险货物道路运输全链条安全监管。严管“两客一危一货”等重点车辆，严查“三超一疲劳”等重点违法行为;加强水上客运等重点运输船舶安全监管。</w:t>
            </w:r>
            <w:r>
              <w:rPr>
                <w:rFonts w:hint="eastAsia" w:ascii="Times New Roman" w:hAnsi="Times New Roman" w:eastAsia="仿宋_GB2312" w:cs="Times New Roman"/>
                <w:snapToGrid w:val="0"/>
                <w:color w:val="000000" w:themeColor="text1"/>
                <w:kern w:val="0"/>
                <w:sz w:val="24"/>
                <w14:textFill>
                  <w14:solidFill>
                    <w14:schemeClr w14:val="tx1"/>
                  </w14:solidFill>
                </w14:textFill>
              </w:rPr>
              <w:t>加强船载危险货物安全监管，深化船舶碰撞桥梁隐患治理。深化船舶进出港报告制度。持续开展商渔船防碰撞联合共治。</w:t>
            </w:r>
          </w:p>
          <w:p w14:paraId="28E2E6EA">
            <w:pPr>
              <w:overflowPunct w:val="0"/>
              <w:autoSpaceDE w:val="0"/>
              <w:autoSpaceDN w:val="0"/>
              <w:snapToGrid w:val="0"/>
              <w:spacing w:line="360" w:lineRule="exact"/>
              <w:ind w:firstLine="480" w:firstLineChars="200"/>
              <w:rPr>
                <w:rFonts w:ascii="Times New Roman" w:hAnsi="Times New Roman" w:eastAsia="仿宋_GB2312" w:cs="Times New Roman"/>
                <w:snapToGrid w:val="0"/>
                <w:color w:val="000000" w:themeColor="text1"/>
                <w:kern w:val="0"/>
                <w:sz w:val="24"/>
                <w14:textFill>
                  <w14:solidFill>
                    <w14:schemeClr w14:val="tx1"/>
                  </w14:solidFill>
                </w14:textFill>
              </w:rPr>
            </w:pPr>
            <w:r>
              <w:rPr>
                <w:rFonts w:hint="eastAsia" w:ascii="Times New Roman" w:hAnsi="Times New Roman" w:eastAsia="仿宋_GB2312" w:cs="Times New Roman"/>
                <w:snapToGrid w:val="0"/>
                <w:color w:val="000000" w:themeColor="text1"/>
                <w:kern w:val="0"/>
                <w:sz w:val="24"/>
                <w14:textFill>
                  <w14:solidFill>
                    <w14:schemeClr w14:val="tx1"/>
                  </w14:solidFill>
                </w14:textFill>
              </w:rPr>
              <w:t>5.建筑施工安全：完善危大工程安全管控体系，健全施工企业全员安全生产责任制，加提升施工现场关键岗位履职能力和数字监管水平，推行房屋市政工程安全生产责任保险，推动建筑施工安全生产管理“人防、物防、技防、智防”建设一体化升级。</w:t>
            </w:r>
            <w:r>
              <w:rPr>
                <w:rFonts w:hint="eastAsia" w:ascii="仿宋_GB2312" w:hAnsi="Times New Roman" w:eastAsia="仿宋_GB2312" w:cs="Times New Roman"/>
                <w:snapToGrid w:val="0"/>
                <w:color w:val="000000" w:themeColor="text1"/>
                <w:kern w:val="0"/>
                <w:sz w:val="24"/>
                <w14:textFill>
                  <w14:solidFill>
                    <w14:schemeClr w14:val="tx1"/>
                  </w14:solidFill>
                </w14:textFill>
              </w:rPr>
              <w:t>以起重机械、高支模、深基坑、脚手架、隧道等危险性较大的分部分项工程和有限空间作业为重点开展重大事故隐患排查整治。</w:t>
            </w:r>
          </w:p>
          <w:p w14:paraId="23C17627">
            <w:pPr>
              <w:overflowPunct w:val="0"/>
              <w:autoSpaceDE w:val="0"/>
              <w:autoSpaceDN w:val="0"/>
              <w:snapToGrid w:val="0"/>
              <w:spacing w:line="360" w:lineRule="exact"/>
              <w:ind w:firstLine="480" w:firstLineChars="200"/>
              <w:rPr>
                <w:rFonts w:ascii="Times New Roman" w:hAnsi="Times New Roman" w:eastAsia="仿宋_GB2312" w:cs="Times New Roman"/>
                <w:snapToGrid w:val="0"/>
                <w:color w:val="000000" w:themeColor="text1"/>
                <w:kern w:val="0"/>
                <w:sz w:val="24"/>
                <w14:textFill>
                  <w14:solidFill>
                    <w14:schemeClr w14:val="tx1"/>
                  </w14:solidFill>
                </w14:textFill>
              </w:rPr>
            </w:pPr>
            <w:r>
              <w:rPr>
                <w:rFonts w:hint="eastAsia" w:ascii="Times New Roman" w:hAnsi="Times New Roman" w:eastAsia="仿宋_GB2312" w:cs="Times New Roman"/>
                <w:snapToGrid w:val="0"/>
                <w:color w:val="000000" w:themeColor="text1"/>
                <w:kern w:val="0"/>
                <w:sz w:val="24"/>
                <w14:textFill>
                  <w14:solidFill>
                    <w14:schemeClr w14:val="tx1"/>
                  </w14:solidFill>
                </w14:textFill>
              </w:rPr>
              <w:t>6.既有建筑安全：常态化开展既有建筑安全隐患排查整治，进一步完善房屋使用安全网格化巡查机制，加强经营性自建房安全管理，提升房屋安全数字化监管水平。开展城镇房屋安全体检、房屋安全管理资金、房屋安全保险制度试点，探索建立房屋全生命周期安全管理制度。</w:t>
            </w:r>
          </w:p>
          <w:p w14:paraId="4FDE7329">
            <w:pPr>
              <w:overflowPunct w:val="0"/>
              <w:autoSpaceDE w:val="0"/>
              <w:autoSpaceDN w:val="0"/>
              <w:snapToGrid w:val="0"/>
              <w:spacing w:line="360" w:lineRule="exact"/>
              <w:ind w:firstLine="480" w:firstLineChars="200"/>
              <w:rPr>
                <w:rFonts w:ascii="Times New Roman" w:hAnsi="Times New Roman" w:eastAsia="仿宋_GB2312" w:cs="Times New Roman"/>
                <w:snapToGrid w:val="0"/>
                <w:color w:val="000000" w:themeColor="text1"/>
                <w:kern w:val="0"/>
                <w:sz w:val="24"/>
                <w14:textFill>
                  <w14:solidFill>
                    <w14:schemeClr w14:val="tx1"/>
                  </w14:solidFill>
                </w14:textFill>
              </w:rPr>
            </w:pPr>
            <w:r>
              <w:rPr>
                <w:rFonts w:hint="eastAsia" w:ascii="Times New Roman" w:hAnsi="Times New Roman" w:eastAsia="仿宋_GB2312" w:cs="Times New Roman"/>
                <w:snapToGrid w:val="0"/>
                <w:color w:val="000000" w:themeColor="text1"/>
                <w:kern w:val="0"/>
                <w:sz w:val="24"/>
                <w14:textFill>
                  <w14:solidFill>
                    <w14:schemeClr w14:val="tx1"/>
                  </w14:solidFill>
                </w14:textFill>
              </w:rPr>
              <w:t>7.城镇燃气安全：持续抓好老化燃气管道动态更新改造，推进“瓶改管”“气改电”，推动燃气市场规模化、规范化经营。依托城市基础设施生命线安全工程建设，推进燃气基础设施智能化升级。深化入户安检和随瓶安检，</w:t>
            </w:r>
            <w:r>
              <w:rPr>
                <w:rFonts w:hint="eastAsia" w:ascii="仿宋_GB2312" w:hAnsi="Times New Roman" w:eastAsia="仿宋_GB2312" w:cs="Times New Roman"/>
                <w:snapToGrid w:val="0"/>
                <w:color w:val="000000" w:themeColor="text1"/>
                <w:kern w:val="0"/>
                <w:sz w:val="24"/>
                <w14:textFill>
                  <w14:solidFill>
                    <w14:schemeClr w14:val="tx1"/>
                  </w14:solidFill>
                </w14:textFill>
              </w:rPr>
              <w:t>实现50公斤气液两相瓶全面退出市场，</w:t>
            </w:r>
            <w:r>
              <w:rPr>
                <w:rFonts w:hint="eastAsia" w:ascii="Times New Roman" w:hAnsi="Times New Roman" w:eastAsia="仿宋_GB2312" w:cs="Times New Roman"/>
                <w:snapToGrid w:val="0"/>
                <w:color w:val="000000" w:themeColor="text1"/>
                <w:kern w:val="0"/>
                <w:sz w:val="24"/>
                <w14:textFill>
                  <w14:solidFill>
                    <w14:schemeClr w14:val="tx1"/>
                  </w14:solidFill>
                </w14:textFill>
              </w:rPr>
              <w:t>推动居民及非居民用户问题“瓶灶管阀”更换。探索强化第三方施工与燃气管道重叠预警提醒。</w:t>
            </w:r>
          </w:p>
          <w:p w14:paraId="23F4C031">
            <w:pPr>
              <w:overflowPunct w:val="0"/>
              <w:autoSpaceDE w:val="0"/>
              <w:autoSpaceDN w:val="0"/>
              <w:snapToGrid w:val="0"/>
              <w:spacing w:line="360" w:lineRule="exact"/>
              <w:ind w:firstLine="480" w:firstLineChars="200"/>
              <w:rPr>
                <w:rFonts w:ascii="Times New Roman" w:hAnsi="Times New Roman" w:eastAsia="仿宋_GB2312" w:cs="Times New Roman"/>
                <w:snapToGrid w:val="0"/>
                <w:color w:val="000000" w:themeColor="text1"/>
                <w:kern w:val="0"/>
                <w:sz w:val="24"/>
                <w14:textFill>
                  <w14:solidFill>
                    <w14:schemeClr w14:val="tx1"/>
                  </w14:solidFill>
                </w14:textFill>
              </w:rPr>
            </w:pPr>
            <w:r>
              <w:rPr>
                <w:rFonts w:hint="eastAsia" w:ascii="Times New Roman" w:hAnsi="Times New Roman" w:eastAsia="仿宋_GB2312" w:cs="Times New Roman"/>
                <w:snapToGrid w:val="0"/>
                <w:color w:val="000000" w:themeColor="text1"/>
                <w:kern w:val="0"/>
                <w:sz w:val="24"/>
                <w14:textFill>
                  <w14:solidFill>
                    <w14:schemeClr w14:val="tx1"/>
                  </w14:solidFill>
                </w14:textFill>
              </w:rPr>
              <w:t>8.文化旅游安全：推进等级旅游民宿、A级以上旅游景区、文化艺术类非学科类校外培训机构安全治理，强化抓好密室逃脱等新业态文旅场所以及大型文旅活动的安全管理，</w:t>
            </w:r>
            <w:r>
              <w:rPr>
                <w:rFonts w:hint="eastAsia" w:ascii="仿宋_GB2312" w:hAnsi="Times New Roman" w:eastAsia="仿宋_GB2312" w:cs="Times New Roman"/>
                <w:snapToGrid w:val="0"/>
                <w:color w:val="000000" w:themeColor="text1"/>
                <w:kern w:val="0"/>
                <w:sz w:val="24"/>
                <w14:textFill>
                  <w14:solidFill>
                    <w14:schemeClr w14:val="tx1"/>
                  </w14:solidFill>
                </w14:textFill>
              </w:rPr>
              <w:t>开展文保单位消防隐患排查整治专项行动，加强索道缆车、大型游乐设施、玻璃栈道、滑道、非公路用旅游观光车辆等隐患排查治理，</w:t>
            </w:r>
            <w:r>
              <w:rPr>
                <w:rFonts w:hint="eastAsia" w:ascii="Times New Roman" w:hAnsi="Times New Roman" w:eastAsia="仿宋_GB2312" w:cs="Times New Roman"/>
                <w:snapToGrid w:val="0"/>
                <w:color w:val="000000" w:themeColor="text1"/>
                <w:kern w:val="0"/>
                <w:sz w:val="24"/>
                <w14:textFill>
                  <w14:solidFill>
                    <w14:schemeClr w14:val="tx1"/>
                  </w14:solidFill>
                </w14:textFill>
              </w:rPr>
              <w:t>持续加强各类景区安全防控，完善安全保障条件。</w:t>
            </w:r>
          </w:p>
          <w:p w14:paraId="7F7DD889">
            <w:pPr>
              <w:overflowPunct w:val="0"/>
              <w:autoSpaceDE w:val="0"/>
              <w:autoSpaceDN w:val="0"/>
              <w:snapToGrid w:val="0"/>
              <w:spacing w:line="360" w:lineRule="exact"/>
              <w:ind w:firstLine="480" w:firstLineChars="200"/>
              <w:rPr>
                <w:rFonts w:ascii="仿宋_GB2312" w:hAnsi="Times New Roman" w:eastAsia="仿宋_GB2312" w:cs="Times New Roman"/>
                <w:snapToGrid w:val="0"/>
                <w:color w:val="000000" w:themeColor="text1"/>
                <w:kern w:val="0"/>
                <w:sz w:val="24"/>
                <w14:textFill>
                  <w14:solidFill>
                    <w14:schemeClr w14:val="tx1"/>
                  </w14:solidFill>
                </w14:textFill>
              </w:rPr>
            </w:pPr>
            <w:r>
              <w:rPr>
                <w:rFonts w:hint="eastAsia" w:ascii="Times New Roman" w:hAnsi="Times New Roman" w:eastAsia="仿宋_GB2312" w:cs="Times New Roman"/>
                <w:snapToGrid w:val="0"/>
                <w:color w:val="000000" w:themeColor="text1"/>
                <w:kern w:val="0"/>
                <w:sz w:val="24"/>
                <w14:textFill>
                  <w14:solidFill>
                    <w14:schemeClr w14:val="tx1"/>
                  </w14:solidFill>
                </w14:textFill>
              </w:rPr>
              <w:t>9.特种设备安全：推进特种设备双重预防机制建设，加强高风险特种设备监管。推动化工企业建立实施承压设备完整性管理体系，强化设备风险管理以及全生命周期过程质量与安全管理。持续开展老旧电梯更新改造。</w:t>
            </w:r>
          </w:p>
          <w:p w14:paraId="19E8FD94">
            <w:pPr>
              <w:overflowPunct w:val="0"/>
              <w:autoSpaceDE w:val="0"/>
              <w:autoSpaceDN w:val="0"/>
              <w:snapToGrid w:val="0"/>
              <w:spacing w:line="360" w:lineRule="exact"/>
              <w:ind w:firstLine="480" w:firstLineChars="200"/>
              <w:rPr>
                <w:rFonts w:ascii="仿宋_GB2312" w:hAnsi="Times New Roman" w:eastAsia="仿宋_GB2312" w:cs="Times New Roman"/>
                <w:snapToGrid w:val="0"/>
                <w:color w:val="000000" w:themeColor="text1"/>
                <w:kern w:val="0"/>
                <w:sz w:val="24"/>
                <w14:textFill>
                  <w14:solidFill>
                    <w14:schemeClr w14:val="tx1"/>
                  </w14:solidFill>
                </w14:textFill>
              </w:rPr>
            </w:pPr>
            <w:r>
              <w:rPr>
                <w:rFonts w:ascii="仿宋_GB2312" w:hAnsi="Times New Roman" w:eastAsia="仿宋_GB2312" w:cs="Times New Roman"/>
                <w:snapToGrid w:val="0"/>
                <w:color w:val="000000" w:themeColor="text1"/>
                <w:kern w:val="0"/>
                <w:sz w:val="24"/>
                <w14:textFill>
                  <w14:solidFill>
                    <w14:schemeClr w14:val="tx1"/>
                  </w14:solidFill>
                </w14:textFill>
              </w:rPr>
              <w:t xml:space="preserve">10. </w:t>
            </w:r>
            <w:r>
              <w:rPr>
                <w:rFonts w:hint="eastAsia" w:ascii="仿宋_GB2312" w:hAnsi="Times New Roman" w:eastAsia="仿宋_GB2312" w:cs="Times New Roman"/>
                <w:snapToGrid w:val="0"/>
                <w:color w:val="000000" w:themeColor="text1"/>
                <w:kern w:val="0"/>
                <w:sz w:val="24"/>
                <w14:textFill>
                  <w14:solidFill>
                    <w14:schemeClr w14:val="tx1"/>
                  </w14:solidFill>
                </w14:textFill>
              </w:rPr>
              <w:t>低空载人飞行安全：规范通用机场、起降点运营管理，在旅游旺季、重大节假日、重大活动前，对短途运输、空中游览、体验带飞等项目开展专项评估，实施通航飞行活动“网格化”巡查，开展重点时段联合执法检查，强化隐患排查整改与联合惩戒，严厉打击违法违规飞行行为。</w:t>
            </w:r>
          </w:p>
          <w:p w14:paraId="1A54C958">
            <w:pPr>
              <w:overflowPunct w:val="0"/>
              <w:autoSpaceDE w:val="0"/>
              <w:autoSpaceDN w:val="0"/>
              <w:snapToGrid w:val="0"/>
              <w:spacing w:line="360" w:lineRule="exact"/>
              <w:ind w:firstLine="480" w:firstLineChars="200"/>
              <w:rPr>
                <w:rFonts w:ascii="Times New Roman" w:hAnsi="Times New Roman" w:eastAsia="方正仿宋_GBK" w:cs="Times New Roman"/>
                <w:snapToGrid w:val="0"/>
                <w:color w:val="000000" w:themeColor="text1"/>
                <w:kern w:val="0"/>
                <w:sz w:val="24"/>
                <w:szCs w:val="21"/>
                <w14:textFill>
                  <w14:solidFill>
                    <w14:schemeClr w14:val="tx1"/>
                  </w14:solidFill>
                </w14:textFill>
              </w:rPr>
            </w:pPr>
            <w:r>
              <w:rPr>
                <w:rFonts w:ascii="仿宋_GB2312" w:hAnsi="Times New Roman" w:eastAsia="仿宋_GB2312" w:cs="Times New Roman"/>
                <w:snapToGrid w:val="0"/>
                <w:color w:val="000000" w:themeColor="text1"/>
                <w:kern w:val="0"/>
                <w:sz w:val="24"/>
                <w14:textFill>
                  <w14:solidFill>
                    <w14:schemeClr w14:val="tx1"/>
                  </w14:solidFill>
                </w14:textFill>
              </w:rPr>
              <w:t>11.</w:t>
            </w:r>
            <w:r>
              <w:rPr>
                <w:rFonts w:hint="eastAsia" w:ascii="仿宋_GB2312" w:hAnsi="Times New Roman" w:eastAsia="仿宋_GB2312" w:cs="Times New Roman"/>
                <w:snapToGrid w:val="0"/>
                <w:color w:val="000000" w:themeColor="text1"/>
                <w:kern w:val="0"/>
                <w:sz w:val="24"/>
                <w14:textFill>
                  <w14:solidFill>
                    <w14:schemeClr w14:val="tx1"/>
                  </w14:solidFill>
                </w14:textFill>
              </w:rPr>
              <w:t>其他领域安全：紧盯校车、校舍消防等重点领域，以及实验室危险源管理等关键环节，全面开展校园安全隐患排查整治。持续深入开展海洋渔船安全专项整治，推动渔船新型北斗终端设备全覆盖安装，落实省内长期异地停靠渔船共管机制。压实医疗卫生机构尤其是等级医院主体责任，强化外包作业、第三方安保力量的检查指导。推动加强重点行业领域实验室安全管理。严格涉水游乐场所安全准入，规范设备设施使用安全，加强安全管理。</w:t>
            </w:r>
          </w:p>
        </w:tc>
      </w:tr>
    </w:tbl>
    <w:p w14:paraId="0AAC26DE">
      <w:pPr>
        <w:pStyle w:val="4"/>
        <w:ind w:firstLine="640"/>
        <w:rPr>
          <w:rFonts w:hint="eastAsia"/>
        </w:rPr>
      </w:pPr>
      <w:bookmarkStart w:id="48" w:name="_Toc229997125"/>
      <w:bookmarkStart w:id="49" w:name="_Toc26696"/>
      <w:bookmarkStart w:id="50" w:name="_Toc227324411"/>
      <w:bookmarkStart w:id="51" w:name="_Toc232019501"/>
      <w:bookmarkStart w:id="52" w:name="_Toc230609194"/>
      <w:r>
        <w:rPr>
          <w:rFonts w:hint="eastAsia" w:ascii="Times New Roman" w:hAnsi="Times New Roman"/>
          <w:color w:val="000000" w:themeColor="text1"/>
          <w14:textFill>
            <w14:solidFill>
              <w14:schemeClr w14:val="tx1"/>
            </w14:solidFill>
          </w14:textFill>
        </w:rPr>
        <w:t>（三）提升安全监管效能</w:t>
      </w:r>
      <w:bookmarkEnd w:id="48"/>
      <w:bookmarkEnd w:id="49"/>
      <w:bookmarkEnd w:id="50"/>
      <w:bookmarkEnd w:id="51"/>
      <w:bookmarkEnd w:id="52"/>
    </w:p>
    <w:p w14:paraId="57AA2672">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加强执法队伍规范化建设，强化安全监管执法人员培训，提升专业监管执法能力。</w:t>
      </w:r>
      <w:r>
        <w:rPr>
          <w:rFonts w:ascii="Times New Roman" w:hAnsi="Times New Roman" w:eastAsia="仿宋_GB2312" w:cs="Times New Roman"/>
          <w:color w:val="000000" w:themeColor="text1"/>
          <w:sz w:val="32"/>
          <w:szCs w:val="32"/>
          <w14:textFill>
            <w14:solidFill>
              <w14:schemeClr w14:val="tx1"/>
            </w14:solidFill>
          </w14:textFill>
        </w:rPr>
        <w:t>严格规范安全生产行政执法工作流程</w:t>
      </w:r>
      <w:r>
        <w:rPr>
          <w:rFonts w:hint="eastAsia" w:ascii="Times New Roman" w:hAnsi="Times New Roman" w:eastAsia="仿宋_GB2312" w:cs="Times New Roman"/>
          <w:color w:val="000000" w:themeColor="text1"/>
          <w:sz w:val="32"/>
          <w:szCs w:val="32"/>
          <w14:textFill>
            <w14:solidFill>
              <w14:schemeClr w14:val="tx1"/>
            </w14:solidFill>
          </w14:textFill>
        </w:rPr>
        <w:t>，加强行政执法监督检查。深化“执法+专家”“监管+服务”等专业模式，采用“互联网+执法”“远程监管”“线上巡查”等手段，提升安全生产指导服务能力水平。推进“综合查一次”改革，完善“免罚轻罚”“白名单”配套制度，持续优化法治化营商环境。规范生产安全事故报告编制及调查询问工作，出台生产安全事故调查规范指引，推动事故调查工作标准化、规范化、法治化运行。深化相关部门协作联动，依法依规依纪统筹抓好事故责任追究。强化与司法机关协同配合，健全安全生产领域行刑衔接机制，加大重大违法案件查处力度，严厉打击安全生产违法犯罪行为。健全警醒警戒警示机制，着力强化事故隐患研判提示，事故隐患类比排查和典型事故复盘教育。</w:t>
      </w:r>
    </w:p>
    <w:tbl>
      <w:tblPr>
        <w:tblStyle w:val="15"/>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3535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34" w:type="dxa"/>
            <w:vAlign w:val="center"/>
          </w:tcPr>
          <w:p w14:paraId="3591CB6A">
            <w:pPr>
              <w:adjustRightInd w:val="0"/>
              <w:snapToGrid w:val="0"/>
              <w:jc w:val="center"/>
              <w:rPr>
                <w:rFonts w:ascii="Times New Roman" w:hAnsi="Times New Roman" w:eastAsia="方正黑体_GBK" w:cs="Times New Roman"/>
                <w:snapToGrid w:val="0"/>
                <w:color w:val="000000" w:themeColor="text1"/>
                <w:kern w:val="0"/>
                <w:sz w:val="24"/>
                <w:szCs w:val="20"/>
                <w14:textFill>
                  <w14:solidFill>
                    <w14:schemeClr w14:val="tx1"/>
                  </w14:solidFill>
                </w14:textFill>
              </w:rPr>
            </w:pPr>
            <w:r>
              <w:rPr>
                <w:rFonts w:hint="eastAsia" w:ascii="Times New Roman" w:hAnsi="Times New Roman" w:eastAsia="方正黑体_GBK" w:cs="Times New Roman"/>
                <w:color w:val="000000" w:themeColor="text1"/>
                <w:sz w:val="24"/>
                <w14:textFill>
                  <w14:solidFill>
                    <w14:schemeClr w14:val="tx1"/>
                  </w14:solidFill>
                </w14:textFill>
              </w:rPr>
              <w:t>专栏3</w:t>
            </w:r>
            <w:r>
              <w:rPr>
                <w:rFonts w:ascii="Times New Roman" w:hAnsi="Times New Roman" w:eastAsia="方正黑体_GBK" w:cs="Times New Roman"/>
                <w:color w:val="000000" w:themeColor="text1"/>
                <w:sz w:val="24"/>
                <w14:textFill>
                  <w14:solidFill>
                    <w14:schemeClr w14:val="tx1"/>
                  </w14:solidFill>
                </w14:textFill>
              </w:rPr>
              <w:t xml:space="preserve"> </w:t>
            </w:r>
            <w:r>
              <w:rPr>
                <w:rFonts w:hint="eastAsia" w:ascii="Times New Roman" w:hAnsi="Times New Roman" w:eastAsia="方正黑体_GBK" w:cs="Times New Roman"/>
                <w:color w:val="000000" w:themeColor="text1"/>
                <w:sz w:val="24"/>
                <w14:textFill>
                  <w14:solidFill>
                    <w14:schemeClr w14:val="tx1"/>
                  </w14:solidFill>
                </w14:textFill>
              </w:rPr>
              <w:t>产业安全升级工程</w:t>
            </w:r>
          </w:p>
        </w:tc>
      </w:tr>
      <w:tr w14:paraId="12F1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4" w:type="dxa"/>
          </w:tcPr>
          <w:p w14:paraId="60764F3E">
            <w:pPr>
              <w:overflowPunct w:val="0"/>
              <w:autoSpaceDE w:val="0"/>
              <w:autoSpaceDN w:val="0"/>
              <w:snapToGrid w:val="0"/>
              <w:spacing w:line="380" w:lineRule="exact"/>
              <w:ind w:firstLine="480" w:firstLineChars="200"/>
              <w:rPr>
                <w:rFonts w:ascii="Times New Roman" w:hAnsi="Times New Roman" w:eastAsia="宋体" w:cs="Times New Roman"/>
                <w:snapToGrid w:val="0"/>
                <w:color w:val="000000" w:themeColor="text1"/>
                <w:kern w:val="0"/>
                <w:sz w:val="24"/>
                <w14:textFill>
                  <w14:solidFill>
                    <w14:schemeClr w14:val="tx1"/>
                  </w14:solidFill>
                </w14:textFill>
              </w:rPr>
            </w:pPr>
            <w:r>
              <w:rPr>
                <w:rFonts w:hint="eastAsia" w:ascii="Times New Roman" w:hAnsi="Times New Roman" w:eastAsia="仿宋_GB2312" w:cs="仿宋_GB2312"/>
                <w:snapToGrid w:val="0"/>
                <w:color w:val="000000" w:themeColor="text1"/>
                <w:kern w:val="0"/>
                <w:sz w:val="24"/>
                <w14:textFill>
                  <w14:solidFill>
                    <w14:schemeClr w14:val="tx1"/>
                  </w14:solidFill>
                </w14:textFill>
              </w:rPr>
              <w:t>1.高危行业技术升级改造行动。推动重点领域企业更新改造设备设施，引导化工和危险化学品、纺织、特种设备、文化旅游等行业领域加快实施设备更新升级，淘汰落后低效设备、超期服役老旧装置，压减高风险区域作业人数。</w:t>
            </w:r>
          </w:p>
          <w:p w14:paraId="35CAEC32">
            <w:pPr>
              <w:overflowPunct w:val="0"/>
              <w:autoSpaceDE w:val="0"/>
              <w:autoSpaceDN w:val="0"/>
              <w:snapToGrid w:val="0"/>
              <w:spacing w:line="380" w:lineRule="exact"/>
              <w:ind w:firstLine="480" w:firstLineChars="200"/>
              <w:rPr>
                <w:rFonts w:ascii="Times New Roman" w:hAnsi="Times New Roman" w:eastAsia="仿宋_GB2312" w:cs="仿宋_GB2312"/>
                <w:snapToGrid w:val="0"/>
                <w:color w:val="000000" w:themeColor="text1"/>
                <w:kern w:val="0"/>
                <w:sz w:val="24"/>
                <w14:textFill>
                  <w14:solidFill>
                    <w14:schemeClr w14:val="tx1"/>
                  </w14:solidFill>
                </w14:textFill>
              </w:rPr>
            </w:pPr>
            <w:r>
              <w:rPr>
                <w:rFonts w:hint="eastAsia" w:ascii="Times New Roman" w:hAnsi="Times New Roman" w:eastAsia="仿宋_GB2312" w:cs="仿宋_GB2312"/>
                <w:snapToGrid w:val="0"/>
                <w:color w:val="000000" w:themeColor="text1"/>
                <w:kern w:val="0"/>
                <w:sz w:val="24"/>
                <w14:textFill>
                  <w14:solidFill>
                    <w14:schemeClr w14:val="tx1"/>
                  </w14:solidFill>
                </w14:textFill>
              </w:rPr>
              <w:t>2.“无泄漏工厂”示范创建行动。深化无泄漏工厂创建，督促企业从源头落实防泄漏措施；科学开展消漏堵漏工作，将较大以上风险泄漏部位全部纳入双重预防常态管控。</w:t>
            </w:r>
          </w:p>
          <w:p w14:paraId="44D3F881">
            <w:pPr>
              <w:overflowPunct w:val="0"/>
              <w:autoSpaceDE w:val="0"/>
              <w:autoSpaceDN w:val="0"/>
              <w:snapToGrid w:val="0"/>
              <w:spacing w:line="380" w:lineRule="exact"/>
              <w:ind w:firstLine="480" w:firstLineChars="200"/>
              <w:rPr>
                <w:rFonts w:ascii="Times New Roman" w:hAnsi="Times New Roman" w:eastAsia="方正仿宋_GBK" w:cs="Times New Roman"/>
                <w:snapToGrid w:val="0"/>
                <w:color w:val="000000" w:themeColor="text1"/>
                <w:kern w:val="0"/>
                <w:sz w:val="24"/>
                <w14:textFill>
                  <w14:solidFill>
                    <w14:schemeClr w14:val="tx1"/>
                  </w14:solidFill>
                </w14:textFill>
              </w:rPr>
            </w:pPr>
            <w:r>
              <w:rPr>
                <w:rFonts w:hint="eastAsia" w:ascii="Times New Roman" w:hAnsi="Times New Roman" w:eastAsia="仿宋_GB2312" w:cs="仿宋_GB2312"/>
                <w:snapToGrid w:val="0"/>
                <w:color w:val="000000" w:themeColor="text1"/>
                <w:kern w:val="0"/>
                <w:sz w:val="24"/>
                <w14:textFill>
                  <w14:solidFill>
                    <w14:schemeClr w14:val="tx1"/>
                  </w14:solidFill>
                </w14:textFill>
              </w:rPr>
              <w:t>3.钢铁行业“</w:t>
            </w:r>
            <w:bookmarkStart w:id="53" w:name="OLE_LINK32"/>
            <w:r>
              <w:rPr>
                <w:rFonts w:hint="eastAsia" w:ascii="Times New Roman" w:hAnsi="Times New Roman" w:eastAsia="仿宋_GB2312" w:cs="仿宋_GB2312"/>
                <w:snapToGrid w:val="0"/>
                <w:color w:val="000000" w:themeColor="text1"/>
                <w:kern w:val="0"/>
                <w:sz w:val="24"/>
                <w14:textFill>
                  <w14:solidFill>
                    <w14:schemeClr w14:val="tx1"/>
                  </w14:solidFill>
                </w14:textFill>
              </w:rPr>
              <w:t>智慧冶炼</w:t>
            </w:r>
            <w:bookmarkEnd w:id="53"/>
            <w:r>
              <w:rPr>
                <w:rFonts w:hint="eastAsia" w:ascii="Times New Roman" w:hAnsi="Times New Roman" w:eastAsia="仿宋_GB2312" w:cs="仿宋_GB2312"/>
                <w:snapToGrid w:val="0"/>
                <w:color w:val="000000" w:themeColor="text1"/>
                <w:kern w:val="0"/>
                <w:sz w:val="24"/>
                <w14:textFill>
                  <w14:solidFill>
                    <w14:schemeClr w14:val="tx1"/>
                  </w14:solidFill>
                </w14:textFill>
              </w:rPr>
              <w:t>”提升行动。推动钢铁企业实现煤气柜远程值守，引导炼铁、炼钢等高危工序应用远程集控技术，推进高炉巡检等高危岗位机器人替代，鼓励运用熔融金属吊运智能脱挂钩技术，稳步提升各环节本质安全水平。</w:t>
            </w:r>
          </w:p>
        </w:tc>
      </w:tr>
      <w:bookmarkEnd w:id="14"/>
    </w:tbl>
    <w:p w14:paraId="2C5E6D35">
      <w:pPr>
        <w:pStyle w:val="3"/>
        <w:rPr>
          <w:color w:val="000000" w:themeColor="text1"/>
          <w14:textFill>
            <w14:solidFill>
              <w14:schemeClr w14:val="tx1"/>
            </w14:solidFill>
          </w14:textFill>
        </w:rPr>
      </w:pPr>
      <w:bookmarkStart w:id="54" w:name="_Toc217298333"/>
      <w:bookmarkStart w:id="55" w:name="_Toc16440"/>
      <w:bookmarkStart w:id="56" w:name="_Toc29778"/>
      <w:bookmarkStart w:id="57" w:name="_Toc232019502"/>
      <w:bookmarkStart w:id="58" w:name="_Toc227324412"/>
      <w:r>
        <w:rPr>
          <w:rFonts w:hint="eastAsia"/>
          <w:color w:val="000000" w:themeColor="text1"/>
          <w14:textFill>
            <w14:solidFill>
              <w14:schemeClr w14:val="tx1"/>
            </w14:solidFill>
          </w14:textFill>
        </w:rPr>
        <w:t>四、强化防灾减灾，</w:t>
      </w:r>
      <w:bookmarkEnd w:id="54"/>
      <w:bookmarkEnd w:id="55"/>
      <w:bookmarkEnd w:id="56"/>
      <w:r>
        <w:rPr>
          <w:rFonts w:hint="eastAsia"/>
          <w:color w:val="000000" w:themeColor="text1"/>
          <w14:textFill>
            <w14:solidFill>
              <w14:schemeClr w14:val="tx1"/>
            </w14:solidFill>
          </w14:textFill>
        </w:rPr>
        <w:t>提升救灾能力</w:t>
      </w:r>
      <w:bookmarkEnd w:id="57"/>
      <w:bookmarkEnd w:id="58"/>
    </w:p>
    <w:p w14:paraId="7C093508">
      <w:pPr>
        <w:pStyle w:val="4"/>
        <w:ind w:firstLine="640"/>
        <w:rPr>
          <w:rFonts w:hint="eastAsia"/>
        </w:rPr>
      </w:pPr>
      <w:bookmarkStart w:id="59" w:name="_Toc15318"/>
      <w:bookmarkStart w:id="60" w:name="_Toc230609196"/>
      <w:bookmarkStart w:id="61" w:name="_Toc229997127"/>
      <w:bookmarkStart w:id="62" w:name="_Toc227324413"/>
      <w:bookmarkStart w:id="63" w:name="_Toc232019503"/>
      <w:bookmarkStart w:id="64" w:name="_Toc217298334"/>
      <w:bookmarkStart w:id="65" w:name="OLE_LINK4"/>
      <w:r>
        <w:rPr>
          <w:rFonts w:hint="eastAsia" w:ascii="Times New Roman" w:hAnsi="Times New Roman"/>
          <w:color w:val="000000" w:themeColor="text1"/>
          <w14:textFill>
            <w14:solidFill>
              <w14:schemeClr w14:val="tx1"/>
            </w14:solidFill>
          </w14:textFill>
        </w:rPr>
        <w:t>（一）提升综合防灾能力</w:t>
      </w:r>
      <w:bookmarkEnd w:id="59"/>
      <w:bookmarkEnd w:id="60"/>
      <w:bookmarkEnd w:id="61"/>
      <w:bookmarkEnd w:id="62"/>
      <w:bookmarkEnd w:id="63"/>
    </w:p>
    <w:p w14:paraId="1E234EC6">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深化自然灾害综合风险普查结果应用，划定自然灾害风险控制线，明确重点防控区域。</w:t>
      </w:r>
      <w:bookmarkStart w:id="66" w:name="OLE_LINK23"/>
      <w:r>
        <w:rPr>
          <w:rFonts w:hint="eastAsia" w:ascii="Times New Roman" w:hAnsi="Times New Roman" w:eastAsia="仿宋_GB2312" w:cs="Times New Roman"/>
          <w:color w:val="000000" w:themeColor="text1"/>
          <w:sz w:val="32"/>
          <w:szCs w:val="32"/>
          <w14:textFill>
            <w14:solidFill>
              <w14:schemeClr w14:val="tx1"/>
            </w14:solidFill>
          </w14:textFill>
        </w:rPr>
        <w:t>细化明确</w:t>
      </w:r>
      <w:r>
        <w:rPr>
          <w:rFonts w:ascii="Times New Roman" w:hAnsi="Times New Roman" w:eastAsia="仿宋_GB2312" w:cs="Times New Roman"/>
          <w:color w:val="000000" w:themeColor="text1"/>
          <w:sz w:val="32"/>
          <w:szCs w:val="32"/>
          <w14:textFill>
            <w14:solidFill>
              <w14:schemeClr w14:val="tx1"/>
            </w14:solidFill>
          </w14:textFill>
        </w:rPr>
        <w:t>防灾减灾救灾议事协调机构</w:t>
      </w:r>
      <w:r>
        <w:rPr>
          <w:rFonts w:hint="eastAsia" w:ascii="Times New Roman" w:hAnsi="Times New Roman" w:eastAsia="仿宋_GB2312" w:cs="Times New Roman"/>
          <w:color w:val="000000" w:themeColor="text1"/>
          <w:sz w:val="32"/>
          <w:szCs w:val="32"/>
          <w14:textFill>
            <w14:solidFill>
              <w14:schemeClr w14:val="tx1"/>
            </w14:solidFill>
          </w14:textFill>
        </w:rPr>
        <w:t>相关部门职责任务分工，健全完善基层灾害性天气防范应对体系。推进苏州市森林火灾监测预警能力建设，升级改造重点林区通信基站，对重点林区开展智能视频监控和基站补盲。开展智慧森防建设，建成集无人机巡航、视频监控和地面巡护的立体林火预警监测体系。持续加强极端天气预报预警工作，依托智能网格预报技术构建从短临到中期分区、分时精细化预报产品集。</w:t>
      </w:r>
      <w:r>
        <w:rPr>
          <w:rFonts w:ascii="Times New Roman" w:hAnsi="Times New Roman" w:eastAsia="仿宋_GB2312" w:cs="Times New Roman"/>
          <w:color w:val="000000" w:themeColor="text1"/>
          <w:sz w:val="32"/>
          <w:szCs w:val="32"/>
          <w14:textFill>
            <w14:solidFill>
              <w14:schemeClr w14:val="tx1"/>
            </w14:solidFill>
          </w14:textFill>
        </w:rPr>
        <w:t>推动常熟市活动断层探测项目，综合研判孕震环境与发震能力。</w:t>
      </w:r>
      <w:r>
        <w:rPr>
          <w:rFonts w:hint="eastAsia" w:ascii="Times New Roman" w:hAnsi="Times New Roman" w:eastAsia="仿宋_GB2312" w:cs="Times New Roman"/>
          <w:color w:val="000000" w:themeColor="text1"/>
          <w:sz w:val="32"/>
          <w:szCs w:val="32"/>
          <w14:textFill>
            <w14:solidFill>
              <w14:schemeClr w14:val="tx1"/>
            </w14:solidFill>
          </w14:textFill>
        </w:rPr>
        <w:t>强化地震预警对更多城市基础设施的防护能力，将地震预警信息终端向关键行业延伸。持续强化信息发布“矩阵”，以“两直一白”为原则靶向推送预警信息。分级厘清部门“叫应”职责和联防联控措施。根据不同应急响应级别和气象灾害预警等级，优化“六停一转”工作机制。持续强化灾害信息员队伍建设，每个乡镇（街道）、村（社区）至少配备1名灾害信息员。</w:t>
      </w:r>
      <w:r>
        <w:rPr>
          <w:rFonts w:ascii="Times New Roman" w:hAnsi="Times New Roman" w:eastAsia="仿宋_GB2312" w:cs="Times New Roman"/>
          <w:color w:val="000000" w:themeColor="text1"/>
          <w:sz w:val="32"/>
          <w:szCs w:val="32"/>
          <w14:textFill>
            <w14:solidFill>
              <w14:schemeClr w14:val="tx1"/>
            </w14:solidFill>
          </w14:textFill>
        </w:rPr>
        <w:t>规范基层灾情信息报送和临灾避险转移工作</w:t>
      </w:r>
      <w:r>
        <w:rPr>
          <w:rFonts w:hint="eastAsia" w:ascii="Times New Roman" w:hAnsi="Times New Roman" w:eastAsia="仿宋_GB2312" w:cs="Times New Roman"/>
          <w:color w:val="000000" w:themeColor="text1"/>
          <w:sz w:val="32"/>
          <w:szCs w:val="32"/>
          <w14:textFill>
            <w14:solidFill>
              <w14:schemeClr w14:val="tx1"/>
            </w14:solidFill>
          </w14:textFill>
        </w:rPr>
        <w:t>，加大成功避险避灾典型案例的宣传通报力度。</w:t>
      </w:r>
    </w:p>
    <w:p w14:paraId="4B91C3F1">
      <w:pPr>
        <w:pStyle w:val="4"/>
        <w:ind w:firstLine="640"/>
        <w:rPr>
          <w:rFonts w:hint="eastAsia"/>
        </w:rPr>
      </w:pPr>
      <w:bookmarkStart w:id="67" w:name="_Toc230609197"/>
      <w:bookmarkStart w:id="68" w:name="_Toc232019504"/>
      <w:bookmarkStart w:id="69" w:name="_Toc227324414"/>
      <w:bookmarkStart w:id="70" w:name="_Toc13329"/>
      <w:bookmarkStart w:id="71" w:name="_Toc229997128"/>
      <w:r>
        <w:rPr>
          <w:rFonts w:hint="eastAsia" w:ascii="Times New Roman" w:hAnsi="Times New Roman"/>
          <w:color w:val="000000" w:themeColor="text1"/>
          <w14:textFill>
            <w14:solidFill>
              <w14:schemeClr w14:val="tx1"/>
            </w14:solidFill>
          </w14:textFill>
        </w:rPr>
        <w:t>（二）增强全域减灾韧性</w:t>
      </w:r>
      <w:bookmarkEnd w:id="67"/>
      <w:bookmarkEnd w:id="68"/>
      <w:bookmarkEnd w:id="69"/>
      <w:bookmarkEnd w:id="70"/>
      <w:bookmarkEnd w:id="71"/>
    </w:p>
    <w:p w14:paraId="66A7FA22">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更新、改造、升级防灾减灾薄弱环节基础设施，加强城市生命线工程改造提升。推进海绵城市建设，增强生态系统调蓄洪水、涵养水源、减缓灾害冲击的屏障功能。强化大流量移动泵车等排涝应急设备管理，加强下穿立交、涵洞、隧道等易涝点位的排水设施巡查维护和应急抢险力量部署。推动部分高灾害风险、高致灾、高灾损、低减灾能力县实施</w:t>
      </w:r>
      <w:bookmarkStart w:id="72" w:name="OLE_LINK13"/>
      <w:r>
        <w:rPr>
          <w:rFonts w:hint="eastAsia" w:ascii="Times New Roman" w:hAnsi="Times New Roman" w:eastAsia="仿宋_GB2312" w:cs="Times New Roman"/>
          <w:color w:val="000000" w:themeColor="text1"/>
          <w:sz w:val="32"/>
          <w:szCs w:val="32"/>
          <w14:textFill>
            <w14:solidFill>
              <w14:schemeClr w14:val="tx1"/>
            </w14:solidFill>
          </w14:textFill>
        </w:rPr>
        <w:t>综合防灾能力建设项目</w:t>
      </w:r>
      <w:bookmarkEnd w:id="72"/>
      <w:r>
        <w:rPr>
          <w:rFonts w:hint="eastAsia" w:ascii="Times New Roman" w:hAnsi="Times New Roman" w:eastAsia="仿宋_GB2312" w:cs="Times New Roman"/>
          <w:color w:val="000000" w:themeColor="text1"/>
          <w:sz w:val="32"/>
          <w:szCs w:val="32"/>
          <w14:textFill>
            <w14:solidFill>
              <w14:schemeClr w14:val="tx1"/>
            </w14:solidFill>
          </w14:textFill>
        </w:rPr>
        <w:t>。重点推进农村公路“生命防护工程”建设、地质灾害防治、集中供水安全提升。推进实施地震灾害损失预评估工作，提升地震灾害风险精细化动态评估能力。完善转移避</w:t>
      </w:r>
      <w:bookmarkStart w:id="73" w:name="OLE_LINK18"/>
      <w:r>
        <w:rPr>
          <w:rFonts w:hint="eastAsia" w:ascii="Times New Roman" w:hAnsi="Times New Roman" w:eastAsia="仿宋_GB2312" w:cs="Times New Roman"/>
          <w:color w:val="000000" w:themeColor="text1"/>
          <w:sz w:val="32"/>
          <w:szCs w:val="32"/>
          <w14:textFill>
            <w14:solidFill>
              <w14:schemeClr w14:val="tx1"/>
            </w14:solidFill>
          </w14:textFill>
        </w:rPr>
        <w:t>险工作方案，</w:t>
      </w:r>
      <w:bookmarkEnd w:id="73"/>
      <w:r>
        <w:rPr>
          <w:rFonts w:hint="eastAsia" w:ascii="Times New Roman" w:hAnsi="Times New Roman" w:eastAsia="仿宋_GB2312" w:cs="Times New Roman"/>
          <w:color w:val="000000" w:themeColor="text1"/>
          <w:sz w:val="32"/>
          <w:szCs w:val="32"/>
          <w14:textFill>
            <w14:solidFill>
              <w14:schemeClr w14:val="tx1"/>
            </w14:solidFill>
          </w14:textFill>
        </w:rPr>
        <w:t>强化全流程管控。</w:t>
      </w:r>
      <w:r>
        <w:rPr>
          <w:rFonts w:ascii="Times New Roman" w:hAnsi="Times New Roman" w:eastAsia="仿宋_GB2312" w:cs="Times New Roman"/>
          <w:color w:val="000000" w:themeColor="text1"/>
          <w:sz w:val="32"/>
          <w:szCs w:val="32"/>
          <w14:textFill>
            <w14:solidFill>
              <w14:schemeClr w14:val="tx1"/>
            </w14:solidFill>
          </w14:textFill>
        </w:rPr>
        <w:t>发挥保险、金融、科技企业作用，构建政府主导、社会参与、市场支撑的综合减灾体系</w:t>
      </w:r>
      <w:r>
        <w:rPr>
          <w:rFonts w:hint="eastAsia" w:ascii="Times New Roman" w:hAnsi="Times New Roman" w:eastAsia="仿宋_GB2312" w:cs="Times New Roman"/>
          <w:color w:val="000000" w:themeColor="text1"/>
          <w:sz w:val="32"/>
          <w:szCs w:val="32"/>
          <w14:textFill>
            <w14:solidFill>
              <w14:schemeClr w14:val="tx1"/>
            </w14:solidFill>
          </w14:textFill>
        </w:rPr>
        <w:t>。</w:t>
      </w:r>
    </w:p>
    <w:p w14:paraId="5533DD5E">
      <w:pPr>
        <w:pStyle w:val="4"/>
        <w:ind w:firstLine="640"/>
        <w:rPr>
          <w:rFonts w:hint="eastAsia"/>
        </w:rPr>
      </w:pPr>
      <w:bookmarkStart w:id="74" w:name="_Toc230609198"/>
      <w:bookmarkStart w:id="75" w:name="_Toc232019505"/>
      <w:bookmarkStart w:id="76" w:name="_Toc227324415"/>
      <w:bookmarkStart w:id="77" w:name="_Toc27132"/>
      <w:bookmarkStart w:id="78" w:name="_Toc229997129"/>
      <w:r>
        <w:rPr>
          <w:rFonts w:hint="eastAsia" w:ascii="Times New Roman" w:hAnsi="Times New Roman"/>
          <w:color w:val="000000" w:themeColor="text1"/>
          <w14:textFill>
            <w14:solidFill>
              <w14:schemeClr w14:val="tx1"/>
            </w14:solidFill>
          </w14:textFill>
        </w:rPr>
        <w:t>（三）强化科学救灾质效</w:t>
      </w:r>
      <w:bookmarkEnd w:id="74"/>
      <w:bookmarkEnd w:id="75"/>
      <w:bookmarkEnd w:id="76"/>
      <w:bookmarkEnd w:id="77"/>
      <w:bookmarkEnd w:id="78"/>
    </w:p>
    <w:bookmarkEnd w:id="66"/>
    <w:p w14:paraId="6D41DDAF">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因地制宜加强各级应急物资储备库</w:t>
      </w:r>
      <w:bookmarkStart w:id="79" w:name="OLE_LINK29"/>
      <w:r>
        <w:rPr>
          <w:rFonts w:hint="eastAsia" w:ascii="Times New Roman" w:hAnsi="Times New Roman" w:eastAsia="仿宋_GB2312" w:cs="Times New Roman"/>
          <w:color w:val="000000" w:themeColor="text1"/>
          <w:sz w:val="32"/>
          <w:szCs w:val="32"/>
          <w14:textFill>
            <w14:solidFill>
              <w14:schemeClr w14:val="tx1"/>
            </w14:solidFill>
          </w14:textFill>
        </w:rPr>
        <w:t>（点）建设和改造升级，鼓励各地加大应急物资前置力度。明确</w:t>
      </w:r>
      <w:bookmarkEnd w:id="79"/>
      <w:r>
        <w:rPr>
          <w:rFonts w:hint="eastAsia" w:ascii="Times New Roman" w:hAnsi="Times New Roman" w:eastAsia="仿宋_GB2312" w:cs="Times New Roman"/>
          <w:color w:val="000000" w:themeColor="text1"/>
          <w:sz w:val="32"/>
          <w:szCs w:val="32"/>
          <w14:textFill>
            <w14:solidFill>
              <w14:schemeClr w14:val="tx1"/>
            </w14:solidFill>
          </w14:textFill>
        </w:rPr>
        <w:t>各类</w:t>
      </w:r>
      <w:r>
        <w:rPr>
          <w:rFonts w:ascii="Times New Roman" w:hAnsi="Times New Roman" w:eastAsia="仿宋_GB2312" w:cs="Times New Roman"/>
          <w:color w:val="000000" w:themeColor="text1"/>
          <w:sz w:val="32"/>
          <w:szCs w:val="32"/>
          <w14:textFill>
            <w14:solidFill>
              <w14:schemeClr w14:val="tx1"/>
            </w14:solidFill>
          </w14:textFill>
        </w:rPr>
        <w:t>储备</w:t>
      </w:r>
      <w:r>
        <w:rPr>
          <w:rFonts w:hint="eastAsia" w:ascii="Times New Roman" w:hAnsi="Times New Roman" w:eastAsia="仿宋_GB2312" w:cs="Times New Roman"/>
          <w:color w:val="000000" w:themeColor="text1"/>
          <w:sz w:val="32"/>
          <w:szCs w:val="32"/>
          <w14:textFill>
            <w14:solidFill>
              <w14:schemeClr w14:val="tx1"/>
            </w14:solidFill>
          </w14:textFill>
        </w:rPr>
        <w:t>物资装备的</w:t>
      </w:r>
      <w:r>
        <w:rPr>
          <w:rFonts w:ascii="Times New Roman" w:hAnsi="Times New Roman" w:eastAsia="仿宋_GB2312" w:cs="Times New Roman"/>
          <w:color w:val="000000" w:themeColor="text1"/>
          <w:sz w:val="32"/>
          <w:szCs w:val="32"/>
          <w14:textFill>
            <w14:solidFill>
              <w14:schemeClr w14:val="tx1"/>
            </w14:solidFill>
          </w14:textFill>
        </w:rPr>
        <w:t>储备模式</w:t>
      </w:r>
      <w:r>
        <w:rPr>
          <w:rFonts w:hint="eastAsia" w:ascii="Times New Roman" w:hAnsi="Times New Roman" w:eastAsia="仿宋_GB2312" w:cs="Times New Roman"/>
          <w:color w:val="000000" w:themeColor="text1"/>
          <w:sz w:val="32"/>
          <w:szCs w:val="32"/>
          <w14:textFill>
            <w14:solidFill>
              <w14:schemeClr w14:val="tx1"/>
            </w14:solidFill>
          </w14:textFill>
        </w:rPr>
        <w:t>和配置标准，建立物资全链条全生命周期保障机制，建立物资协同管理平台，优化物资储备布局和品种，健全完善到期处置制度。完善市、县两级应急物资调拨体系和调拨规程，加强应急物资运输保障力量建设。探索推动既有物流设施嵌入应急功能，统筹加强应急物资储备设施和应急物流设施的衔接。健全自然灾害救助机制，加强灾前风险减量、灾中应急处置和灾后恢复重建联动，精准开展舆论引导。健全完善市县乡村四级自然灾害救助应急预案体系，科学制定灾后恢复重建规划，制定完善受灾群众救助安置机制。构建应急避难场所体系，设计布局适宜类型的应急避难场所，</w:t>
      </w:r>
      <w:r>
        <w:rPr>
          <w:rFonts w:ascii="Times New Roman" w:hAnsi="Times New Roman" w:eastAsia="仿宋_GB2312" w:cs="Times New Roman"/>
          <w:color w:val="000000" w:themeColor="text1"/>
          <w:sz w:val="32"/>
          <w:szCs w:val="32"/>
          <w14:textFill>
            <w14:solidFill>
              <w14:schemeClr w14:val="tx1"/>
            </w14:solidFill>
          </w14:textFill>
        </w:rPr>
        <w:t>强化应急避难场所规范化建设。</w:t>
      </w:r>
      <w:r>
        <w:rPr>
          <w:rFonts w:hint="eastAsia" w:ascii="Times New Roman" w:hAnsi="Times New Roman" w:eastAsia="仿宋_GB2312" w:cs="Times New Roman"/>
          <w:color w:val="000000" w:themeColor="text1"/>
          <w:sz w:val="32"/>
          <w:szCs w:val="32"/>
          <w14:textFill>
            <w14:solidFill>
              <w14:schemeClr w14:val="tx1"/>
            </w14:solidFill>
          </w14:textFill>
        </w:rPr>
        <w:t>加强存量应急避难场所提升改造、管理维护，合理利用各类应急避难资源，对适宜的公共设施开展“平急两用”改造。</w:t>
      </w:r>
    </w:p>
    <w:tbl>
      <w:tblPr>
        <w:tblStyle w:val="15"/>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11FA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34" w:type="dxa"/>
            <w:vAlign w:val="center"/>
          </w:tcPr>
          <w:p w14:paraId="12E262EF">
            <w:pPr>
              <w:adjustRightInd w:val="0"/>
              <w:snapToGrid w:val="0"/>
              <w:jc w:val="center"/>
              <w:rPr>
                <w:rFonts w:ascii="Times New Roman" w:hAnsi="Times New Roman" w:eastAsia="方正黑体_GBK" w:cs="Times New Roman"/>
                <w:snapToGrid w:val="0"/>
                <w:color w:val="000000" w:themeColor="text1"/>
                <w:kern w:val="0"/>
                <w:sz w:val="24"/>
                <w:szCs w:val="20"/>
                <w14:textFill>
                  <w14:solidFill>
                    <w14:schemeClr w14:val="tx1"/>
                  </w14:solidFill>
                </w14:textFill>
              </w:rPr>
            </w:pPr>
            <w:r>
              <w:rPr>
                <w:rFonts w:hint="eastAsia" w:ascii="Times New Roman" w:hAnsi="Times New Roman" w:eastAsia="方正黑体_GBK" w:cs="Times New Roman"/>
                <w:color w:val="000000" w:themeColor="text1"/>
                <w:sz w:val="24"/>
                <w14:textFill>
                  <w14:solidFill>
                    <w14:schemeClr w14:val="tx1"/>
                  </w14:solidFill>
                </w14:textFill>
              </w:rPr>
              <w:t>专栏</w:t>
            </w:r>
            <w:r>
              <w:rPr>
                <w:rFonts w:ascii="Times New Roman" w:hAnsi="Times New Roman" w:eastAsia="方正黑体_GBK" w:cs="Times New Roman"/>
                <w:color w:val="000000" w:themeColor="text1"/>
                <w:sz w:val="24"/>
                <w14:textFill>
                  <w14:solidFill>
                    <w14:schemeClr w14:val="tx1"/>
                  </w14:solidFill>
                </w14:textFill>
              </w:rPr>
              <w:t xml:space="preserve">4 </w:t>
            </w:r>
            <w:r>
              <w:rPr>
                <w:rFonts w:hint="eastAsia" w:ascii="Times New Roman" w:hAnsi="Times New Roman" w:eastAsia="方正黑体_GBK" w:cs="Times New Roman"/>
                <w:color w:val="000000" w:themeColor="text1"/>
                <w:sz w:val="24"/>
                <w14:textFill>
                  <w14:solidFill>
                    <w14:schemeClr w14:val="tx1"/>
                  </w14:solidFill>
                </w14:textFill>
              </w:rPr>
              <w:t>监测预警升级工程</w:t>
            </w:r>
          </w:p>
        </w:tc>
      </w:tr>
      <w:tr w14:paraId="17D2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4" w:type="dxa"/>
          </w:tcPr>
          <w:p w14:paraId="46D31A54">
            <w:pPr>
              <w:overflowPunct w:val="0"/>
              <w:autoSpaceDE w:val="0"/>
              <w:autoSpaceDN w:val="0"/>
              <w:snapToGrid w:val="0"/>
              <w:spacing w:line="380" w:lineRule="exact"/>
              <w:ind w:firstLine="480" w:firstLineChars="200"/>
              <w:rPr>
                <w:rFonts w:ascii="Times New Roman" w:hAnsi="Times New Roman" w:eastAsia="宋体" w:cs="Times New Roman"/>
                <w:snapToGrid w:val="0"/>
                <w:color w:val="000000" w:themeColor="text1"/>
                <w:kern w:val="0"/>
                <w:sz w:val="24"/>
                <w14:textFill>
                  <w14:solidFill>
                    <w14:schemeClr w14:val="tx1"/>
                  </w14:solidFill>
                </w14:textFill>
              </w:rPr>
            </w:pPr>
            <w:r>
              <w:rPr>
                <w:rFonts w:ascii="Times Newer Roman" w:hAnsi="Times Newer Roman" w:eastAsia="仿宋_GB2312" w:cs="仿宋_GB2312"/>
                <w:snapToGrid w:val="0"/>
                <w:color w:val="000000" w:themeColor="text1"/>
                <w:kern w:val="0"/>
                <w:sz w:val="24"/>
                <w14:textFill>
                  <w14:solidFill>
                    <w14:schemeClr w14:val="tx1"/>
                  </w14:solidFill>
                </w14:textFill>
              </w:rPr>
              <w:t>1</w:t>
            </w:r>
            <w:r>
              <w:rPr>
                <w:rFonts w:hint="eastAsia" w:ascii="Times New Roman" w:hAnsi="Times New Roman" w:eastAsia="仿宋_GB2312" w:cs="仿宋_GB2312"/>
                <w:snapToGrid w:val="0"/>
                <w:color w:val="000000" w:themeColor="text1"/>
                <w:kern w:val="0"/>
                <w:sz w:val="24"/>
                <w14:textFill>
                  <w14:solidFill>
                    <w14:schemeClr w14:val="tx1"/>
                  </w14:solidFill>
                </w14:textFill>
              </w:rPr>
              <w:t>.化工园区安全风险智能化管控平台建设。</w:t>
            </w:r>
            <w:r>
              <w:rPr>
                <w:rFonts w:hint="eastAsia" w:ascii="仿宋_GB2312" w:hAnsi="仿宋_GB2312" w:eastAsia="仿宋_GB2312" w:cs="仿宋_GB2312"/>
                <w:snapToGrid w:val="0"/>
                <w:color w:val="000000" w:themeColor="text1"/>
                <w:kern w:val="0"/>
                <w:sz w:val="24"/>
                <w14:textFill>
                  <w14:solidFill>
                    <w14:schemeClr w14:val="tx1"/>
                  </w14:solidFill>
                </w14:textFill>
              </w:rPr>
              <w:t>推动各化工园区建立安全风险智能化管控平台应用管理制度，明确园区主要负责人及管理人员应用职责，以及安全基础管理</w:t>
            </w:r>
            <w:r>
              <w:rPr>
                <w:rFonts w:hint="eastAsia" w:ascii="Times New Roman" w:hAnsi="Times New Roman" w:eastAsia="仿宋_GB2312" w:cs="仿宋_GB2312"/>
                <w:snapToGrid w:val="0"/>
                <w:color w:val="000000" w:themeColor="text1"/>
                <w:kern w:val="0"/>
                <w:sz w:val="24"/>
                <w14:textFill>
                  <w14:solidFill>
                    <w14:schemeClr w14:val="tx1"/>
                  </w14:solidFill>
                </w14:textFill>
              </w:rPr>
              <w:t>、重大危险源、</w:t>
            </w:r>
            <w:r>
              <w:rPr>
                <w:rFonts w:hint="eastAsia" w:ascii="仿宋_GB2312" w:hAnsi="仿宋_GB2312" w:eastAsia="仿宋_GB2312" w:cs="仿宋_GB2312"/>
                <w:snapToGrid w:val="0"/>
                <w:color w:val="000000" w:themeColor="text1"/>
                <w:kern w:val="0"/>
                <w:sz w:val="24"/>
                <w14:textFill>
                  <w14:solidFill>
                    <w14:schemeClr w14:val="tx1"/>
                  </w14:solidFill>
                </w14:textFill>
              </w:rPr>
              <w:t>双重预防机制、特殊作业管理、封闭化管理和敏捷应急等功能模块应用基本任务，推动真建真用</w:t>
            </w:r>
            <w:r>
              <w:rPr>
                <w:rFonts w:hint="eastAsia" w:ascii="Times New Roman" w:hAnsi="Times New Roman" w:eastAsia="仿宋_GB2312" w:cs="仿宋_GB2312"/>
                <w:snapToGrid w:val="0"/>
                <w:color w:val="000000" w:themeColor="text1"/>
                <w:kern w:val="0"/>
                <w:sz w:val="24"/>
                <w14:textFill>
                  <w14:solidFill>
                    <w14:schemeClr w14:val="tx1"/>
                  </w14:solidFill>
                </w14:textFill>
              </w:rPr>
              <w:t>。</w:t>
            </w:r>
          </w:p>
          <w:p w14:paraId="2BA5EF18">
            <w:pPr>
              <w:overflowPunct w:val="0"/>
              <w:autoSpaceDE w:val="0"/>
              <w:autoSpaceDN w:val="0"/>
              <w:snapToGrid w:val="0"/>
              <w:spacing w:line="380" w:lineRule="exact"/>
              <w:ind w:firstLine="480" w:firstLineChars="200"/>
              <w:rPr>
                <w:rFonts w:ascii="Times New Roman" w:hAnsi="Times New Roman" w:eastAsia="方正仿宋_GBK" w:cs="Times New Roman"/>
                <w:snapToGrid w:val="0"/>
                <w:color w:val="000000" w:themeColor="text1"/>
                <w:kern w:val="0"/>
                <w:sz w:val="24"/>
                <w14:textFill>
                  <w14:solidFill>
                    <w14:schemeClr w14:val="tx1"/>
                  </w14:solidFill>
                </w14:textFill>
              </w:rPr>
            </w:pPr>
            <w:r>
              <w:rPr>
                <w:rFonts w:ascii="Times Newer Roman" w:hAnsi="Times Newer Roman" w:eastAsia="仿宋_GB2312" w:cs="仿宋_GB2312"/>
                <w:snapToGrid w:val="0"/>
                <w:color w:val="000000" w:themeColor="text1"/>
                <w:kern w:val="0"/>
                <w:sz w:val="24"/>
                <w14:textFill>
                  <w14:solidFill>
                    <w14:schemeClr w14:val="tx1"/>
                  </w14:solidFill>
                </w14:textFill>
              </w:rPr>
              <w:t>2</w:t>
            </w:r>
            <w:r>
              <w:rPr>
                <w:rFonts w:hint="eastAsia" w:ascii="仿宋_GB2312" w:hAnsi="仿宋_GB2312" w:eastAsia="仿宋_GB2312" w:cs="仿宋_GB2312"/>
                <w:snapToGrid w:val="0"/>
                <w:color w:val="000000" w:themeColor="text1"/>
                <w:kern w:val="0"/>
                <w:sz w:val="24"/>
                <w14:textFill>
                  <w14:solidFill>
                    <w14:schemeClr w14:val="tx1"/>
                  </w14:solidFill>
                </w14:textFill>
              </w:rPr>
              <w:t>.重点领域安全生产风险监测预警系统提档升级建设。强化钢铁、铝加工(深井铸造)、粉尘涉爆等行业领域重点部位和关键环节的风险防控，提升温度、压力、液位、有毒有害气体等关键指标物联感知能力，实现安全生产风险实时监测、动态预警、智能研判和及时处置。并结合生产经营单位实际，积极探索运用</w:t>
            </w:r>
            <w:r>
              <w:rPr>
                <w:rFonts w:ascii="Times Newer Roman" w:hAnsi="Times Newer Roman" w:eastAsia="仿宋_GB2312" w:cs="仿宋_GB2312"/>
                <w:snapToGrid w:val="0"/>
                <w:color w:val="000000" w:themeColor="text1"/>
                <w:kern w:val="0"/>
                <w:sz w:val="24"/>
                <w14:textFill>
                  <w14:solidFill>
                    <w14:schemeClr w14:val="tx1"/>
                  </w14:solidFill>
                </w14:textFill>
              </w:rPr>
              <w:t>AI</w:t>
            </w:r>
            <w:r>
              <w:rPr>
                <w:rFonts w:hint="eastAsia" w:ascii="仿宋_GB2312" w:hAnsi="仿宋_GB2312" w:eastAsia="仿宋_GB2312" w:cs="仿宋_GB2312"/>
                <w:snapToGrid w:val="0"/>
                <w:color w:val="000000" w:themeColor="text1"/>
                <w:kern w:val="0"/>
                <w:sz w:val="24"/>
                <w14:textFill>
                  <w14:solidFill>
                    <w14:schemeClr w14:val="tx1"/>
                  </w14:solidFill>
                </w14:textFill>
              </w:rPr>
              <w:t>智能设备等新技术，不断提升企业安全管理的信息化、智能化水平。在“厂中厂”领域试点电弧检测等物联感知设备，实现电气火灾等风险的早期预警；在有限空间领域试点配备</w:t>
            </w:r>
            <w:r>
              <w:rPr>
                <w:rFonts w:ascii="Times Newer Roman" w:hAnsi="Times Newer Roman" w:eastAsia="仿宋_GB2312" w:cs="仿宋_GB2312"/>
                <w:snapToGrid w:val="0"/>
                <w:color w:val="000000" w:themeColor="text1"/>
                <w:kern w:val="0"/>
                <w:sz w:val="24"/>
                <w14:textFill>
                  <w14:solidFill>
                    <w14:schemeClr w14:val="tx1"/>
                  </w14:solidFill>
                </w14:textFill>
              </w:rPr>
              <w:t>AI</w:t>
            </w:r>
            <w:r>
              <w:rPr>
                <w:rFonts w:hint="eastAsia" w:ascii="仿宋_GB2312" w:hAnsi="仿宋_GB2312" w:eastAsia="仿宋_GB2312" w:cs="仿宋_GB2312"/>
                <w:snapToGrid w:val="0"/>
                <w:color w:val="000000" w:themeColor="text1"/>
                <w:kern w:val="0"/>
                <w:sz w:val="24"/>
                <w14:textFill>
                  <w14:solidFill>
                    <w14:schemeClr w14:val="tx1"/>
                  </w14:solidFill>
                </w14:textFill>
              </w:rPr>
              <w:t>视频监控，进一步防范违章作业风险;在涉锂电池行业试点安装红外感温设备，提高极早期火灾预警能力。</w:t>
            </w:r>
          </w:p>
        </w:tc>
      </w:tr>
    </w:tbl>
    <w:p w14:paraId="4EF001D9">
      <w:pPr>
        <w:pStyle w:val="3"/>
        <w:rPr>
          <w:color w:val="000000" w:themeColor="text1"/>
          <w14:textFill>
            <w14:solidFill>
              <w14:schemeClr w14:val="tx1"/>
            </w14:solidFill>
          </w14:textFill>
        </w:rPr>
      </w:pPr>
      <w:bookmarkStart w:id="80" w:name="_Toc21189"/>
      <w:bookmarkStart w:id="81" w:name="_Toc232019506"/>
      <w:bookmarkStart w:id="82" w:name="_Toc227324416"/>
      <w:r>
        <w:rPr>
          <w:rFonts w:hint="eastAsia"/>
          <w:color w:val="000000" w:themeColor="text1"/>
          <w14:textFill>
            <w14:solidFill>
              <w14:schemeClr w14:val="tx1"/>
            </w14:solidFill>
          </w14:textFill>
        </w:rPr>
        <w:t>五、推进综合治理，</w:t>
      </w:r>
      <w:bookmarkEnd w:id="80"/>
      <w:r>
        <w:rPr>
          <w:rFonts w:hint="eastAsia"/>
          <w:color w:val="000000" w:themeColor="text1"/>
          <w14:textFill>
            <w14:solidFill>
              <w14:schemeClr w14:val="tx1"/>
            </w14:solidFill>
          </w14:textFill>
        </w:rPr>
        <w:t>壮大消防力量</w:t>
      </w:r>
      <w:bookmarkEnd w:id="81"/>
    </w:p>
    <w:p w14:paraId="20F18517">
      <w:pPr>
        <w:pStyle w:val="4"/>
        <w:ind w:firstLine="640"/>
        <w:rPr>
          <w:rFonts w:hint="eastAsia"/>
        </w:rPr>
      </w:pPr>
      <w:bookmarkStart w:id="83" w:name="_Toc230609200"/>
      <w:bookmarkStart w:id="84" w:name="_Toc9008"/>
      <w:bookmarkStart w:id="85" w:name="_Toc232019507"/>
      <w:bookmarkStart w:id="86" w:name="OLE_LINK124"/>
      <w:bookmarkStart w:id="87" w:name="OLE_LINK123"/>
      <w:bookmarkStart w:id="88" w:name="_Toc229997131"/>
      <w:bookmarkStart w:id="89" w:name="_Toc3749"/>
      <w:r>
        <w:rPr>
          <w:rFonts w:hint="eastAsia" w:ascii="Times New Roman" w:hAnsi="Times New Roman"/>
          <w:color w:val="000000" w:themeColor="text1"/>
          <w14:textFill>
            <w14:solidFill>
              <w14:schemeClr w14:val="tx1"/>
            </w14:solidFill>
          </w14:textFill>
        </w:rPr>
        <w:t>（一）健全消防安全综合治理体系</w:t>
      </w:r>
      <w:bookmarkEnd w:id="83"/>
      <w:bookmarkEnd w:id="84"/>
      <w:bookmarkEnd w:id="85"/>
      <w:bookmarkEnd w:id="86"/>
      <w:bookmarkEnd w:id="87"/>
      <w:bookmarkEnd w:id="88"/>
      <w:bookmarkEnd w:id="89"/>
    </w:p>
    <w:p w14:paraId="1E6F31BF">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推动消防安全治理由事后处置向事前主动预防转型，对接省级</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驯火</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预警系统，持续深化</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火眼</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风险预测系统运用，把风险预警同</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双随机、一公开</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、专项整治、单位自查深度融合。深化化工园区、产业园等重点区域消防安全治理，强化</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高地大化</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、文物古建及历史街区火灾防控。强化大型综合体、危险化学品企业风险评估和管控，督促落实专业化管理。持续深化 “331” 专项治理机制，全力推动出租房（群租房）、“三合一” 场所、小餐饮等重点区域隐患动态清零。</w:t>
      </w:r>
    </w:p>
    <w:p w14:paraId="2AD41E84">
      <w:pPr>
        <w:pStyle w:val="4"/>
        <w:ind w:firstLine="640"/>
        <w:rPr>
          <w:rFonts w:hint="eastAsia"/>
          <w:b/>
          <w:bCs/>
        </w:rPr>
      </w:pPr>
      <w:bookmarkStart w:id="90" w:name="_Toc229997133"/>
      <w:bookmarkStart w:id="91" w:name="_Toc3078"/>
      <w:bookmarkStart w:id="92" w:name="_Toc230609201"/>
      <w:bookmarkStart w:id="93" w:name="_Toc232019508"/>
      <w:bookmarkStart w:id="94" w:name="_Toc29919"/>
      <w:r>
        <w:rPr>
          <w:rFonts w:hint="eastAsia" w:ascii="Times New Roman" w:hAnsi="Times New Roman"/>
          <w:color w:val="000000" w:themeColor="text1"/>
          <w14:textFill>
            <w14:solidFill>
              <w14:schemeClr w14:val="tx1"/>
            </w14:solidFill>
          </w14:textFill>
        </w:rPr>
        <w:t>（二）筑牢公共消防安全基础设施</w:t>
      </w:r>
      <w:bookmarkEnd w:id="90"/>
      <w:bookmarkEnd w:id="91"/>
      <w:bookmarkEnd w:id="92"/>
      <w:bookmarkEnd w:id="93"/>
      <w:bookmarkEnd w:id="94"/>
    </w:p>
    <w:p w14:paraId="1B25187C">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优化消防站布局提升消防救援到场效率。坚持“建强中心站、建密小型站”建设思路，科学划定消防站辖区范围。严格落实消防水源配套建设标准，补齐老旧区域设施短板。推动住建、城管、水务等部门协同管护，全面构建市政消防水源科学建设、智能管控、高效运维的一体化闭环管理体系。积极保障消防车通道畅通，完善标准化取水码头布局。</w:t>
      </w:r>
      <w:bookmarkStart w:id="183" w:name="_GoBack"/>
      <w:bookmarkEnd w:id="183"/>
    </w:p>
    <w:p w14:paraId="79290C48">
      <w:pPr>
        <w:pStyle w:val="4"/>
        <w:ind w:firstLine="640"/>
        <w:rPr>
          <w:rFonts w:hint="eastAsia"/>
        </w:rPr>
      </w:pPr>
      <w:bookmarkStart w:id="95" w:name="_Toc232019509"/>
      <w:bookmarkStart w:id="96" w:name="_Toc230609202"/>
      <w:bookmarkStart w:id="97" w:name="_Toc229997134"/>
      <w:bookmarkStart w:id="98" w:name="_Toc29653"/>
      <w:bookmarkStart w:id="99" w:name="_Toc19769"/>
      <w:r>
        <w:rPr>
          <w:rFonts w:hint="eastAsia" w:ascii="Times New Roman" w:hAnsi="Times New Roman"/>
          <w:color w:val="000000" w:themeColor="text1"/>
          <w14:textFill>
            <w14:solidFill>
              <w14:schemeClr w14:val="tx1"/>
            </w14:solidFill>
          </w14:textFill>
        </w:rPr>
        <w:t>（三）完善现代化装备与战勤保障</w:t>
      </w:r>
      <w:bookmarkEnd w:id="95"/>
      <w:bookmarkEnd w:id="96"/>
      <w:bookmarkEnd w:id="97"/>
      <w:bookmarkEnd w:id="98"/>
      <w:bookmarkEnd w:id="99"/>
    </w:p>
    <w:p w14:paraId="367BB6B4">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面向基层需求定期升级更新装备器材。针对高层建筑、化工园区、地下空间等救援难度大、作业环境复杂的场所，配备前沿特种装备。将消防车辆装备建设纳入老旧消防站改建和新建消防站工程同步配套。推进机器人集群应用，提升无人化替代作战能力。在高风险场景推广灭火、排烟、侦检机器人等无人化装备，形成</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人机协同</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作战模式。统筹布局覆盖全市的战勤保障物资储备网络，依托特勤消防站或战勤保障中心，配强模块化保障单元。</w:t>
      </w:r>
    </w:p>
    <w:bookmarkEnd w:id="64"/>
    <w:bookmarkEnd w:id="65"/>
    <w:p w14:paraId="72BE8121">
      <w:pPr>
        <w:pStyle w:val="3"/>
        <w:rPr>
          <w:color w:val="000000" w:themeColor="text1"/>
          <w14:textFill>
            <w14:solidFill>
              <w14:schemeClr w14:val="tx1"/>
            </w14:solidFill>
          </w14:textFill>
        </w:rPr>
      </w:pPr>
      <w:bookmarkStart w:id="100" w:name="_Toc217298337"/>
      <w:bookmarkStart w:id="101" w:name="_Toc26582"/>
      <w:bookmarkStart w:id="102" w:name="_Toc4260"/>
      <w:bookmarkStart w:id="103" w:name="_Toc232019510"/>
      <w:r>
        <w:rPr>
          <w:rFonts w:hint="eastAsia"/>
          <w:color w:val="000000" w:themeColor="text1"/>
          <w14:textFill>
            <w14:solidFill>
              <w14:schemeClr w14:val="tx1"/>
            </w14:solidFill>
          </w14:textFill>
        </w:rPr>
        <w:t>六、夯实应急基础，提升处置效能</w:t>
      </w:r>
      <w:bookmarkEnd w:id="82"/>
      <w:bookmarkEnd w:id="100"/>
      <w:bookmarkEnd w:id="101"/>
      <w:bookmarkEnd w:id="102"/>
      <w:bookmarkEnd w:id="103"/>
    </w:p>
    <w:p w14:paraId="1569A728">
      <w:pPr>
        <w:pStyle w:val="4"/>
        <w:ind w:firstLine="640"/>
        <w:rPr>
          <w:rFonts w:hint="eastAsia"/>
        </w:rPr>
      </w:pPr>
      <w:bookmarkStart w:id="104" w:name="_Toc23256"/>
      <w:bookmarkStart w:id="105" w:name="_Toc227324417"/>
      <w:bookmarkStart w:id="106" w:name="_Toc217298338"/>
      <w:bookmarkStart w:id="107" w:name="_Toc230609204"/>
      <w:bookmarkStart w:id="108" w:name="_Toc229997136"/>
      <w:bookmarkStart w:id="109" w:name="_Toc232019511"/>
      <w:r>
        <w:rPr>
          <w:rFonts w:hint="eastAsia" w:ascii="Times New Roman" w:hAnsi="Times New Roman"/>
          <w:color w:val="000000" w:themeColor="text1"/>
          <w14:textFill>
            <w14:solidFill>
              <w14:schemeClr w14:val="tx1"/>
            </w14:solidFill>
          </w14:textFill>
        </w:rPr>
        <w:t>（一）完善应急指挥体系</w:t>
      </w:r>
      <w:bookmarkEnd w:id="104"/>
      <w:bookmarkEnd w:id="105"/>
      <w:bookmarkEnd w:id="106"/>
      <w:bookmarkEnd w:id="107"/>
      <w:bookmarkEnd w:id="108"/>
      <w:bookmarkEnd w:id="109"/>
    </w:p>
    <w:p w14:paraId="206348D3">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高标准建设市、县级市（区）应急管理指挥部，完善板块指挥室功能建设，强化应急指挥部与现场指挥协同，常态化开展应急管理与消防救援部门联合值守，重点时段动态开展会商研判和调度。严格落实信息报告要求，构建地方报送、部门共享、舆情监测、技术感知信息网络。优化应急指挥数智化系统，完善指挥流程、操作规范和响应手册。有效衔接国家、省级预案，修订《苏州市突发事件应急总体预案》，</w:t>
      </w:r>
      <w:r>
        <w:rPr>
          <w:rFonts w:ascii="Times New Roman" w:hAnsi="Times New Roman" w:eastAsia="仿宋_GB2312" w:cs="Times New Roman"/>
          <w:color w:val="000000" w:themeColor="text1"/>
          <w:sz w:val="32"/>
          <w:szCs w:val="32"/>
          <w14:textFill>
            <w14:solidFill>
              <w14:schemeClr w14:val="tx1"/>
            </w14:solidFill>
          </w14:textFill>
        </w:rPr>
        <w:t>规范全市各级各部门预案修订，强化预案评审与抽查工作。完善预案“评估—修订—优化”的全周期管理机制，确保其全面融入并与应急指挥体系有效衔接。</w:t>
      </w:r>
      <w:r>
        <w:rPr>
          <w:rFonts w:hint="eastAsia" w:ascii="Times New Roman" w:hAnsi="Times New Roman" w:eastAsia="仿宋_GB2312" w:cs="Times New Roman"/>
          <w:color w:val="000000" w:themeColor="text1"/>
          <w:sz w:val="32"/>
          <w:szCs w:val="32"/>
          <w14:textFill>
            <w14:solidFill>
              <w14:schemeClr w14:val="tx1"/>
            </w14:solidFill>
          </w14:textFill>
        </w:rPr>
        <w:t>完善基层应急预案体系，推动乡镇（街道）、村（社区）结合本区域实际组织编制简明实用的应急预案。发挥“人工智能+”救援协调辅助决策系统作用，建立健全市县乡三级应急预案数据库。</w:t>
      </w:r>
    </w:p>
    <w:p w14:paraId="1BED80A6">
      <w:pPr>
        <w:pStyle w:val="4"/>
        <w:ind w:firstLine="640"/>
        <w:rPr>
          <w:rFonts w:hint="eastAsia"/>
        </w:rPr>
      </w:pPr>
      <w:bookmarkStart w:id="110" w:name="_Toc232019512"/>
      <w:bookmarkStart w:id="111" w:name="_Toc227324418"/>
      <w:bookmarkStart w:id="112" w:name="_Toc230609205"/>
      <w:bookmarkStart w:id="113" w:name="_Toc5890"/>
      <w:bookmarkStart w:id="114" w:name="_Toc229997137"/>
      <w:bookmarkStart w:id="115" w:name="_Toc217298339"/>
      <w:r>
        <w:rPr>
          <w:rFonts w:hint="eastAsia" w:ascii="Times New Roman" w:hAnsi="Times New Roman"/>
          <w:color w:val="000000" w:themeColor="text1"/>
          <w14:textFill>
            <w14:solidFill>
              <w14:schemeClr w14:val="tx1"/>
            </w14:solidFill>
          </w14:textFill>
        </w:rPr>
        <w:t>（二）提高救援新质战力</w:t>
      </w:r>
      <w:bookmarkEnd w:id="110"/>
      <w:bookmarkEnd w:id="111"/>
      <w:bookmarkEnd w:id="112"/>
      <w:bookmarkEnd w:id="113"/>
      <w:bookmarkEnd w:id="114"/>
      <w:bookmarkEnd w:id="115"/>
    </w:p>
    <w:p w14:paraId="5400CA45">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推进队伍规范化建设，</w:t>
      </w:r>
      <w:bookmarkStart w:id="116" w:name="OLE_LINK24"/>
      <w:r>
        <w:rPr>
          <w:rFonts w:hint="eastAsia" w:ascii="Times New Roman" w:hAnsi="Times New Roman" w:eastAsia="仿宋_GB2312" w:cs="Times New Roman"/>
          <w:color w:val="000000" w:themeColor="text1"/>
          <w:sz w:val="32"/>
          <w:szCs w:val="32"/>
          <w14:textFill>
            <w14:solidFill>
              <w14:schemeClr w14:val="tx1"/>
            </w14:solidFill>
          </w14:textFill>
        </w:rPr>
        <w:t>建强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多</w:t>
      </w:r>
      <w:r>
        <w:rPr>
          <w:rFonts w:hint="eastAsia" w:ascii="Times New Roman" w:hAnsi="Times New Roman" w:eastAsia="仿宋_GB2312" w:cs="Times New Roman"/>
          <w:color w:val="000000" w:themeColor="text1"/>
          <w:sz w:val="32"/>
          <w:szCs w:val="32"/>
          <w14:textFill>
            <w14:solidFill>
              <w14:schemeClr w14:val="tx1"/>
            </w14:solidFill>
          </w14:textFill>
        </w:rPr>
        <w:t>灾种专业救援力量，提档升级化工园区</w:t>
      </w:r>
      <w:r>
        <w:rPr>
          <w:rFonts w:ascii="Times New Roman" w:hAnsi="Times New Roman" w:eastAsia="仿宋_GB2312" w:cs="Times New Roman"/>
          <w:color w:val="000000" w:themeColor="text1"/>
          <w:sz w:val="32"/>
          <w:szCs w:val="32"/>
          <w14:textFill>
            <w14:solidFill>
              <w14:schemeClr w14:val="tx1"/>
            </w14:solidFill>
          </w14:textFill>
        </w:rPr>
        <w:t>“1</w:t>
      </w:r>
      <w:r>
        <w:rPr>
          <w:rFonts w:hint="eastAsia" w:ascii="Times New Roman" w:hAnsi="Times New Roman" w:eastAsia="仿宋_GB2312" w:cs="Times New Roman"/>
          <w:color w:val="000000" w:themeColor="text1"/>
          <w:sz w:val="32"/>
          <w:szCs w:val="32"/>
          <w14:textFill>
            <w14:solidFill>
              <w14:schemeClr w14:val="tx1"/>
            </w14:solidFill>
          </w14:textFill>
        </w:rPr>
        <w:t>重</w:t>
      </w:r>
      <w:r>
        <w:rPr>
          <w:rFonts w:ascii="Times New Roman" w:hAnsi="Times New Roman" w:eastAsia="仿宋_GB2312" w:cs="Times New Roman"/>
          <w:color w:val="000000" w:themeColor="text1"/>
          <w:sz w:val="32"/>
          <w:szCs w:val="32"/>
          <w14:textFill>
            <w14:solidFill>
              <w14:schemeClr w14:val="tx1"/>
            </w14:solidFill>
          </w14:textFill>
        </w:rPr>
        <w:t>4</w:t>
      </w:r>
      <w:r>
        <w:rPr>
          <w:rFonts w:hint="eastAsia" w:ascii="Times New Roman" w:hAnsi="Times New Roman" w:eastAsia="仿宋_GB2312" w:cs="Times New Roman"/>
          <w:color w:val="000000" w:themeColor="text1"/>
          <w:sz w:val="32"/>
          <w:szCs w:val="32"/>
          <w14:textFill>
            <w14:solidFill>
              <w14:schemeClr w14:val="tx1"/>
            </w14:solidFill>
          </w14:textFill>
        </w:rPr>
        <w:t>轻</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灭火救援编队，推动</w:t>
      </w:r>
      <w:r>
        <w:rPr>
          <w:rFonts w:ascii="Times New Roman" w:hAnsi="Times New Roman" w:eastAsia="仿宋_GB2312" w:cs="Times New Roman"/>
          <w:color w:val="000000" w:themeColor="text1"/>
          <w:sz w:val="32"/>
          <w:szCs w:val="32"/>
          <w14:textFill>
            <w14:solidFill>
              <w14:schemeClr w14:val="tx1"/>
            </w14:solidFill>
          </w14:textFill>
        </w:rPr>
        <w:t>500</w:t>
      </w:r>
      <w:r>
        <w:rPr>
          <w:rFonts w:hint="eastAsia" w:ascii="Times New Roman" w:hAnsi="Times New Roman" w:eastAsia="仿宋_GB2312" w:cs="Times New Roman"/>
          <w:color w:val="000000" w:themeColor="text1"/>
          <w:sz w:val="32"/>
          <w:szCs w:val="32"/>
          <w14:textFill>
            <w14:solidFill>
              <w14:schemeClr w14:val="tx1"/>
            </w14:solidFill>
          </w14:textFill>
        </w:rPr>
        <w:t>米以上的</w:t>
      </w:r>
      <w:r>
        <w:rPr>
          <w:rFonts w:ascii="Times New Roman" w:hAnsi="Times New Roman" w:eastAsia="仿宋_GB2312" w:cs="Times New Roman"/>
          <w:color w:val="000000" w:themeColor="text1"/>
          <w:sz w:val="32"/>
          <w:szCs w:val="32"/>
          <w14:textFill>
            <w14:solidFill>
              <w14:schemeClr w14:val="tx1"/>
            </w14:solidFill>
          </w14:textFill>
        </w:rPr>
        <w:t>24</w:t>
      </w:r>
      <w:r>
        <w:rPr>
          <w:rFonts w:hint="eastAsia" w:ascii="Times New Roman" w:hAnsi="Times New Roman" w:eastAsia="仿宋_GB2312" w:cs="Times New Roman"/>
          <w:color w:val="000000" w:themeColor="text1"/>
          <w:sz w:val="32"/>
          <w:szCs w:val="32"/>
          <w14:textFill>
            <w14:solidFill>
              <w14:schemeClr w14:val="tx1"/>
            </w14:solidFill>
          </w14:textFill>
        </w:rPr>
        <w:t>条隧道分类建设消防快速处置队和专职消防队。构建空中</w:t>
      </w:r>
      <w:r>
        <w:rPr>
          <w:rFonts w:ascii="Times New Roman" w:hAnsi="Times New Roman" w:eastAsia="仿宋_GB2312" w:cs="Times New Roman"/>
          <w:color w:val="000000" w:themeColor="text1"/>
          <w:sz w:val="32"/>
          <w:szCs w:val="32"/>
          <w14:textFill>
            <w14:solidFill>
              <w14:schemeClr w14:val="tx1"/>
            </w14:solidFill>
          </w14:textFill>
        </w:rPr>
        <w:t>119</w:t>
      </w:r>
      <w:r>
        <w:rPr>
          <w:rFonts w:hint="eastAsia" w:ascii="Times New Roman" w:hAnsi="Times New Roman" w:eastAsia="仿宋_GB2312" w:cs="Times New Roman"/>
          <w:color w:val="000000" w:themeColor="text1"/>
          <w:sz w:val="32"/>
          <w:szCs w:val="32"/>
          <w14:textFill>
            <w14:solidFill>
              <w14:schemeClr w14:val="tx1"/>
            </w14:solidFill>
          </w14:textFill>
        </w:rPr>
        <w:t>消防救援力量体系，分类建设</w:t>
      </w:r>
      <w:r>
        <w:rPr>
          <w:rFonts w:ascii="Times New Roman" w:hAnsi="Times New Roman" w:eastAsia="仿宋_GB2312" w:cs="Times New Roman"/>
          <w:color w:val="000000" w:themeColor="text1"/>
          <w:sz w:val="32"/>
          <w:szCs w:val="32"/>
          <w14:textFill>
            <w14:solidFill>
              <w14:schemeClr w14:val="tx1"/>
            </w14:solidFill>
          </w14:textFill>
        </w:rPr>
        <w:t>1</w:t>
      </w:r>
      <w:r>
        <w:rPr>
          <w:rFonts w:hint="eastAsia" w:ascii="Times New Roman" w:hAnsi="Times New Roman" w:eastAsia="仿宋_GB2312" w:cs="Times New Roman"/>
          <w:color w:val="000000" w:themeColor="text1"/>
          <w:sz w:val="32"/>
          <w:szCs w:val="32"/>
          <w14:textFill>
            <w14:solidFill>
              <w14:schemeClr w14:val="tx1"/>
            </w14:solidFill>
          </w14:textFill>
        </w:rPr>
        <w:t>支重型</w:t>
      </w:r>
      <w:r>
        <w:rPr>
          <w:rFonts w:ascii="Times New Roman" w:hAnsi="Times New Roman" w:eastAsia="仿宋_GB2312" w:cs="Times New Roman"/>
          <w:color w:val="000000" w:themeColor="text1"/>
          <w:sz w:val="32"/>
          <w:szCs w:val="32"/>
          <w14:textFill>
            <w14:solidFill>
              <w14:schemeClr w14:val="tx1"/>
            </w14:solidFill>
          </w14:textFill>
        </w:rPr>
        <w:t>5</w:t>
      </w:r>
      <w:r>
        <w:rPr>
          <w:rFonts w:hint="eastAsia" w:ascii="Times New Roman" w:hAnsi="Times New Roman" w:eastAsia="仿宋_GB2312" w:cs="Times New Roman"/>
          <w:color w:val="000000" w:themeColor="text1"/>
          <w:sz w:val="32"/>
          <w:szCs w:val="32"/>
          <w14:textFill>
            <w14:solidFill>
              <w14:schemeClr w14:val="tx1"/>
            </w14:solidFill>
          </w14:textFill>
        </w:rPr>
        <w:t>支轻型无人机灭火救援编队，布局</w:t>
      </w:r>
      <w:r>
        <w:rPr>
          <w:rFonts w:ascii="Times New Roman" w:hAnsi="Times New Roman" w:eastAsia="仿宋_GB2312" w:cs="Times New Roman"/>
          <w:color w:val="000000" w:themeColor="text1"/>
          <w:sz w:val="32"/>
          <w:szCs w:val="32"/>
          <w14:textFill>
            <w14:solidFill>
              <w14:schemeClr w14:val="tx1"/>
            </w14:solidFill>
          </w14:textFill>
        </w:rPr>
        <w:t>“N”</w:t>
      </w:r>
      <w:r>
        <w:rPr>
          <w:rFonts w:hint="eastAsia" w:ascii="Times New Roman" w:hAnsi="Times New Roman" w:eastAsia="仿宋_GB2312" w:cs="Times New Roman"/>
          <w:color w:val="000000" w:themeColor="text1"/>
          <w:sz w:val="32"/>
          <w:szCs w:val="32"/>
          <w14:textFill>
            <w14:solidFill>
              <w14:schemeClr w14:val="tx1"/>
            </w14:solidFill>
          </w14:textFill>
        </w:rPr>
        <w:t>座无人机自动机巢。指导重点企业规范建设应急救援队伍，强化日常运行调用管理。引导社会应急力量健康发展，推进消防志愿者队伍建设。加强社会应急力量培训，分级分类测评社会应急力量，编制社会应急力量名录，鼓励社会应急力量结合专业特长和技术优势，有序参与抢险救援行</w:t>
      </w:r>
      <w:bookmarkEnd w:id="116"/>
      <w:r>
        <w:rPr>
          <w:rFonts w:hint="eastAsia" w:ascii="Times New Roman" w:hAnsi="Times New Roman" w:eastAsia="仿宋_GB2312" w:cs="Times New Roman"/>
          <w:color w:val="000000" w:themeColor="text1"/>
          <w:sz w:val="32"/>
          <w:szCs w:val="32"/>
          <w14:textFill>
            <w14:solidFill>
              <w14:schemeClr w14:val="tx1"/>
            </w14:solidFill>
          </w14:textFill>
        </w:rPr>
        <w:t>动。</w:t>
      </w:r>
      <w:r>
        <w:rPr>
          <w:rFonts w:ascii="Times New Roman" w:hAnsi="Times New Roman" w:eastAsia="仿宋_GB2312" w:cs="Times New Roman"/>
          <w:color w:val="000000" w:themeColor="text1"/>
          <w:sz w:val="32"/>
          <w:szCs w:val="32"/>
          <w14:textFill>
            <w14:solidFill>
              <w14:schemeClr w14:val="tx1"/>
            </w14:solidFill>
          </w14:textFill>
        </w:rPr>
        <w:t>加强应急救援队伍全过程管理，健全教育训练机制，加强实战化训练</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完善队伍调动指挥制度，健全现场会商研判、救援指挥、支撑保障机制。</w:t>
      </w:r>
      <w:r>
        <w:rPr>
          <w:rFonts w:hint="eastAsia" w:ascii="Times New Roman" w:hAnsi="Times New Roman" w:eastAsia="仿宋_GB2312" w:cs="Times New Roman"/>
          <w:color w:val="000000" w:themeColor="text1"/>
          <w:sz w:val="32"/>
          <w:szCs w:val="32"/>
          <w14:textFill>
            <w14:solidFill>
              <w14:schemeClr w14:val="tx1"/>
            </w14:solidFill>
          </w14:textFill>
        </w:rPr>
        <w:t>开展“双盲”演练、实战拉练和跨区域抢险救援，推进技术交流、人装融合与战法协同，全面提升协同抢险救援实战能力。</w:t>
      </w:r>
    </w:p>
    <w:p w14:paraId="3D5CA7E3">
      <w:pPr>
        <w:pStyle w:val="4"/>
        <w:ind w:firstLine="640"/>
        <w:rPr>
          <w:rFonts w:hint="eastAsia"/>
        </w:rPr>
      </w:pPr>
      <w:bookmarkStart w:id="117" w:name="_Toc229997138"/>
      <w:bookmarkStart w:id="118" w:name="_Toc217298340"/>
      <w:bookmarkStart w:id="119" w:name="_Toc18881"/>
      <w:bookmarkStart w:id="120" w:name="_Toc232019513"/>
      <w:bookmarkStart w:id="121" w:name="_Toc230609206"/>
      <w:bookmarkStart w:id="122" w:name="_Toc227324419"/>
      <w:r>
        <w:rPr>
          <w:rFonts w:hint="eastAsia" w:ascii="Times New Roman" w:hAnsi="Times New Roman"/>
          <w:color w:val="000000" w:themeColor="text1"/>
          <w14:textFill>
            <w14:solidFill>
              <w14:schemeClr w14:val="tx1"/>
            </w14:solidFill>
          </w14:textFill>
        </w:rPr>
        <w:t>（三）强化应急救援支撑保障</w:t>
      </w:r>
      <w:bookmarkEnd w:id="117"/>
      <w:bookmarkEnd w:id="118"/>
      <w:bookmarkEnd w:id="119"/>
      <w:bookmarkEnd w:id="120"/>
      <w:bookmarkEnd w:id="121"/>
      <w:bookmarkEnd w:id="122"/>
    </w:p>
    <w:p w14:paraId="1DCCCAA2">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以平战指挥调度需求为牵引，大力推进实战装备配备和下沉，着力建强应急通保专业化队伍，提升现场视频图像实时传输能力。加强信息化运用，推进部门间数据汇聚共享，着眼断路、断电、断网“三断”等极端情况，加快建设“宽窄结合、公专结合、平战结合”的应急指挥通信保障体系。在易灾多灾、偏远乡村配备</w:t>
      </w:r>
      <w:r>
        <w:rPr>
          <w:rFonts w:ascii="Times New Roman" w:hAnsi="Times New Roman" w:eastAsia="仿宋_GB2312" w:cs="Times New Roman"/>
          <w:color w:val="000000" w:themeColor="text1"/>
          <w:sz w:val="32"/>
          <w:szCs w:val="32"/>
          <w14:textFill>
            <w14:solidFill>
              <w14:schemeClr w14:val="tx1"/>
            </w14:solidFill>
          </w14:textFill>
        </w:rPr>
        <w:t>370MHz</w:t>
      </w:r>
      <w:r>
        <w:rPr>
          <w:rFonts w:hint="eastAsia" w:ascii="Times New Roman" w:hAnsi="Times New Roman" w:eastAsia="仿宋_GB2312" w:cs="Times New Roman"/>
          <w:color w:val="000000" w:themeColor="text1"/>
          <w:sz w:val="32"/>
          <w:szCs w:val="32"/>
          <w14:textFill>
            <w14:solidFill>
              <w14:schemeClr w14:val="tx1"/>
            </w14:solidFill>
          </w14:textFill>
        </w:rPr>
        <w:t>通信基站和终端。建立政企联动通信保障机制，深化通信运营商协作，提升公专网抢修等应急通信实战协作能力。购置防护、通信等先进适用应急装备，强化共享共用。加强应急救援技术和装备革新，全面采集各类应急救援队伍装备、“高地大化”特殊场景高精尖装备、</w:t>
      </w:r>
      <w:bookmarkStart w:id="123" w:name="OLE_LINK14"/>
      <w:r>
        <w:rPr>
          <w:rFonts w:hint="eastAsia" w:ascii="Times New Roman" w:hAnsi="Times New Roman" w:eastAsia="仿宋_GB2312" w:cs="Times New Roman"/>
          <w:color w:val="000000" w:themeColor="text1"/>
          <w:sz w:val="32"/>
          <w:szCs w:val="32"/>
          <w14:textFill>
            <w14:solidFill>
              <w14:schemeClr w14:val="tx1"/>
            </w14:solidFill>
          </w14:textFill>
        </w:rPr>
        <w:t>大型企业的起重</w:t>
      </w:r>
      <w:bookmarkEnd w:id="123"/>
      <w:r>
        <w:rPr>
          <w:rFonts w:hint="eastAsia" w:ascii="Times New Roman" w:hAnsi="Times New Roman" w:eastAsia="仿宋_GB2312" w:cs="Times New Roman"/>
          <w:color w:val="000000" w:themeColor="text1"/>
          <w:sz w:val="32"/>
          <w:szCs w:val="32"/>
          <w14:textFill>
            <w14:solidFill>
              <w14:schemeClr w14:val="tx1"/>
            </w14:solidFill>
          </w14:textFill>
        </w:rPr>
        <w:t>、驳载、转运等应急设备信息，推动救援装备现代化。</w:t>
      </w:r>
    </w:p>
    <w:p w14:paraId="54865C2D">
      <w:pPr>
        <w:pStyle w:val="4"/>
        <w:ind w:firstLine="640"/>
        <w:rPr>
          <w:rFonts w:hint="eastAsia"/>
        </w:rPr>
      </w:pPr>
      <w:bookmarkStart w:id="124" w:name="_Toc227324420"/>
      <w:bookmarkStart w:id="125" w:name="_Toc230609207"/>
      <w:bookmarkStart w:id="126" w:name="_Toc229997139"/>
      <w:bookmarkStart w:id="127" w:name="_Toc232019514"/>
      <w:bookmarkStart w:id="128" w:name="_Toc19584"/>
      <w:r>
        <w:rPr>
          <w:rFonts w:hint="eastAsia" w:ascii="Times New Roman" w:hAnsi="Times New Roman"/>
          <w:color w:val="000000" w:themeColor="text1"/>
          <w14:textFill>
            <w14:solidFill>
              <w14:schemeClr w14:val="tx1"/>
            </w14:solidFill>
          </w14:textFill>
        </w:rPr>
        <w:t>（四）</w:t>
      </w:r>
      <w:bookmarkEnd w:id="124"/>
      <w:r>
        <w:rPr>
          <w:rFonts w:hint="eastAsia" w:ascii="Times New Roman" w:hAnsi="Times New Roman"/>
          <w:color w:val="000000" w:themeColor="text1"/>
          <w14:textFill>
            <w14:solidFill>
              <w14:schemeClr w14:val="tx1"/>
            </w14:solidFill>
          </w14:textFill>
        </w:rPr>
        <w:t>深化长三角应急管理区域协同</w:t>
      </w:r>
      <w:bookmarkEnd w:id="125"/>
      <w:bookmarkEnd w:id="126"/>
      <w:bookmarkEnd w:id="127"/>
      <w:bookmarkEnd w:id="128"/>
    </w:p>
    <w:p w14:paraId="418B1472">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深入探索推进长三角一体化发展合作机制，深化风险联防联控与执法协同，完善危险货物道路运输、电动自行车“全链条”安全等跨区域监管协同机制，深化安全生产领域信用监管合作。深化突发事件应急联动协同。深化监测预警、指挥调度、救援处置的全过程数字协作。</w:t>
      </w:r>
      <w:r>
        <w:rPr>
          <w:rFonts w:ascii="Times New Roman" w:hAnsi="Times New Roman" w:eastAsia="仿宋_GB2312" w:cs="Times New Roman"/>
          <w:color w:val="000000" w:themeColor="text1"/>
          <w:sz w:val="32"/>
          <w:szCs w:val="32"/>
          <w14:textFill>
            <w14:solidFill>
              <w14:schemeClr w14:val="tx1"/>
            </w14:solidFill>
          </w14:textFill>
        </w:rPr>
        <w:t>推动应急管理领域标准规范体系衔接，促进区域应急人才队伍共建共享。</w:t>
      </w:r>
      <w:r>
        <w:rPr>
          <w:rFonts w:hint="eastAsia" w:ascii="Times New Roman" w:hAnsi="Times New Roman" w:eastAsia="仿宋_GB2312" w:cs="Times New Roman"/>
          <w:color w:val="000000" w:themeColor="text1"/>
          <w:sz w:val="32"/>
          <w:szCs w:val="32"/>
          <w14:textFill>
            <w14:solidFill>
              <w14:schemeClr w14:val="tx1"/>
            </w14:solidFill>
          </w14:textFill>
        </w:rPr>
        <w:t>定期组织或参与跨区域、多科目联合应急演练，不断提升省际毗邻区和重大活动保障的协同应对能力。深化应急资源与保障能力协同。落实《长三角应急物资协同保障协议》，提升区域应急物资储备效能和协同保障能力。积极支持并参与长三角应急博览会，深度融入长三角应急产业生态。</w:t>
      </w:r>
    </w:p>
    <w:tbl>
      <w:tblPr>
        <w:tblStyle w:val="25"/>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7792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34" w:type="dxa"/>
            <w:vAlign w:val="center"/>
          </w:tcPr>
          <w:p w14:paraId="0F9C3B0D">
            <w:pPr>
              <w:adjustRightInd w:val="0"/>
              <w:snapToGrid w:val="0"/>
              <w:jc w:val="center"/>
              <w:rPr>
                <w:rFonts w:ascii="Times New Roman" w:hAnsi="Times New Roman" w:eastAsia="方正黑体_GBK" w:cs="Times New Roman"/>
                <w:color w:val="000000" w:themeColor="text1"/>
                <w:sz w:val="24"/>
                <w14:textFill>
                  <w14:solidFill>
                    <w14:schemeClr w14:val="tx1"/>
                  </w14:solidFill>
                </w14:textFill>
              </w:rPr>
            </w:pPr>
            <w:r>
              <w:rPr>
                <w:rFonts w:hint="eastAsia" w:ascii="Times New Roman" w:hAnsi="Times New Roman" w:eastAsia="方正黑体_GBK" w:cs="Times New Roman"/>
                <w:color w:val="000000" w:themeColor="text1"/>
                <w:sz w:val="24"/>
                <w14:textFill>
                  <w14:solidFill>
                    <w14:schemeClr w14:val="tx1"/>
                  </w14:solidFill>
                </w14:textFill>
              </w:rPr>
              <w:t>专栏</w:t>
            </w:r>
            <w:r>
              <w:rPr>
                <w:rFonts w:ascii="Times New Roman" w:hAnsi="Times New Roman" w:eastAsia="方正黑体_GBK" w:cs="Times New Roman"/>
                <w:color w:val="000000" w:themeColor="text1"/>
                <w:sz w:val="24"/>
                <w14:textFill>
                  <w14:solidFill>
                    <w14:schemeClr w14:val="tx1"/>
                  </w14:solidFill>
                </w14:textFill>
              </w:rPr>
              <w:t xml:space="preserve">5 </w:t>
            </w:r>
            <w:r>
              <w:rPr>
                <w:rFonts w:hint="eastAsia" w:ascii="Times New Roman" w:hAnsi="Times New Roman" w:eastAsia="方正黑体_GBK" w:cs="Times New Roman"/>
                <w:color w:val="000000" w:themeColor="text1"/>
                <w:sz w:val="24"/>
                <w14:textFill>
                  <w14:solidFill>
                    <w14:schemeClr w14:val="tx1"/>
                  </w14:solidFill>
                </w14:textFill>
              </w:rPr>
              <w:t>应急能力提升工程</w:t>
            </w:r>
          </w:p>
        </w:tc>
      </w:tr>
      <w:tr w14:paraId="359A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4" w:type="dxa"/>
          </w:tcPr>
          <w:p w14:paraId="3869CC8A">
            <w:pPr>
              <w:overflowPunct w:val="0"/>
              <w:autoSpaceDE w:val="0"/>
              <w:autoSpaceDN w:val="0"/>
              <w:spacing w:line="380" w:lineRule="exact"/>
              <w:ind w:firstLine="480" w:firstLineChars="200"/>
              <w:rPr>
                <w:rFonts w:ascii="Times New Roman" w:hAnsi="Times New Roman" w:eastAsia="宋体" w:cs="Times New Roman"/>
                <w:snapToGrid w:val="0"/>
                <w:color w:val="000000" w:themeColor="text1"/>
                <w:kern w:val="0"/>
                <w:sz w:val="24"/>
                <w14:textFill>
                  <w14:solidFill>
                    <w14:schemeClr w14:val="tx1"/>
                  </w14:solidFill>
                </w14:textFill>
              </w:rPr>
            </w:pPr>
            <w:r>
              <w:rPr>
                <w:rFonts w:hint="eastAsia" w:ascii="Times New Roman" w:hAnsi="Times New Roman" w:eastAsia="仿宋_GB2312" w:cs="仿宋_GB2312"/>
                <w:snapToGrid w:val="0"/>
                <w:color w:val="000000" w:themeColor="text1"/>
                <w:kern w:val="0"/>
                <w:sz w:val="24"/>
                <w14:textFill>
                  <w14:solidFill>
                    <w14:schemeClr w14:val="tx1"/>
                  </w14:solidFill>
                </w14:textFill>
              </w:rPr>
              <w:t>1.基层应急救援效能提升行动。指导各地推进乡镇（街道）、村（社区）应急救援队伍建设，配备救援类、训练类、防护类等装备设施，加强转移避险自救、火灾逃生等应急演练训练，提升基层队伍迅速响应、先期处置能力。</w:t>
            </w:r>
          </w:p>
          <w:p w14:paraId="4DD89908">
            <w:pPr>
              <w:overflowPunct w:val="0"/>
              <w:autoSpaceDE w:val="0"/>
              <w:autoSpaceDN w:val="0"/>
              <w:spacing w:line="380" w:lineRule="exact"/>
              <w:ind w:firstLine="480" w:firstLineChars="200"/>
              <w:rPr>
                <w:rFonts w:ascii="Times New Roman" w:hAnsi="Times New Roman" w:eastAsia="宋体" w:cs="Times New Roman"/>
                <w:snapToGrid w:val="0"/>
                <w:color w:val="000000" w:themeColor="text1"/>
                <w:kern w:val="0"/>
                <w:sz w:val="24"/>
                <w14:textFill>
                  <w14:solidFill>
                    <w14:schemeClr w14:val="tx1"/>
                  </w14:solidFill>
                </w14:textFill>
              </w:rPr>
            </w:pPr>
            <w:r>
              <w:rPr>
                <w:rFonts w:hint="eastAsia" w:ascii="Times New Roman" w:hAnsi="Times New Roman" w:eastAsia="仿宋_GB2312" w:cs="仿宋_GB2312"/>
                <w:snapToGrid w:val="0"/>
                <w:color w:val="000000" w:themeColor="text1"/>
                <w:kern w:val="0"/>
                <w:sz w:val="24"/>
                <w14:textFill>
                  <w14:solidFill>
                    <w14:schemeClr w14:val="tx1"/>
                  </w14:solidFill>
                </w14:textFill>
              </w:rPr>
              <w:t>2.基层应急装备设施提升行动。应急救援装备革新在每个乡镇（街道）配齐应急消防管理站、微型消防站和应急物资储备点，配备通讯设备、便携式破拆工具、移动照明等“小快轻智”装备，确保灾害事故初发阶段快速先期处置。</w:t>
            </w:r>
          </w:p>
          <w:p w14:paraId="0973AC04">
            <w:pPr>
              <w:overflowPunct w:val="0"/>
              <w:autoSpaceDE w:val="0"/>
              <w:autoSpaceDN w:val="0"/>
              <w:spacing w:line="380" w:lineRule="exact"/>
              <w:ind w:firstLine="480" w:firstLineChars="200"/>
              <w:rPr>
                <w:rFonts w:ascii="Times New Roman" w:hAnsi="Times New Roman" w:eastAsia="方正仿宋_GBK" w:cs="Times New Roman"/>
                <w:snapToGrid w:val="0"/>
                <w:color w:val="000000" w:themeColor="text1"/>
                <w:kern w:val="0"/>
                <w:sz w:val="24"/>
                <w14:textFill>
                  <w14:solidFill>
                    <w14:schemeClr w14:val="tx1"/>
                  </w14:solidFill>
                </w14:textFill>
              </w:rPr>
            </w:pPr>
            <w:r>
              <w:rPr>
                <w:rFonts w:hint="eastAsia" w:ascii="Times New Roman" w:hAnsi="Times New Roman" w:eastAsia="仿宋_GB2312" w:cs="仿宋_GB2312"/>
                <w:snapToGrid w:val="0"/>
                <w:color w:val="000000" w:themeColor="text1"/>
                <w:kern w:val="0"/>
                <w:sz w:val="24"/>
                <w14:textFill>
                  <w14:solidFill>
                    <w14:schemeClr w14:val="tx1"/>
                  </w14:solidFill>
                </w14:textFill>
              </w:rPr>
              <w:t>3.应急避难场所建设提升行动。对列入专项规划选点布局的存量应急避难场所，对标国家新制订的技术标准，重点围绕标识标牌更换、功能区域调整、设施设备完善、应急物资储备等方面，稳步推进各级各类应急避难场所技术套转。</w:t>
            </w:r>
          </w:p>
        </w:tc>
      </w:tr>
    </w:tbl>
    <w:p w14:paraId="6410881C">
      <w:pPr>
        <w:pStyle w:val="3"/>
        <w:rPr>
          <w:color w:val="000000" w:themeColor="text1"/>
          <w14:textFill>
            <w14:solidFill>
              <w14:schemeClr w14:val="tx1"/>
            </w14:solidFill>
          </w14:textFill>
        </w:rPr>
      </w:pPr>
      <w:bookmarkStart w:id="129" w:name="_Toc227324421"/>
      <w:bookmarkStart w:id="130" w:name="_Toc232019515"/>
      <w:bookmarkStart w:id="131" w:name="_Toc217298341"/>
      <w:bookmarkStart w:id="132" w:name="_Toc32521"/>
      <w:bookmarkStart w:id="133" w:name="_Toc23298"/>
      <w:r>
        <w:rPr>
          <w:rFonts w:hint="eastAsia"/>
          <w:color w:val="000000" w:themeColor="text1"/>
          <w14:textFill>
            <w14:solidFill>
              <w14:schemeClr w14:val="tx1"/>
            </w14:solidFill>
          </w14:textFill>
        </w:rPr>
        <w:t>七、深化科技赋能，加速产业创新</w:t>
      </w:r>
      <w:bookmarkEnd w:id="129"/>
      <w:bookmarkEnd w:id="130"/>
      <w:bookmarkEnd w:id="131"/>
      <w:bookmarkEnd w:id="132"/>
      <w:bookmarkEnd w:id="133"/>
    </w:p>
    <w:p w14:paraId="35BCC503">
      <w:pPr>
        <w:pStyle w:val="4"/>
        <w:ind w:firstLine="640"/>
        <w:rPr>
          <w:rFonts w:hint="eastAsia"/>
        </w:rPr>
      </w:pPr>
      <w:bookmarkStart w:id="134" w:name="_Toc217298342"/>
      <w:bookmarkStart w:id="135" w:name="_Toc229997141"/>
      <w:bookmarkStart w:id="136" w:name="_Toc227324422"/>
      <w:bookmarkStart w:id="137" w:name="_Toc16937"/>
      <w:bookmarkStart w:id="138" w:name="_Toc230609209"/>
      <w:bookmarkStart w:id="139" w:name="_Toc232019516"/>
      <w:r>
        <w:rPr>
          <w:rFonts w:hint="eastAsia" w:ascii="Times New Roman" w:hAnsi="Times New Roman"/>
          <w:color w:val="000000" w:themeColor="text1"/>
          <w14:textFill>
            <w14:solidFill>
              <w14:schemeClr w14:val="tx1"/>
            </w14:solidFill>
          </w14:textFill>
        </w:rPr>
        <w:t>（一）</w:t>
      </w:r>
      <w:bookmarkEnd w:id="134"/>
      <w:r>
        <w:rPr>
          <w:rFonts w:hint="eastAsia" w:ascii="Times New Roman" w:hAnsi="Times New Roman"/>
          <w:color w:val="000000" w:themeColor="text1"/>
          <w14:textFill>
            <w14:solidFill>
              <w14:schemeClr w14:val="tx1"/>
            </w14:solidFill>
          </w14:textFill>
        </w:rPr>
        <w:t>构建智慧应急管理体系</w:t>
      </w:r>
      <w:bookmarkEnd w:id="135"/>
      <w:bookmarkEnd w:id="136"/>
      <w:bookmarkEnd w:id="137"/>
      <w:bookmarkEnd w:id="138"/>
      <w:bookmarkEnd w:id="139"/>
    </w:p>
    <w:p w14:paraId="7139ED89">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落实“人工智能+”应急管理行动，推动应急管理数智化转型。聚焦重点业务领域加大场景建设力度，全面推进人工智能技术与应急管理业务深度融合。举办“人工智能+”应急管理大讲堂，组织全市“互比互学”活动，推广典型应用案例。持续开展重点行业领域安全风险监测预警系统建设应用和升级改造，加强化工和危险化学品企业安全生产数字化建设；推广应用钢铁“智慧冶炼”、粉尘涉爆监测预警技术；试点推广应用“一带一帽”智慧监管模型；加强用电、用气智能设备推广；深化“两客一危”道路运输数字化监管和“安全码”赋码管理；汇聚厂中厂、多业态混合楼宇等事故高发企业单位数据，构建风险预警模型。</w:t>
      </w:r>
    </w:p>
    <w:p w14:paraId="565A9FD9">
      <w:pPr>
        <w:pStyle w:val="4"/>
        <w:ind w:firstLine="640"/>
        <w:rPr>
          <w:rFonts w:hint="eastAsia"/>
        </w:rPr>
      </w:pPr>
      <w:bookmarkStart w:id="140" w:name="_Toc232019517"/>
      <w:bookmarkStart w:id="141" w:name="_Toc217298343"/>
      <w:bookmarkStart w:id="142" w:name="_Toc24405"/>
      <w:bookmarkStart w:id="143" w:name="_Toc230609210"/>
      <w:bookmarkStart w:id="144" w:name="_Toc227324423"/>
      <w:bookmarkStart w:id="145" w:name="_Toc229997142"/>
      <w:r>
        <w:rPr>
          <w:rFonts w:hint="eastAsia" w:ascii="Times New Roman" w:hAnsi="Times New Roman"/>
          <w:color w:val="000000" w:themeColor="text1"/>
          <w14:textFill>
            <w14:solidFill>
              <w14:schemeClr w14:val="tx1"/>
            </w14:solidFill>
          </w14:textFill>
        </w:rPr>
        <w:t>（二）</w:t>
      </w:r>
      <w:r>
        <w:rPr>
          <w:rFonts w:hint="eastAsia"/>
        </w:rPr>
        <w:t>培育产学研协同创新生态</w:t>
      </w:r>
      <w:bookmarkEnd w:id="140"/>
      <w:bookmarkEnd w:id="141"/>
      <w:bookmarkEnd w:id="142"/>
      <w:bookmarkEnd w:id="143"/>
      <w:bookmarkEnd w:id="144"/>
      <w:bookmarkEnd w:id="145"/>
    </w:p>
    <w:p w14:paraId="0C7B9105">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依托业务部门、高等院校、科研机构、重点企业等，推动应急管理领域前沿课题研究、关键产品技术研发，探索人工智能、具身智能机器人、区块链等前沿技术在应急管理领域的运用。持续开展应急安全产业调研，建立科技信息资源库。围绕危险化学品防静电、防泄漏，有限空间防中毒，锂电池防爆炸等，通过“挂牌揭榜”、区域试点、推广运用等措施，鼓励企业加强研发，搭建科技项目供需关系桥梁，推动科技成果转化和产品应用。积极申报应急部“星火计划”及省应急厅科技项目，对各地优秀科技创新和人工智能项目进行推广。</w:t>
      </w:r>
    </w:p>
    <w:p w14:paraId="7B773592">
      <w:pPr>
        <w:pStyle w:val="4"/>
        <w:ind w:firstLine="640"/>
        <w:rPr>
          <w:rFonts w:hint="eastAsia"/>
        </w:rPr>
      </w:pPr>
      <w:bookmarkStart w:id="146" w:name="_Toc217298344"/>
      <w:bookmarkStart w:id="147" w:name="_Toc12263"/>
      <w:bookmarkStart w:id="148" w:name="_Toc227324424"/>
      <w:bookmarkStart w:id="149" w:name="_Toc232019518"/>
      <w:bookmarkStart w:id="150" w:name="_Toc230609211"/>
      <w:bookmarkStart w:id="151" w:name="_Toc229997143"/>
      <w:r>
        <w:rPr>
          <w:rFonts w:hint="eastAsia" w:ascii="Times New Roman" w:hAnsi="Times New Roman"/>
          <w:color w:val="000000" w:themeColor="text1"/>
          <w14:textFill>
            <w14:solidFill>
              <w14:schemeClr w14:val="tx1"/>
            </w14:solidFill>
          </w14:textFill>
        </w:rPr>
        <w:t>（三）</w:t>
      </w:r>
      <w:bookmarkEnd w:id="146"/>
      <w:r>
        <w:rPr>
          <w:rFonts w:hint="eastAsia"/>
        </w:rPr>
        <w:t>推动安全应急产业发展</w:t>
      </w:r>
      <w:bookmarkEnd w:id="147"/>
      <w:bookmarkEnd w:id="148"/>
      <w:bookmarkEnd w:id="149"/>
      <w:bookmarkEnd w:id="150"/>
      <w:bookmarkEnd w:id="151"/>
    </w:p>
    <w:p w14:paraId="1426D702">
      <w:pPr>
        <w:spacing w:line="580" w:lineRule="exact"/>
        <w:ind w:firstLine="640" w:firstLineChars="200"/>
      </w:pPr>
      <w:r>
        <w:rPr>
          <w:rFonts w:hint="eastAsia" w:ascii="Times New Roman" w:hAnsi="Times New Roman" w:eastAsia="仿宋_GB2312" w:cs="Times New Roman"/>
          <w:color w:val="000000" w:themeColor="text1"/>
          <w:sz w:val="32"/>
          <w:szCs w:val="32"/>
          <w14:textFill>
            <w14:solidFill>
              <w14:schemeClr w14:val="tx1"/>
            </w14:solidFill>
          </w14:textFill>
        </w:rPr>
        <w:t>依托苏州高新区安全应急装备产业特色园区、苏州具身智能机器人综合创新中心等，</w:t>
      </w:r>
      <w:r>
        <w:rPr>
          <w:rFonts w:ascii="Times New Roman" w:hAnsi="Times New Roman" w:eastAsia="仿宋_GB2312" w:cs="Times New Roman"/>
          <w:color w:val="000000" w:themeColor="text1"/>
          <w:sz w:val="32"/>
          <w:szCs w:val="32"/>
          <w14:textFill>
            <w14:solidFill>
              <w14:schemeClr w14:val="tx1"/>
            </w14:solidFill>
          </w14:textFill>
        </w:rPr>
        <w:t>推进</w:t>
      </w:r>
      <w:r>
        <w:rPr>
          <w:rFonts w:hint="eastAsia" w:ascii="Times New Roman" w:hAnsi="Times New Roman" w:eastAsia="仿宋_GB2312" w:cs="Times New Roman"/>
          <w:color w:val="000000" w:themeColor="text1"/>
          <w:sz w:val="32"/>
          <w:szCs w:val="32"/>
          <w14:textFill>
            <w14:solidFill>
              <w14:schemeClr w14:val="tx1"/>
            </w14:solidFill>
          </w14:textFill>
        </w:rPr>
        <w:t>构建安全防范、监测预警、处置救援、恢复重建全链条安全应急产业体系。加快安全应急装备创新发展。鼓励企业加大装备研发投入，承担国家和部省装备科研攻关项目。开展新型装备实战验证，加大“高、精、特、专”装备及“小、快、轻、智”装备供给力度。开展技术装备攻关需求征集，加强安全应急产业政策引导，在成果转化和推广应用上给予支持，推动社会资源向应急装备和安全应急产业集中。</w:t>
      </w:r>
    </w:p>
    <w:tbl>
      <w:tblPr>
        <w:tblStyle w:val="15"/>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7C60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34" w:type="dxa"/>
            <w:vAlign w:val="center"/>
          </w:tcPr>
          <w:p w14:paraId="486F9981">
            <w:pPr>
              <w:adjustRightInd w:val="0"/>
              <w:snapToGrid w:val="0"/>
              <w:jc w:val="center"/>
              <w:rPr>
                <w:rFonts w:ascii="Times New Roman" w:hAnsi="Times New Roman" w:eastAsia="方正黑体_GBK" w:cs="Times New Roman"/>
                <w:snapToGrid w:val="0"/>
                <w:color w:val="000000" w:themeColor="text1"/>
                <w:kern w:val="0"/>
                <w:sz w:val="24"/>
                <w:szCs w:val="20"/>
                <w14:textFill>
                  <w14:solidFill>
                    <w14:schemeClr w14:val="tx1"/>
                  </w14:solidFill>
                </w14:textFill>
              </w:rPr>
            </w:pPr>
            <w:r>
              <w:rPr>
                <w:rFonts w:hint="eastAsia" w:ascii="Times New Roman" w:hAnsi="Times New Roman" w:eastAsia="方正黑体_GBK" w:cs="Times New Roman"/>
                <w:color w:val="000000" w:themeColor="text1"/>
                <w:sz w:val="24"/>
                <w14:textFill>
                  <w14:solidFill>
                    <w14:schemeClr w14:val="tx1"/>
                  </w14:solidFill>
                </w14:textFill>
              </w:rPr>
              <w:t>专栏6</w:t>
            </w:r>
            <w:r>
              <w:rPr>
                <w:rFonts w:ascii="Times New Roman" w:hAnsi="Times New Roman" w:eastAsia="方正黑体_GBK" w:cs="Times New Roman"/>
                <w:color w:val="000000" w:themeColor="text1"/>
                <w:sz w:val="24"/>
                <w14:textFill>
                  <w14:solidFill>
                    <w14:schemeClr w14:val="tx1"/>
                  </w14:solidFill>
                </w14:textFill>
              </w:rPr>
              <w:t xml:space="preserve"> </w:t>
            </w:r>
            <w:r>
              <w:rPr>
                <w:rFonts w:hint="eastAsia" w:ascii="Times New Roman" w:hAnsi="Times New Roman" w:eastAsia="方正黑体_GBK" w:cs="Times New Roman"/>
                <w:color w:val="000000" w:themeColor="text1"/>
                <w:sz w:val="24"/>
                <w14:textFill>
                  <w14:solidFill>
                    <w14:schemeClr w14:val="tx1"/>
                  </w14:solidFill>
                </w14:textFill>
              </w:rPr>
              <w:t>智慧应急赋能工程</w:t>
            </w:r>
          </w:p>
        </w:tc>
      </w:tr>
      <w:tr w14:paraId="6383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4" w:type="dxa"/>
          </w:tcPr>
          <w:p w14:paraId="27EFFA2D">
            <w:pPr>
              <w:overflowPunct w:val="0"/>
              <w:autoSpaceDE w:val="0"/>
              <w:autoSpaceDN w:val="0"/>
              <w:snapToGrid w:val="0"/>
              <w:spacing w:line="380" w:lineRule="exact"/>
              <w:ind w:firstLine="480" w:firstLineChars="200"/>
              <w:rPr>
                <w:rFonts w:ascii="Times New Roman" w:hAnsi="Times New Roman" w:eastAsia="宋体" w:cs="Times New Roman"/>
                <w:snapToGrid w:val="0"/>
                <w:color w:val="000000" w:themeColor="text1"/>
                <w:kern w:val="0"/>
                <w:sz w:val="24"/>
                <w14:textFill>
                  <w14:solidFill>
                    <w14:schemeClr w14:val="tx1"/>
                  </w14:solidFill>
                </w14:textFill>
              </w:rPr>
            </w:pPr>
            <w:r>
              <w:rPr>
                <w:rFonts w:hint="eastAsia" w:ascii="Times New Roman" w:hAnsi="Times New Roman" w:eastAsia="仿宋_GB2312" w:cs="仿宋_GB2312"/>
                <w:snapToGrid w:val="0"/>
                <w:color w:val="000000" w:themeColor="text1"/>
                <w:kern w:val="0"/>
                <w:sz w:val="24"/>
                <w14:textFill>
                  <w14:solidFill>
                    <w14:schemeClr w14:val="tx1"/>
                  </w14:solidFill>
                </w14:textFill>
              </w:rPr>
              <w:t>1.“以房管安”信息系统建设。由市安委办牵头，公安、住建、消防等8部门共建，聚焦城市安全源头管控，构建全域覆盖、部门协同的“以房管安”信息系统，以数字化手段织密城市安全防护网。系统覆盖全市180万栋建筑，整合1500万标准地址、120万业态场所及各类风险隐患数据，打通“房—址—业—险”全链条关联，依托标准地址库实现建筑与经营场所精准绑定，构建一体化城市安全数据底座。开发事故风险预测模型，基于多维度数据动态评估建筑及场所安全风险等级，实现风险精准画像与分级预警。创新建立“以房定性、以房明责、以房落管、以房督导”管理机制，通过制定“四项清单”明确各部门职责与处置策略，推动安全监管责任精准落地。最终实现城市安全风险从源头识别、智能预警到精准处置、闭环管理的全流程管控，全面提升城市安全治理精细化、智能化水平。</w:t>
            </w:r>
          </w:p>
          <w:p w14:paraId="3C5D549C">
            <w:pPr>
              <w:overflowPunct w:val="0"/>
              <w:autoSpaceDE w:val="0"/>
              <w:autoSpaceDN w:val="0"/>
              <w:snapToGrid w:val="0"/>
              <w:spacing w:line="380" w:lineRule="exact"/>
              <w:ind w:firstLine="480" w:firstLineChars="200"/>
              <w:rPr>
                <w:rFonts w:ascii="Times New Roman" w:hAnsi="Times New Roman" w:eastAsia="宋体" w:cs="Times New Roman"/>
                <w:snapToGrid w:val="0"/>
                <w:color w:val="000000" w:themeColor="text1"/>
                <w14:textFill>
                  <w14:solidFill>
                    <w14:schemeClr w14:val="tx1"/>
                  </w14:solidFill>
                </w14:textFill>
              </w:rPr>
            </w:pPr>
            <w:r>
              <w:rPr>
                <w:rFonts w:hint="eastAsia" w:ascii="Times New Roman" w:hAnsi="Times New Roman" w:eastAsia="仿宋_GB2312" w:cs="仿宋_GB2312"/>
                <w:snapToGrid w:val="0"/>
                <w:color w:val="000000" w:themeColor="text1"/>
                <w:kern w:val="0"/>
                <w:sz w:val="24"/>
                <w14:textFill>
                  <w14:solidFill>
                    <w14:schemeClr w14:val="tx1"/>
                  </w14:solidFill>
                </w14:textFill>
              </w:rPr>
              <w:t>2.“人工智能+”应急管理行动。深化人工智能与应急管理深度融合，推动应急管理数智化转型。以构建“风险感知—智能预警—协同处置—复盘优化”全链条智能体系为核心，试点探索12项标杆应用，打造具有苏州特色的现代“智”理应急管理模式。</w:t>
            </w:r>
            <w:r>
              <w:rPr>
                <w:rFonts w:hint="eastAsia" w:ascii="仿宋_GB2312" w:hAnsi="仿宋_GB2312" w:eastAsia="仿宋_GB2312" w:cs="仿宋_GB2312"/>
                <w:snapToGrid w:val="0"/>
                <w:color w:val="000000" w:themeColor="text1"/>
                <w:kern w:val="0"/>
                <w:sz w:val="24"/>
                <w14:textFill>
                  <w14:solidFill>
                    <w14:schemeClr w14:val="tx1"/>
                  </w14:solidFill>
                </w14:textFill>
              </w:rPr>
              <w:t>聚焦重点领域</w:t>
            </w:r>
            <w:r>
              <w:rPr>
                <w:rFonts w:hint="eastAsia" w:ascii="Times New Roman" w:hAnsi="Times New Roman" w:eastAsia="仿宋_GB2312" w:cs="仿宋_GB2312"/>
                <w:snapToGrid w:val="0"/>
                <w:color w:val="000000" w:themeColor="text1"/>
                <w:kern w:val="0"/>
                <w:sz w:val="24"/>
                <w14:textFill>
                  <w14:solidFill>
                    <w14:schemeClr w14:val="tx1"/>
                  </w14:solidFill>
                </w14:textFill>
              </w:rPr>
              <w:t>，推进无人机智能巡查、厂中厂监测等场景全域覆盖，升级AI风险预测、非现场执法等核心能力，深化数字孪生、多模态大模型在应急处置中的实战应用。夯实数据、算法、算力基础支撑，构建全市一体化应急数据资源体系，研发场景化智能算法，集约配置算力资源。</w:t>
            </w:r>
          </w:p>
        </w:tc>
      </w:tr>
    </w:tbl>
    <w:p w14:paraId="0EAB9425">
      <w:pPr>
        <w:pStyle w:val="3"/>
        <w:rPr>
          <w:color w:val="000000" w:themeColor="text1"/>
          <w14:textFill>
            <w14:solidFill>
              <w14:schemeClr w14:val="tx1"/>
            </w14:solidFill>
          </w14:textFill>
        </w:rPr>
      </w:pPr>
      <w:bookmarkStart w:id="152" w:name="_Toc31492"/>
      <w:bookmarkStart w:id="153" w:name="_Toc10192"/>
      <w:bookmarkStart w:id="154" w:name="_Toc217298345"/>
      <w:bookmarkStart w:id="155" w:name="_Toc227324425"/>
      <w:bookmarkStart w:id="156" w:name="_Toc232019519"/>
      <w:r>
        <w:rPr>
          <w:rFonts w:hint="eastAsia"/>
          <w:color w:val="000000" w:themeColor="text1"/>
          <w14:textFill>
            <w14:solidFill>
              <w14:schemeClr w14:val="tx1"/>
            </w14:solidFill>
          </w14:textFill>
        </w:rPr>
        <w:t>八、健全共治机制，提高全民素养</w:t>
      </w:r>
      <w:bookmarkEnd w:id="152"/>
      <w:bookmarkEnd w:id="153"/>
      <w:bookmarkEnd w:id="154"/>
      <w:bookmarkEnd w:id="155"/>
      <w:bookmarkEnd w:id="156"/>
    </w:p>
    <w:p w14:paraId="43673E63">
      <w:pPr>
        <w:pStyle w:val="4"/>
        <w:ind w:firstLine="640"/>
        <w:rPr>
          <w:rFonts w:hint="eastAsia"/>
        </w:rPr>
      </w:pPr>
      <w:bookmarkStart w:id="157" w:name="_Toc229997145"/>
      <w:bookmarkStart w:id="158" w:name="_Toc227324426"/>
      <w:bookmarkStart w:id="159" w:name="_Toc232019520"/>
      <w:bookmarkStart w:id="160" w:name="_Toc230609213"/>
      <w:bookmarkStart w:id="161" w:name="_Toc25880"/>
      <w:r>
        <w:rPr>
          <w:rFonts w:hint="eastAsia" w:ascii="Times New Roman" w:hAnsi="Times New Roman"/>
          <w:color w:val="000000" w:themeColor="text1"/>
          <w14:textFill>
            <w14:solidFill>
              <w14:schemeClr w14:val="tx1"/>
            </w14:solidFill>
          </w14:textFill>
        </w:rPr>
        <w:t>（一）</w:t>
      </w:r>
      <w:r>
        <w:rPr>
          <w:rFonts w:hint="eastAsia"/>
        </w:rPr>
        <w:t>调动社会力量参与安全治理</w:t>
      </w:r>
      <w:bookmarkEnd w:id="157"/>
      <w:bookmarkEnd w:id="158"/>
      <w:bookmarkEnd w:id="159"/>
      <w:bookmarkEnd w:id="160"/>
      <w:bookmarkEnd w:id="161"/>
    </w:p>
    <w:p w14:paraId="2D068D6D">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推动重点领域因地制宜安全联盟常态化、制度化和精细化，强化龙头企业、链主企业安全管理示范引领，开展“链主领安”行动，深化上下游产业链协同治理，</w:t>
      </w:r>
      <w:r>
        <w:rPr>
          <w:rFonts w:ascii="Times New Roman" w:hAnsi="Times New Roman" w:eastAsia="仿宋_GB2312" w:cs="Times New Roman"/>
          <w:color w:val="000000" w:themeColor="text1"/>
          <w:sz w:val="32"/>
          <w:szCs w:val="32"/>
          <w14:textFill>
            <w14:solidFill>
              <w14:schemeClr w14:val="tx1"/>
            </w14:solidFill>
          </w14:textFill>
        </w:rPr>
        <w:t>组建互助联盟开展帮扶</w:t>
      </w:r>
      <w:r>
        <w:rPr>
          <w:rFonts w:hint="eastAsia" w:ascii="Times New Roman" w:hAnsi="Times New Roman" w:eastAsia="仿宋_GB2312" w:cs="Times New Roman"/>
          <w:color w:val="000000" w:themeColor="text1"/>
          <w:sz w:val="32"/>
          <w:szCs w:val="32"/>
          <w14:textFill>
            <w14:solidFill>
              <w14:schemeClr w14:val="tx1"/>
            </w14:solidFill>
          </w14:textFill>
        </w:rPr>
        <w:t>。深化“</w:t>
      </w:r>
      <w:bookmarkStart w:id="162" w:name="OLE_LINK17"/>
      <w:r>
        <w:rPr>
          <w:rFonts w:hint="eastAsia" w:ascii="Times New Roman" w:hAnsi="Times New Roman" w:eastAsia="仿宋_GB2312" w:cs="Times New Roman"/>
          <w:color w:val="000000" w:themeColor="text1"/>
          <w:sz w:val="32"/>
          <w:szCs w:val="32"/>
          <w14:textFill>
            <w14:solidFill>
              <w14:schemeClr w14:val="tx1"/>
            </w14:solidFill>
          </w14:textFill>
        </w:rPr>
        <w:t>保险护安</w:t>
      </w:r>
      <w:bookmarkEnd w:id="162"/>
      <w:r>
        <w:rPr>
          <w:rFonts w:hint="eastAsia" w:ascii="Times New Roman" w:hAnsi="Times New Roman" w:eastAsia="仿宋_GB2312" w:cs="Times New Roman"/>
          <w:color w:val="000000" w:themeColor="text1"/>
          <w:sz w:val="32"/>
          <w:szCs w:val="32"/>
          <w14:textFill>
            <w14:solidFill>
              <w14:schemeClr w14:val="tx1"/>
            </w14:solidFill>
          </w14:textFill>
        </w:rPr>
        <w:t>”机制，推动安责险扩面提质，持续推进重点行业领域安责险投保工作，鼓励保险机构逐步将高危行业领域的事故预防费用预算目标提高至上年度保费的20%，推动加强保险机构事故预防风控团队和专业能力建设，建立保险机构委托第三方机构事故预防服务考评机制。探索“基本险+补充险”的分层保障模式，建立重大事故快速理赔和预赔付机制。推行安全生产风险信用风险分类管理，积极探索以信用为基础的安全生产新型监管机制，完善监管执法“免罚轻罚”“白名单”配套制度和失信行为认定、惩戒、信用修复等制度。</w:t>
      </w:r>
      <w:r>
        <w:rPr>
          <w:rFonts w:ascii="Times New Roman" w:hAnsi="Times New Roman" w:eastAsia="仿宋_GB2312" w:cs="Times New Roman"/>
          <w:color w:val="000000" w:themeColor="text1"/>
          <w:sz w:val="32"/>
          <w:szCs w:val="32"/>
          <w14:textFill>
            <w14:solidFill>
              <w14:schemeClr w14:val="tx1"/>
            </w14:solidFill>
          </w14:textFill>
        </w:rPr>
        <w:t>鼓励公众参与安全生产监督，推进生产经营单位事故隐患内部报告奖励制度</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建立健全应急响应社会动员机制，发挥社会公众在信息报告和辅助救援等方面的作用。</w:t>
      </w:r>
      <w:r>
        <w:rPr>
          <w:rFonts w:hint="eastAsia" w:ascii="Times New Roman" w:hAnsi="Times New Roman" w:eastAsia="仿宋_GB2312" w:cs="Times New Roman"/>
          <w:color w:val="000000" w:themeColor="text1"/>
          <w:sz w:val="32"/>
          <w:szCs w:val="32"/>
          <w14:textFill>
            <w14:solidFill>
              <w14:schemeClr w14:val="tx1"/>
            </w14:solidFill>
          </w14:textFill>
        </w:rPr>
        <w:t>探索建立第三方机构及专业技术人员服务质量信用评价机制，公开应急管理技术服务机构名单。</w:t>
      </w:r>
      <w:r>
        <w:rPr>
          <w:rFonts w:ascii="Times New Roman" w:hAnsi="Times New Roman" w:eastAsia="仿宋_GB2312" w:cs="Times New Roman"/>
          <w:color w:val="000000" w:themeColor="text1"/>
          <w:sz w:val="32"/>
          <w:szCs w:val="32"/>
          <w14:textFill>
            <w14:solidFill>
              <w14:schemeClr w14:val="tx1"/>
            </w14:solidFill>
          </w14:textFill>
        </w:rPr>
        <w:t>建立安全生产对外协作交流长效机制</w:t>
      </w:r>
      <w:r>
        <w:rPr>
          <w:rFonts w:hint="eastAsia" w:ascii="Times New Roman" w:hAnsi="Times New Roman" w:eastAsia="仿宋_GB2312" w:cs="Times New Roman"/>
          <w:color w:val="000000" w:themeColor="text1"/>
          <w:sz w:val="32"/>
          <w:szCs w:val="32"/>
          <w14:textFill>
            <w14:solidFill>
              <w14:schemeClr w14:val="tx1"/>
            </w14:solidFill>
          </w14:textFill>
        </w:rPr>
        <w:t>，引进国际国内先进安全管理经验。开展“协会促安”行动，规范行业协会商会安全生产工作机制，推动成员单位提高安全水平。</w:t>
      </w:r>
    </w:p>
    <w:p w14:paraId="0D7E26A1">
      <w:pPr>
        <w:pStyle w:val="4"/>
        <w:ind w:firstLine="640"/>
        <w:rPr>
          <w:rFonts w:hint="eastAsia"/>
        </w:rPr>
      </w:pPr>
      <w:bookmarkStart w:id="163" w:name="_Toc232019521"/>
      <w:bookmarkStart w:id="164" w:name="_Toc229997146"/>
      <w:bookmarkStart w:id="165" w:name="_Toc227324427"/>
      <w:bookmarkStart w:id="166" w:name="_Toc230609214"/>
      <w:bookmarkStart w:id="167" w:name="_Toc22906"/>
      <w:r>
        <w:rPr>
          <w:rFonts w:hint="eastAsia" w:ascii="Times New Roman" w:hAnsi="Times New Roman"/>
          <w:color w:val="000000" w:themeColor="text1"/>
          <w14:textFill>
            <w14:solidFill>
              <w14:schemeClr w14:val="tx1"/>
            </w14:solidFill>
          </w14:textFill>
        </w:rPr>
        <w:t>（二）</w:t>
      </w:r>
      <w:r>
        <w:rPr>
          <w:rFonts w:hint="eastAsia"/>
        </w:rPr>
        <w:t>组建应急管理专业人才梯队</w:t>
      </w:r>
      <w:bookmarkEnd w:id="163"/>
      <w:bookmarkEnd w:id="164"/>
      <w:bookmarkEnd w:id="165"/>
      <w:bookmarkEnd w:id="166"/>
      <w:bookmarkEnd w:id="167"/>
    </w:p>
    <w:p w14:paraId="04518325">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打造应急管理智库引擎，深化与知名院所、高校应急管理学院的战略合作，建立人才联合培养基地和高端智库。聚焦应急管理领域的重大理论与实践问题，定向培育一批专业人才，提供区域应急管理体系建设和重大决策智力支撑。分层分类建立市、县应急管理专家库，参与政策法规制定、预案管理、应急演练、现场救援、灾情核查评估和事故调查处理等工作。聚焦行业领域安全管理的专业化需求，完善注册安全工程师的取证激励机制和职业发展通道，鼓励和吸引更多专业技术人员投身安全管理事业，发挥其在风险评估、隐患治理、技术创新等方面的安全中坚作用。</w:t>
      </w:r>
    </w:p>
    <w:p w14:paraId="4620E1E8">
      <w:pPr>
        <w:pStyle w:val="4"/>
        <w:ind w:firstLine="640"/>
        <w:rPr>
          <w:rFonts w:hint="eastAsia"/>
        </w:rPr>
      </w:pPr>
      <w:bookmarkStart w:id="168" w:name="_Toc230609215"/>
      <w:bookmarkStart w:id="169" w:name="_Toc229997147"/>
      <w:bookmarkStart w:id="170" w:name="_Toc232019522"/>
      <w:bookmarkStart w:id="171" w:name="_Toc26080"/>
      <w:bookmarkStart w:id="172" w:name="_Toc227324428"/>
      <w:r>
        <w:rPr>
          <w:rFonts w:hint="eastAsia" w:ascii="Times New Roman" w:hAnsi="Times New Roman"/>
          <w:color w:val="000000" w:themeColor="text1"/>
          <w14:textFill>
            <w14:solidFill>
              <w14:schemeClr w14:val="tx1"/>
            </w14:solidFill>
          </w14:textFill>
        </w:rPr>
        <w:t>（三）</w:t>
      </w:r>
      <w:r>
        <w:rPr>
          <w:rFonts w:hint="eastAsia"/>
        </w:rPr>
        <w:t>构建全民安全宣传教育体系</w:t>
      </w:r>
      <w:bookmarkEnd w:id="168"/>
      <w:bookmarkEnd w:id="169"/>
      <w:bookmarkEnd w:id="170"/>
      <w:bookmarkEnd w:id="171"/>
      <w:bookmarkEnd w:id="172"/>
    </w:p>
    <w:p w14:paraId="40E22FE4">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举办领导干部专题培训班，提高领导干部统筹发展和安全工作能力。加强县级以上应急管理领域议事协调机构成员单位负责同志、相关内设机构工作人员培训。强化安全监管人员管理，常态化分类分级开展专业培训和工作指导。设区市对乡镇（街道）专门工作力量、县级市（区）对安全巡查员定期开展培训。</w:t>
      </w:r>
      <w:r>
        <w:rPr>
          <w:rFonts w:ascii="Times New Roman" w:hAnsi="Times New Roman" w:eastAsia="仿宋_GB2312" w:cs="Times New Roman"/>
          <w:color w:val="000000" w:themeColor="text1"/>
          <w:sz w:val="32"/>
          <w:szCs w:val="32"/>
          <w14:textFill>
            <w14:solidFill>
              <w14:schemeClr w14:val="tx1"/>
            </w14:solidFill>
          </w14:textFill>
        </w:rPr>
        <w:t>开展“宣传强安”行动，广泛运用新媒体等形式开展“企业负责人和安全员说安全”活动。市县分级组织生产经营单位主要负责人“开工第一课”。</w:t>
      </w:r>
      <w:r>
        <w:rPr>
          <w:rFonts w:hint="eastAsia" w:ascii="Times New Roman" w:hAnsi="Times New Roman" w:eastAsia="仿宋_GB2312" w:cs="Times New Roman"/>
          <w:color w:val="000000" w:themeColor="text1"/>
          <w:sz w:val="32"/>
          <w:szCs w:val="32"/>
          <w14:textFill>
            <w14:solidFill>
              <w14:schemeClr w14:val="tx1"/>
            </w14:solidFill>
          </w14:textFill>
        </w:rPr>
        <w:t>严格落实全员特别是关键人员培训，把安全生产、消防实操纳入职业技能培训管理。开展“工会助安”行动，组织“安康杯”竞赛等活动。深化“班前班后5分钟”安全教育，开展常态化应急疏散逃生演练，推行生产经营单位从业人员下班走应急通道的做法。</w:t>
      </w:r>
    </w:p>
    <w:p w14:paraId="50FA17D2">
      <w:pPr>
        <w:spacing w:line="58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加强全民安全教育，大力开展社会公众安全基础素养培训，提升“安全生产月”“消防安全月”“防灾减灾月”等重大活动质效。采用“安全法规宣传+安全知识科普+事故案例警示”等形式，推动安全宣传“五进”活动，研发推广应急科普产品，建立安全科普短视频、事故警示片、应急知识公开课等视频资源库。发挥“百校百馆”应急科普基地作用，常态化开设安全技能、应急知识培训课堂。利用城市文化馆、科技馆等优质安全科普基地，打造“消防科普教育基地”“消防主题公园”等，开展安全文化科普宣教；发挥群团组织作用，塑造消防志愿服务等安全教育品牌，增强应急安全知识广度深度。</w:t>
      </w:r>
      <w:bookmarkEnd w:id="15"/>
    </w:p>
    <w:tbl>
      <w:tblPr>
        <w:tblStyle w:val="15"/>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3939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34" w:type="dxa"/>
            <w:vAlign w:val="center"/>
          </w:tcPr>
          <w:p w14:paraId="18EC3853">
            <w:pPr>
              <w:adjustRightInd w:val="0"/>
              <w:snapToGrid w:val="0"/>
              <w:jc w:val="center"/>
              <w:rPr>
                <w:rFonts w:ascii="Times New Roman" w:hAnsi="Times New Roman" w:eastAsia="方正黑体_GBK" w:cs="Times New Roman"/>
                <w:snapToGrid w:val="0"/>
                <w:color w:val="000000" w:themeColor="text1"/>
                <w:kern w:val="0"/>
                <w:sz w:val="24"/>
                <w:szCs w:val="20"/>
                <w14:textFill>
                  <w14:solidFill>
                    <w14:schemeClr w14:val="tx1"/>
                  </w14:solidFill>
                </w14:textFill>
              </w:rPr>
            </w:pPr>
            <w:r>
              <w:rPr>
                <w:rFonts w:hint="eastAsia" w:ascii="Times New Roman" w:hAnsi="Times New Roman" w:eastAsia="方正黑体_GBK" w:cs="Times New Roman"/>
                <w:color w:val="000000" w:themeColor="text1"/>
                <w:sz w:val="24"/>
                <w14:textFill>
                  <w14:solidFill>
                    <w14:schemeClr w14:val="tx1"/>
                  </w14:solidFill>
                </w14:textFill>
              </w:rPr>
              <w:t>专栏7</w:t>
            </w:r>
            <w:r>
              <w:rPr>
                <w:rFonts w:ascii="Times New Roman" w:hAnsi="Times New Roman" w:eastAsia="方正黑体_GBK" w:cs="Times New Roman"/>
                <w:color w:val="000000" w:themeColor="text1"/>
                <w:sz w:val="24"/>
                <w14:textFill>
                  <w14:solidFill>
                    <w14:schemeClr w14:val="tx1"/>
                  </w14:solidFill>
                </w14:textFill>
              </w:rPr>
              <w:t xml:space="preserve"> </w:t>
            </w:r>
            <w:r>
              <w:rPr>
                <w:rFonts w:hint="eastAsia" w:ascii="Times New Roman" w:hAnsi="Times New Roman" w:eastAsia="方正黑体_GBK" w:cs="Times New Roman"/>
                <w:color w:val="000000" w:themeColor="text1"/>
                <w:sz w:val="24"/>
                <w14:textFill>
                  <w14:solidFill>
                    <w14:schemeClr w14:val="tx1"/>
                  </w14:solidFill>
                </w14:textFill>
              </w:rPr>
              <w:t>安全宣教与文化建设工程</w:t>
            </w:r>
          </w:p>
        </w:tc>
      </w:tr>
      <w:tr w14:paraId="7713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4" w:type="dxa"/>
          </w:tcPr>
          <w:p w14:paraId="706AB414">
            <w:pPr>
              <w:overflowPunct w:val="0"/>
              <w:autoSpaceDE w:val="0"/>
              <w:autoSpaceDN w:val="0"/>
              <w:snapToGrid w:val="0"/>
              <w:spacing w:line="380" w:lineRule="exact"/>
              <w:ind w:firstLine="480" w:firstLineChars="200"/>
              <w:rPr>
                <w:rFonts w:ascii="Times New Roman" w:hAnsi="Times New Roman" w:eastAsia="宋体" w:cs="Times New Roman"/>
                <w:snapToGrid w:val="0"/>
                <w:color w:val="000000" w:themeColor="text1"/>
                <w:kern w:val="0"/>
                <w:sz w:val="24"/>
                <w14:textFill>
                  <w14:solidFill>
                    <w14:schemeClr w14:val="tx1"/>
                  </w14:solidFill>
                </w14:textFill>
              </w:rPr>
            </w:pPr>
            <w:r>
              <w:rPr>
                <w:rFonts w:hint="eastAsia" w:ascii="Times New Roman" w:hAnsi="Times New Roman" w:eastAsia="仿宋_GB2312" w:cs="仿宋_GB2312"/>
                <w:snapToGrid w:val="0"/>
                <w:color w:val="000000" w:themeColor="text1"/>
                <w:kern w:val="0"/>
                <w:sz w:val="24"/>
                <w14:textFill>
                  <w14:solidFill>
                    <w14:schemeClr w14:val="tx1"/>
                  </w14:solidFill>
                </w14:textFill>
              </w:rPr>
              <w:t>1.警示教育资源扩容提质行动。聚焦重点行业领域典型事故，组织收集事故第一现场影像资料，结合巡查检查、明查暗访拍摄制作警示教育片。</w:t>
            </w:r>
          </w:p>
          <w:p w14:paraId="488B5B13">
            <w:pPr>
              <w:overflowPunct w:val="0"/>
              <w:autoSpaceDE w:val="0"/>
              <w:autoSpaceDN w:val="0"/>
              <w:snapToGrid w:val="0"/>
              <w:spacing w:line="380" w:lineRule="exact"/>
              <w:ind w:firstLine="480" w:firstLineChars="200"/>
              <w:rPr>
                <w:rFonts w:ascii="Times New Roman" w:hAnsi="Times New Roman" w:eastAsia="宋体" w:cs="Times New Roman"/>
                <w:snapToGrid w:val="0"/>
                <w:color w:val="000000" w:themeColor="text1"/>
                <w:kern w:val="0"/>
                <w:sz w:val="24"/>
                <w14:textFill>
                  <w14:solidFill>
                    <w14:schemeClr w14:val="tx1"/>
                  </w14:solidFill>
                </w14:textFill>
              </w:rPr>
            </w:pPr>
            <w:r>
              <w:rPr>
                <w:rFonts w:hint="eastAsia" w:ascii="Times New Roman" w:hAnsi="Times New Roman" w:eastAsia="仿宋_GB2312" w:cs="仿宋_GB2312"/>
                <w:snapToGrid w:val="0"/>
                <w:color w:val="000000" w:themeColor="text1"/>
                <w:kern w:val="0"/>
                <w:sz w:val="24"/>
                <w14:textFill>
                  <w14:solidFill>
                    <w14:schemeClr w14:val="tx1"/>
                  </w14:solidFill>
                </w14:textFill>
              </w:rPr>
              <w:t>2.校园安全教育课程体系建设。在中小学开设“安全第一课”，在职业院校增设实验室安全、应急救护实训课程；推动高校将自救互救技能纳入通识教育。</w:t>
            </w:r>
          </w:p>
          <w:p w14:paraId="2531D2D4">
            <w:pPr>
              <w:overflowPunct w:val="0"/>
              <w:autoSpaceDE w:val="0"/>
              <w:autoSpaceDN w:val="0"/>
              <w:snapToGrid w:val="0"/>
              <w:spacing w:line="380" w:lineRule="exact"/>
              <w:ind w:firstLine="480" w:firstLineChars="200"/>
              <w:rPr>
                <w:rFonts w:ascii="Times New Roman" w:hAnsi="Times New Roman" w:eastAsia="宋体" w:cs="Times New Roman"/>
                <w:snapToGrid w:val="0"/>
                <w:color w:val="000000" w:themeColor="text1"/>
                <w:kern w:val="0"/>
                <w:sz w:val="24"/>
                <w14:textFill>
                  <w14:solidFill>
                    <w14:schemeClr w14:val="tx1"/>
                  </w14:solidFill>
                </w14:textFill>
              </w:rPr>
            </w:pPr>
            <w:r>
              <w:rPr>
                <w:rFonts w:hint="eastAsia" w:ascii="Times New Roman" w:hAnsi="Times New Roman" w:eastAsia="仿宋_GB2312" w:cs="仿宋_GB2312"/>
                <w:snapToGrid w:val="0"/>
                <w:color w:val="000000" w:themeColor="text1"/>
                <w:kern w:val="0"/>
                <w:sz w:val="24"/>
                <w14:textFill>
                  <w14:solidFill>
                    <w14:schemeClr w14:val="tx1"/>
                  </w14:solidFill>
                </w14:textFill>
              </w:rPr>
              <w:t>3.安全宣传“五进”深化行动。结合“安全生产月”“防灾减灾日”等节点，组织“班前班后5分钟”安全教育、社区应急演练、企业员工逃生实训等活动，年均覆盖超500万人次。</w:t>
            </w:r>
          </w:p>
          <w:p w14:paraId="0371CA37">
            <w:pPr>
              <w:overflowPunct w:val="0"/>
              <w:autoSpaceDE w:val="0"/>
              <w:autoSpaceDN w:val="0"/>
              <w:snapToGrid w:val="0"/>
              <w:spacing w:line="380" w:lineRule="exact"/>
              <w:ind w:firstLine="480" w:firstLineChars="200"/>
              <w:rPr>
                <w:rFonts w:ascii="Times New Roman" w:hAnsi="Times New Roman" w:eastAsia="宋体" w:cs="Times New Roman"/>
                <w:snapToGrid w:val="0"/>
                <w:color w:val="000000" w:themeColor="text1"/>
                <w:kern w:val="0"/>
                <w:sz w:val="24"/>
                <w14:textFill>
                  <w14:solidFill>
                    <w14:schemeClr w14:val="tx1"/>
                  </w14:solidFill>
                </w14:textFill>
              </w:rPr>
            </w:pPr>
            <w:r>
              <w:rPr>
                <w:rFonts w:hint="eastAsia" w:ascii="Times New Roman" w:hAnsi="Times New Roman" w:eastAsia="仿宋_GB2312" w:cs="仿宋_GB2312"/>
                <w:snapToGrid w:val="0"/>
                <w:color w:val="000000" w:themeColor="text1"/>
                <w:kern w:val="0"/>
                <w:sz w:val="24"/>
                <w14:textFill>
                  <w14:solidFill>
                    <w14:schemeClr w14:val="tx1"/>
                  </w14:solidFill>
                </w14:textFill>
              </w:rPr>
              <w:t>4.应急文化产品创作提升行动。联合本地媒体、高校、文艺团体，制作苏式评弹安全短剧、吴语版应急广播、VR事故体验等特色宣教产品，建设线上警示教育案例库，提升公众风险辨识与自救能力。</w:t>
            </w:r>
          </w:p>
          <w:p w14:paraId="3F674020">
            <w:pPr>
              <w:overflowPunct w:val="0"/>
              <w:autoSpaceDE w:val="0"/>
              <w:autoSpaceDN w:val="0"/>
              <w:snapToGrid w:val="0"/>
              <w:spacing w:line="380" w:lineRule="exact"/>
              <w:ind w:firstLine="480" w:firstLineChars="200"/>
              <w:rPr>
                <w:rFonts w:ascii="Times New Roman" w:hAnsi="Times New Roman" w:eastAsia="方正仿宋_GBK" w:cs="Times New Roman"/>
                <w:snapToGrid w:val="0"/>
                <w:color w:val="000000" w:themeColor="text1"/>
                <w:kern w:val="0"/>
                <w:sz w:val="24"/>
                <w14:textFill>
                  <w14:solidFill>
                    <w14:schemeClr w14:val="tx1"/>
                  </w14:solidFill>
                </w14:textFill>
              </w:rPr>
            </w:pPr>
            <w:r>
              <w:rPr>
                <w:rFonts w:hint="eastAsia" w:ascii="Times New Roman" w:hAnsi="Times New Roman" w:eastAsia="仿宋_GB2312" w:cs="仿宋_GB2312"/>
                <w:snapToGrid w:val="0"/>
                <w:color w:val="000000" w:themeColor="text1"/>
                <w:kern w:val="0"/>
                <w:sz w:val="24"/>
                <w14:textFill>
                  <w14:solidFill>
                    <w14:schemeClr w14:val="tx1"/>
                  </w14:solidFill>
                </w14:textFill>
              </w:rPr>
              <w:t>5.安全生产考试点体系化建设工程。严格落实国家考试标准，推进市考试中心搬迁及</w:t>
            </w:r>
            <w:r>
              <w:rPr>
                <w:rFonts w:ascii="Times New Roman" w:hAnsi="Times New Roman" w:eastAsia="仿宋_GB2312" w:cs="仿宋_GB2312"/>
                <w:snapToGrid w:val="0"/>
                <w:color w:val="000000" w:themeColor="text1"/>
                <w:kern w:val="0"/>
                <w:sz w:val="24"/>
                <w14:textFill>
                  <w14:solidFill>
                    <w14:schemeClr w14:val="tx1"/>
                  </w14:solidFill>
                </w14:textFill>
              </w:rPr>
              <w:t>6</w:t>
            </w:r>
            <w:r>
              <w:rPr>
                <w:rFonts w:hint="eastAsia" w:ascii="Times New Roman" w:hAnsi="Times New Roman" w:eastAsia="仿宋_GB2312" w:cs="仿宋_GB2312"/>
                <w:snapToGrid w:val="0"/>
                <w:color w:val="000000" w:themeColor="text1"/>
                <w:kern w:val="0"/>
                <w:sz w:val="24"/>
                <w14:textFill>
                  <w14:solidFill>
                    <w14:schemeClr w14:val="tx1"/>
                  </w14:solidFill>
                </w14:textFill>
              </w:rPr>
              <w:t>个考试点实操场地升级改造，配齐实操设备，确保通过省级验收并具备全工种实操考核能力。构建“人防+技防”智慧监管体系。启用新考核发证系统，对接国家容灾备份，落实考场“专人专柜专锁”管理。推动考评全流程智能化。全面部署AI智能评分系统，重点在电工、焊接、高处作业等领域实现人工智能辅助考评。</w:t>
            </w:r>
          </w:p>
        </w:tc>
      </w:tr>
    </w:tbl>
    <w:p w14:paraId="3321A920">
      <w:pPr>
        <w:pStyle w:val="3"/>
        <w:rPr>
          <w:color w:val="000000" w:themeColor="text1"/>
          <w14:textFill>
            <w14:solidFill>
              <w14:schemeClr w14:val="tx1"/>
            </w14:solidFill>
          </w14:textFill>
        </w:rPr>
      </w:pPr>
      <w:bookmarkStart w:id="173" w:name="_Toc232019529"/>
      <w:bookmarkStart w:id="174" w:name="_Toc227324435"/>
      <w:bookmarkStart w:id="175" w:name="_Toc29440"/>
      <w:bookmarkStart w:id="176" w:name="_Toc217298354"/>
      <w:r>
        <w:rPr>
          <w:rFonts w:hint="eastAsia"/>
          <w:color w:val="000000" w:themeColor="text1"/>
          <w14:textFill>
            <w14:solidFill>
              <w14:schemeClr w14:val="tx1"/>
            </w14:solidFill>
          </w14:textFill>
        </w:rPr>
        <w:t>九、保障措施</w:t>
      </w:r>
      <w:bookmarkEnd w:id="173"/>
      <w:bookmarkEnd w:id="174"/>
      <w:bookmarkEnd w:id="175"/>
      <w:bookmarkEnd w:id="176"/>
    </w:p>
    <w:p w14:paraId="2F7068BE">
      <w:pPr>
        <w:pStyle w:val="2"/>
        <w:ind w:firstLine="640" w:firstLineChars="200"/>
        <w:rPr>
          <w:rFonts w:eastAsia="仿宋_GB2312"/>
          <w:snapToGrid w:val="0"/>
          <w:color w:val="000000" w:themeColor="text1"/>
          <w:sz w:val="32"/>
          <w:szCs w:val="22"/>
          <w14:textFill>
            <w14:solidFill>
              <w14:schemeClr w14:val="tx1"/>
            </w14:solidFill>
          </w14:textFill>
        </w:rPr>
      </w:pPr>
      <w:bookmarkStart w:id="177" w:name="_Toc227324437"/>
      <w:bookmarkStart w:id="178" w:name="_Toc217298356"/>
      <w:bookmarkStart w:id="179" w:name="_Toc17594"/>
      <w:bookmarkStart w:id="180" w:name="_Toc232019531"/>
      <w:r>
        <w:rPr>
          <w:rFonts w:hint="eastAsia" w:ascii="楷体" w:hAnsi="楷体" w:eastAsia="仿宋_GB2312"/>
          <w:snapToGrid w:val="0"/>
          <w:color w:val="000000" w:themeColor="text1"/>
          <w:sz w:val="32"/>
          <w:szCs w:val="22"/>
          <w14:textFill>
            <w14:solidFill>
              <w14:schemeClr w14:val="tx1"/>
            </w14:solidFill>
          </w14:textFill>
        </w:rPr>
        <w:t>健全组</w:t>
      </w:r>
      <w:bookmarkStart w:id="181" w:name="OLE_LINK15"/>
      <w:r>
        <w:rPr>
          <w:rFonts w:hint="eastAsia" w:ascii="楷体" w:hAnsi="楷体" w:eastAsia="仿宋_GB2312"/>
          <w:snapToGrid w:val="0"/>
          <w:color w:val="000000" w:themeColor="text1"/>
          <w:sz w:val="32"/>
          <w:szCs w:val="22"/>
          <w14:textFill>
            <w14:solidFill>
              <w14:schemeClr w14:val="tx1"/>
            </w14:solidFill>
          </w14:textFill>
        </w:rPr>
        <w:t>织领</w:t>
      </w:r>
      <w:bookmarkEnd w:id="181"/>
      <w:r>
        <w:rPr>
          <w:rFonts w:hint="eastAsia" w:ascii="楷体" w:hAnsi="楷体" w:eastAsia="仿宋_GB2312"/>
          <w:snapToGrid w:val="0"/>
          <w:color w:val="000000" w:themeColor="text1"/>
          <w:sz w:val="32"/>
          <w:szCs w:val="22"/>
          <w14:textFill>
            <w14:solidFill>
              <w14:schemeClr w14:val="tx1"/>
            </w14:solidFill>
          </w14:textFill>
        </w:rPr>
        <w:t>导架构，坚持高位</w:t>
      </w:r>
      <w:bookmarkStart w:id="182" w:name="OLE_LINK28"/>
      <w:r>
        <w:rPr>
          <w:rFonts w:hint="eastAsia" w:ascii="楷体" w:hAnsi="楷体" w:eastAsia="仿宋_GB2312"/>
          <w:snapToGrid w:val="0"/>
          <w:color w:val="000000" w:themeColor="text1"/>
          <w:sz w:val="32"/>
          <w:szCs w:val="22"/>
          <w14:textFill>
            <w14:solidFill>
              <w14:schemeClr w14:val="tx1"/>
            </w14:solidFill>
          </w14:textFill>
        </w:rPr>
        <w:t>推动、有序</w:t>
      </w:r>
      <w:bookmarkEnd w:id="182"/>
      <w:r>
        <w:rPr>
          <w:rFonts w:hint="eastAsia" w:ascii="楷体" w:hAnsi="楷体" w:eastAsia="仿宋_GB2312"/>
          <w:snapToGrid w:val="0"/>
          <w:color w:val="000000" w:themeColor="text1"/>
          <w:sz w:val="32"/>
          <w:szCs w:val="22"/>
          <w14:textFill>
            <w14:solidFill>
              <w14:schemeClr w14:val="tx1"/>
            </w14:solidFill>
          </w14:textFill>
        </w:rPr>
        <w:t>实施各项工作，</w:t>
      </w:r>
      <w:bookmarkEnd w:id="177"/>
      <w:bookmarkEnd w:id="178"/>
      <w:bookmarkEnd w:id="179"/>
      <w:bookmarkEnd w:id="180"/>
      <w:r>
        <w:rPr>
          <w:rFonts w:hint="eastAsia" w:ascii="楷体" w:hAnsi="楷体" w:eastAsia="仿宋_GB2312"/>
          <w:snapToGrid w:val="0"/>
          <w:color w:val="000000" w:themeColor="text1"/>
          <w:sz w:val="32"/>
          <w:szCs w:val="22"/>
          <w14:textFill>
            <w14:solidFill>
              <w14:schemeClr w14:val="tx1"/>
            </w14:solidFill>
          </w14:textFill>
        </w:rPr>
        <w:t>细化发展举措，明确责任主体，强化部门履职。</w:t>
      </w:r>
      <w:r>
        <w:rPr>
          <w:rFonts w:hint="eastAsia" w:eastAsia="仿宋_GB2312"/>
          <w:snapToGrid w:val="0"/>
          <w:color w:val="000000" w:themeColor="text1"/>
          <w:sz w:val="32"/>
          <w:szCs w:val="22"/>
          <w14:textFill>
            <w14:solidFill>
              <w14:schemeClr w14:val="tx1"/>
            </w14:solidFill>
          </w14:textFill>
        </w:rPr>
        <w:t>强化部门联动督办，统筹政策保障破解实施难点。统筹人财物供给，合理制定资金、用地、审批扶持政策，拓宽投融资渠道，引导各类社会力量参与，构建多元投入格局。动态监测规划实施情况，全程跟踪项目进度、要素保障与实施成效，定期开展全过程评估，</w:t>
      </w:r>
      <w:r>
        <w:rPr>
          <w:rFonts w:eastAsia="仿宋_GB2312"/>
          <w:snapToGrid w:val="0"/>
          <w:color w:val="000000" w:themeColor="text1"/>
          <w:sz w:val="32"/>
          <w:szCs w:val="22"/>
          <w14:textFill>
            <w14:solidFill>
              <w14:schemeClr w14:val="tx1"/>
            </w14:solidFill>
          </w14:textFill>
        </w:rPr>
        <w:t>202</w:t>
      </w:r>
      <w:r>
        <w:rPr>
          <w:rFonts w:hint="eastAsia" w:eastAsia="仿宋_GB2312"/>
          <w:snapToGrid w:val="0"/>
          <w:color w:val="000000" w:themeColor="text1"/>
          <w:sz w:val="32"/>
          <w:szCs w:val="22"/>
          <w14:textFill>
            <w14:solidFill>
              <w14:schemeClr w14:val="tx1"/>
            </w14:solidFill>
          </w14:textFill>
        </w:rPr>
        <w:t>8年开展中期评估并调整目标任务，</w:t>
      </w:r>
      <w:r>
        <w:rPr>
          <w:rFonts w:eastAsia="仿宋_GB2312"/>
          <w:snapToGrid w:val="0"/>
          <w:color w:val="000000" w:themeColor="text1"/>
          <w:sz w:val="32"/>
          <w:szCs w:val="22"/>
          <w14:textFill>
            <w14:solidFill>
              <w14:schemeClr w14:val="tx1"/>
            </w14:solidFill>
          </w14:textFill>
        </w:rPr>
        <w:t>2030</w:t>
      </w:r>
      <w:r>
        <w:rPr>
          <w:rFonts w:hint="eastAsia" w:eastAsia="仿宋_GB2312"/>
          <w:snapToGrid w:val="0"/>
          <w:color w:val="000000" w:themeColor="text1"/>
          <w:sz w:val="32"/>
          <w:szCs w:val="22"/>
          <w14:textFill>
            <w14:solidFill>
              <w14:schemeClr w14:val="tx1"/>
            </w14:solidFill>
          </w14:textFill>
        </w:rPr>
        <w:t>年完成规划实施成效总结评估，为“十六五”工作提供决策支撑。</w:t>
      </w:r>
    </w:p>
    <w:sectPr>
      <w:footerReference r:id="rId3" w:type="default"/>
      <w:pgSz w:w="11906" w:h="16838"/>
      <w:pgMar w:top="1984" w:right="1474" w:bottom="1928"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931E33-216E-4179-8B61-1BE3E45429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0EED0784-0D17-4134-9115-B2A8BE20E625}"/>
  </w:font>
  <w:font w:name="楷体">
    <w:panose1 w:val="02010609060101010101"/>
    <w:charset w:val="86"/>
    <w:family w:val="modern"/>
    <w:pitch w:val="default"/>
    <w:sig w:usb0="800002BF" w:usb1="38CF7CFA" w:usb2="00000016" w:usb3="00000000" w:csb0="00040001" w:csb1="00000000"/>
    <w:embedRegular r:id="rId3" w:fontKey="{78AADD52-7CCF-4843-B54F-8FFCD304B9CB}"/>
  </w:font>
  <w:font w:name="仿宋_GB2312">
    <w:panose1 w:val="02010609030101010101"/>
    <w:charset w:val="86"/>
    <w:family w:val="modern"/>
    <w:pitch w:val="default"/>
    <w:sig w:usb0="00000001" w:usb1="080E0000" w:usb2="00000000" w:usb3="00000000" w:csb0="00040000" w:csb1="00000000"/>
    <w:embedRegular r:id="rId4" w:fontKey="{D37654DA-7467-4B46-8061-2FF295A57AF9}"/>
  </w:font>
  <w:font w:name="方正仿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5" w:fontKey="{7EE47E09-A6C5-4C22-9196-3C0170556386}"/>
  </w:font>
  <w:font w:name="方正仿宋_GBK">
    <w:panose1 w:val="03000509000000000000"/>
    <w:charset w:val="86"/>
    <w:family w:val="script"/>
    <w:pitch w:val="default"/>
    <w:sig w:usb0="00000001" w:usb1="080E0000" w:usb2="00000000" w:usb3="00000000" w:csb0="00040000" w:csb1="00000000"/>
    <w:embedRegular r:id="rId6" w:fontKey="{86C0F1B6-A771-4951-9EA5-FB7C2764B84D}"/>
  </w:font>
  <w:font w:name="方正黑体_GBK">
    <w:panose1 w:val="03000509000000000000"/>
    <w:charset w:val="86"/>
    <w:family w:val="script"/>
    <w:pitch w:val="default"/>
    <w:sig w:usb0="00000001" w:usb1="080E0000" w:usb2="00000000" w:usb3="00000000" w:csb0="00040000" w:csb1="00000000"/>
    <w:embedRegular r:id="rId7" w:fontKey="{82035CF6-003B-4B29-B6F0-C98C63934BA6}"/>
  </w:font>
  <w:font w:name="Times Newer Roman">
    <w:altName w:val="Courier New"/>
    <w:panose1 w:val="00000000000000000000"/>
    <w:charset w:val="00"/>
    <w:family w:val="modern"/>
    <w:pitch w:val="default"/>
    <w:sig w:usb0="00000000" w:usb1="00000000" w:usb2="00000000" w:usb3="00000000" w:csb0="0000009F" w:csb1="00000000"/>
    <w:embedRegular r:id="rId8" w:fontKey="{6F18B8AD-E230-4B65-9B90-37317B395A6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4146957"/>
    </w:sdtPr>
    <w:sdtEndPr>
      <w:rPr>
        <w:rFonts w:hint="eastAsia" w:ascii="仿宋_GB2312" w:eastAsia="仿宋_GB2312"/>
        <w:sz w:val="28"/>
        <w:szCs w:val="44"/>
      </w:rPr>
    </w:sdtEndPr>
    <w:sdtContent>
      <w:p w14:paraId="4105CE53">
        <w:pPr>
          <w:pStyle w:val="9"/>
          <w:jc w:val="center"/>
          <w:rPr>
            <w:rFonts w:ascii="仿宋_GB2312" w:eastAsia="仿宋_GB2312"/>
            <w:sz w:val="28"/>
            <w:szCs w:val="44"/>
          </w:rPr>
        </w:pPr>
        <w:r>
          <w:rPr>
            <w:rFonts w:hint="eastAsia" w:ascii="仿宋_GB2312" w:eastAsia="仿宋_GB2312"/>
            <w:sz w:val="28"/>
            <w:szCs w:val="44"/>
          </w:rPr>
          <w:fldChar w:fldCharType="begin"/>
        </w:r>
        <w:r>
          <w:rPr>
            <w:rFonts w:hint="eastAsia" w:ascii="仿宋_GB2312" w:eastAsia="仿宋_GB2312"/>
            <w:sz w:val="28"/>
            <w:szCs w:val="44"/>
          </w:rPr>
          <w:instrText xml:space="preserve">PAGE   \* MERGEFORMAT</w:instrText>
        </w:r>
        <w:r>
          <w:rPr>
            <w:rFonts w:hint="eastAsia" w:ascii="仿宋_GB2312" w:eastAsia="仿宋_GB2312"/>
            <w:sz w:val="28"/>
            <w:szCs w:val="44"/>
          </w:rPr>
          <w:fldChar w:fldCharType="separate"/>
        </w:r>
        <w:r>
          <w:rPr>
            <w:rFonts w:ascii="仿宋_GB2312" w:eastAsia="仿宋_GB2312"/>
            <w:sz w:val="28"/>
            <w:szCs w:val="44"/>
            <w:lang w:val="zh-CN"/>
          </w:rPr>
          <w:t>6</w:t>
        </w:r>
        <w:r>
          <w:rPr>
            <w:rFonts w:hint="eastAsia" w:ascii="仿宋_GB2312" w:eastAsia="仿宋_GB2312"/>
            <w:sz w:val="28"/>
            <w:szCs w:val="44"/>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097"/>
    <w:rsid w:val="00000FBB"/>
    <w:rsid w:val="00005447"/>
    <w:rsid w:val="00005ACF"/>
    <w:rsid w:val="00007116"/>
    <w:rsid w:val="00011747"/>
    <w:rsid w:val="0001411C"/>
    <w:rsid w:val="0001426E"/>
    <w:rsid w:val="00014948"/>
    <w:rsid w:val="00015E73"/>
    <w:rsid w:val="00021213"/>
    <w:rsid w:val="00021C3B"/>
    <w:rsid w:val="00023206"/>
    <w:rsid w:val="000232F8"/>
    <w:rsid w:val="00024B98"/>
    <w:rsid w:val="00024D36"/>
    <w:rsid w:val="000272D9"/>
    <w:rsid w:val="0003031E"/>
    <w:rsid w:val="00031C01"/>
    <w:rsid w:val="00031CDF"/>
    <w:rsid w:val="000320BE"/>
    <w:rsid w:val="000320D6"/>
    <w:rsid w:val="000327CB"/>
    <w:rsid w:val="00033458"/>
    <w:rsid w:val="00033954"/>
    <w:rsid w:val="000407A9"/>
    <w:rsid w:val="00041143"/>
    <w:rsid w:val="00041182"/>
    <w:rsid w:val="000413BD"/>
    <w:rsid w:val="00052435"/>
    <w:rsid w:val="00053A62"/>
    <w:rsid w:val="00061B9A"/>
    <w:rsid w:val="00062DAB"/>
    <w:rsid w:val="00065D22"/>
    <w:rsid w:val="00071693"/>
    <w:rsid w:val="00072648"/>
    <w:rsid w:val="000751CE"/>
    <w:rsid w:val="00084150"/>
    <w:rsid w:val="000851BD"/>
    <w:rsid w:val="00085911"/>
    <w:rsid w:val="00085F50"/>
    <w:rsid w:val="0009719F"/>
    <w:rsid w:val="000A1863"/>
    <w:rsid w:val="000A3394"/>
    <w:rsid w:val="000A3B80"/>
    <w:rsid w:val="000A5AAA"/>
    <w:rsid w:val="000A5DEE"/>
    <w:rsid w:val="000A7980"/>
    <w:rsid w:val="000A7C9D"/>
    <w:rsid w:val="000B1510"/>
    <w:rsid w:val="000B4FD3"/>
    <w:rsid w:val="000C148E"/>
    <w:rsid w:val="000C3C0D"/>
    <w:rsid w:val="000C4C85"/>
    <w:rsid w:val="000C655C"/>
    <w:rsid w:val="000C7FBA"/>
    <w:rsid w:val="000D65A7"/>
    <w:rsid w:val="000D72A8"/>
    <w:rsid w:val="000E5C7C"/>
    <w:rsid w:val="000E75BC"/>
    <w:rsid w:val="000F4BF0"/>
    <w:rsid w:val="000F6A85"/>
    <w:rsid w:val="000F6F49"/>
    <w:rsid w:val="000F7505"/>
    <w:rsid w:val="001053AE"/>
    <w:rsid w:val="00105510"/>
    <w:rsid w:val="00105956"/>
    <w:rsid w:val="00107707"/>
    <w:rsid w:val="00107F98"/>
    <w:rsid w:val="00110864"/>
    <w:rsid w:val="00110A75"/>
    <w:rsid w:val="00121743"/>
    <w:rsid w:val="001254DE"/>
    <w:rsid w:val="00126A22"/>
    <w:rsid w:val="00130AA2"/>
    <w:rsid w:val="0013377B"/>
    <w:rsid w:val="001365AB"/>
    <w:rsid w:val="0015065B"/>
    <w:rsid w:val="0015086A"/>
    <w:rsid w:val="00152B9E"/>
    <w:rsid w:val="00153F4E"/>
    <w:rsid w:val="0015536F"/>
    <w:rsid w:val="00155C4C"/>
    <w:rsid w:val="00157EC8"/>
    <w:rsid w:val="001601BA"/>
    <w:rsid w:val="00167720"/>
    <w:rsid w:val="001732BC"/>
    <w:rsid w:val="0017614D"/>
    <w:rsid w:val="00176DB6"/>
    <w:rsid w:val="001810A2"/>
    <w:rsid w:val="001864D8"/>
    <w:rsid w:val="00192ECF"/>
    <w:rsid w:val="00193152"/>
    <w:rsid w:val="00194BD9"/>
    <w:rsid w:val="001961B7"/>
    <w:rsid w:val="00196650"/>
    <w:rsid w:val="00197418"/>
    <w:rsid w:val="00197E0F"/>
    <w:rsid w:val="001A08BA"/>
    <w:rsid w:val="001A13E8"/>
    <w:rsid w:val="001B18F8"/>
    <w:rsid w:val="001B2CF0"/>
    <w:rsid w:val="001B4B18"/>
    <w:rsid w:val="001B680B"/>
    <w:rsid w:val="001C098F"/>
    <w:rsid w:val="001C5DF8"/>
    <w:rsid w:val="001C65CD"/>
    <w:rsid w:val="001C6A13"/>
    <w:rsid w:val="001C72C2"/>
    <w:rsid w:val="001D05AA"/>
    <w:rsid w:val="001D2AAE"/>
    <w:rsid w:val="001D2BF0"/>
    <w:rsid w:val="001D410D"/>
    <w:rsid w:val="001D5A5E"/>
    <w:rsid w:val="001D7F18"/>
    <w:rsid w:val="001E065D"/>
    <w:rsid w:val="001E3B24"/>
    <w:rsid w:val="001E3BDF"/>
    <w:rsid w:val="001E429B"/>
    <w:rsid w:val="001F204A"/>
    <w:rsid w:val="001F5000"/>
    <w:rsid w:val="001F7D16"/>
    <w:rsid w:val="00205B90"/>
    <w:rsid w:val="00211A7C"/>
    <w:rsid w:val="00213C64"/>
    <w:rsid w:val="00213CF2"/>
    <w:rsid w:val="002163A4"/>
    <w:rsid w:val="00216828"/>
    <w:rsid w:val="00216E8E"/>
    <w:rsid w:val="002170D3"/>
    <w:rsid w:val="002223B4"/>
    <w:rsid w:val="00227A81"/>
    <w:rsid w:val="00232BE1"/>
    <w:rsid w:val="00234754"/>
    <w:rsid w:val="00243A66"/>
    <w:rsid w:val="00244030"/>
    <w:rsid w:val="002449E4"/>
    <w:rsid w:val="00245F9E"/>
    <w:rsid w:val="002468A3"/>
    <w:rsid w:val="00251893"/>
    <w:rsid w:val="00261829"/>
    <w:rsid w:val="00262653"/>
    <w:rsid w:val="00262C4D"/>
    <w:rsid w:val="00263CC2"/>
    <w:rsid w:val="002650C6"/>
    <w:rsid w:val="00265CC9"/>
    <w:rsid w:val="00265F96"/>
    <w:rsid w:val="002676B7"/>
    <w:rsid w:val="00271961"/>
    <w:rsid w:val="002733C9"/>
    <w:rsid w:val="002840F0"/>
    <w:rsid w:val="002843F9"/>
    <w:rsid w:val="00285613"/>
    <w:rsid w:val="00287FD0"/>
    <w:rsid w:val="00292A82"/>
    <w:rsid w:val="002A26FE"/>
    <w:rsid w:val="002A3520"/>
    <w:rsid w:val="002A5D14"/>
    <w:rsid w:val="002A6B85"/>
    <w:rsid w:val="002B5997"/>
    <w:rsid w:val="002C0806"/>
    <w:rsid w:val="002C2D50"/>
    <w:rsid w:val="002D0893"/>
    <w:rsid w:val="002D23A9"/>
    <w:rsid w:val="002E4740"/>
    <w:rsid w:val="002E54F7"/>
    <w:rsid w:val="002E78F5"/>
    <w:rsid w:val="002F01AB"/>
    <w:rsid w:val="002F07DA"/>
    <w:rsid w:val="002F4955"/>
    <w:rsid w:val="003000BE"/>
    <w:rsid w:val="003001D5"/>
    <w:rsid w:val="003033FA"/>
    <w:rsid w:val="003100A9"/>
    <w:rsid w:val="00311A09"/>
    <w:rsid w:val="00312BD3"/>
    <w:rsid w:val="00313CB5"/>
    <w:rsid w:val="00315E14"/>
    <w:rsid w:val="00320881"/>
    <w:rsid w:val="0032220A"/>
    <w:rsid w:val="00322E8C"/>
    <w:rsid w:val="00323A3C"/>
    <w:rsid w:val="00324C01"/>
    <w:rsid w:val="00332557"/>
    <w:rsid w:val="00332AA7"/>
    <w:rsid w:val="00340828"/>
    <w:rsid w:val="00342C5C"/>
    <w:rsid w:val="003447DF"/>
    <w:rsid w:val="00351F70"/>
    <w:rsid w:val="003559A5"/>
    <w:rsid w:val="00356799"/>
    <w:rsid w:val="0036170A"/>
    <w:rsid w:val="00364AD5"/>
    <w:rsid w:val="00370266"/>
    <w:rsid w:val="00374058"/>
    <w:rsid w:val="003741C5"/>
    <w:rsid w:val="003753F0"/>
    <w:rsid w:val="003757A5"/>
    <w:rsid w:val="00375E00"/>
    <w:rsid w:val="003831B7"/>
    <w:rsid w:val="0038704A"/>
    <w:rsid w:val="003876F0"/>
    <w:rsid w:val="00390C88"/>
    <w:rsid w:val="00393FCE"/>
    <w:rsid w:val="00395418"/>
    <w:rsid w:val="00397701"/>
    <w:rsid w:val="003A115C"/>
    <w:rsid w:val="003A5143"/>
    <w:rsid w:val="003A6165"/>
    <w:rsid w:val="003A668A"/>
    <w:rsid w:val="003A6D6A"/>
    <w:rsid w:val="003B0245"/>
    <w:rsid w:val="003B5B22"/>
    <w:rsid w:val="003C0287"/>
    <w:rsid w:val="003C1254"/>
    <w:rsid w:val="003C2D93"/>
    <w:rsid w:val="003C59B1"/>
    <w:rsid w:val="003D00B1"/>
    <w:rsid w:val="003D40DA"/>
    <w:rsid w:val="003D5ABA"/>
    <w:rsid w:val="003E02A8"/>
    <w:rsid w:val="003E31CC"/>
    <w:rsid w:val="003E3BF3"/>
    <w:rsid w:val="003F2A42"/>
    <w:rsid w:val="003F62B6"/>
    <w:rsid w:val="004004BE"/>
    <w:rsid w:val="00400DE4"/>
    <w:rsid w:val="00401D9C"/>
    <w:rsid w:val="004037D7"/>
    <w:rsid w:val="00410BBE"/>
    <w:rsid w:val="00410E99"/>
    <w:rsid w:val="00416683"/>
    <w:rsid w:val="00421939"/>
    <w:rsid w:val="00422DBF"/>
    <w:rsid w:val="0042304C"/>
    <w:rsid w:val="00424897"/>
    <w:rsid w:val="00424CF8"/>
    <w:rsid w:val="004276BC"/>
    <w:rsid w:val="004315B9"/>
    <w:rsid w:val="00433598"/>
    <w:rsid w:val="00437091"/>
    <w:rsid w:val="00440B40"/>
    <w:rsid w:val="0044351F"/>
    <w:rsid w:val="004441A1"/>
    <w:rsid w:val="00451834"/>
    <w:rsid w:val="0045342C"/>
    <w:rsid w:val="00465DFA"/>
    <w:rsid w:val="00477992"/>
    <w:rsid w:val="00485AC2"/>
    <w:rsid w:val="00487929"/>
    <w:rsid w:val="004900DE"/>
    <w:rsid w:val="00492655"/>
    <w:rsid w:val="00492800"/>
    <w:rsid w:val="004931FB"/>
    <w:rsid w:val="00493389"/>
    <w:rsid w:val="00496435"/>
    <w:rsid w:val="004A1182"/>
    <w:rsid w:val="004A5C9F"/>
    <w:rsid w:val="004B37B3"/>
    <w:rsid w:val="004B4A3D"/>
    <w:rsid w:val="004C6341"/>
    <w:rsid w:val="004C7F32"/>
    <w:rsid w:val="004D286E"/>
    <w:rsid w:val="004D4720"/>
    <w:rsid w:val="004E418C"/>
    <w:rsid w:val="004E5152"/>
    <w:rsid w:val="004E66ED"/>
    <w:rsid w:val="004F301A"/>
    <w:rsid w:val="004F50A2"/>
    <w:rsid w:val="00501C30"/>
    <w:rsid w:val="0050263E"/>
    <w:rsid w:val="00510978"/>
    <w:rsid w:val="00516456"/>
    <w:rsid w:val="00516CFD"/>
    <w:rsid w:val="00523E6E"/>
    <w:rsid w:val="0052424E"/>
    <w:rsid w:val="005245EA"/>
    <w:rsid w:val="00524BF7"/>
    <w:rsid w:val="00527FCF"/>
    <w:rsid w:val="0053017A"/>
    <w:rsid w:val="0053062F"/>
    <w:rsid w:val="005342DD"/>
    <w:rsid w:val="00535D66"/>
    <w:rsid w:val="00536E62"/>
    <w:rsid w:val="0054255A"/>
    <w:rsid w:val="0054799E"/>
    <w:rsid w:val="005569BB"/>
    <w:rsid w:val="005611AC"/>
    <w:rsid w:val="0056137A"/>
    <w:rsid w:val="00561CFB"/>
    <w:rsid w:val="00563EF2"/>
    <w:rsid w:val="00565491"/>
    <w:rsid w:val="0056553C"/>
    <w:rsid w:val="0057164C"/>
    <w:rsid w:val="00573342"/>
    <w:rsid w:val="005748DC"/>
    <w:rsid w:val="00576667"/>
    <w:rsid w:val="00593576"/>
    <w:rsid w:val="005938A1"/>
    <w:rsid w:val="005955BE"/>
    <w:rsid w:val="005A1B0D"/>
    <w:rsid w:val="005A3F24"/>
    <w:rsid w:val="005A587A"/>
    <w:rsid w:val="005A7478"/>
    <w:rsid w:val="005B0BC5"/>
    <w:rsid w:val="005B18E5"/>
    <w:rsid w:val="005B1C96"/>
    <w:rsid w:val="005B36D2"/>
    <w:rsid w:val="005B6073"/>
    <w:rsid w:val="005C32ED"/>
    <w:rsid w:val="005C53D3"/>
    <w:rsid w:val="005C6C60"/>
    <w:rsid w:val="005D1C19"/>
    <w:rsid w:val="005D45E0"/>
    <w:rsid w:val="005E11AC"/>
    <w:rsid w:val="005E42DC"/>
    <w:rsid w:val="005E4C94"/>
    <w:rsid w:val="005F1AB5"/>
    <w:rsid w:val="005F6032"/>
    <w:rsid w:val="005F6C30"/>
    <w:rsid w:val="005F755B"/>
    <w:rsid w:val="00606ADE"/>
    <w:rsid w:val="00610506"/>
    <w:rsid w:val="00615B76"/>
    <w:rsid w:val="00615D48"/>
    <w:rsid w:val="00622163"/>
    <w:rsid w:val="006238C2"/>
    <w:rsid w:val="0062507F"/>
    <w:rsid w:val="006366AB"/>
    <w:rsid w:val="0063694D"/>
    <w:rsid w:val="00640B67"/>
    <w:rsid w:val="0064190A"/>
    <w:rsid w:val="00642051"/>
    <w:rsid w:val="00642900"/>
    <w:rsid w:val="006433FB"/>
    <w:rsid w:val="00663829"/>
    <w:rsid w:val="0066419A"/>
    <w:rsid w:val="00665E3B"/>
    <w:rsid w:val="00673302"/>
    <w:rsid w:val="00675336"/>
    <w:rsid w:val="00677615"/>
    <w:rsid w:val="00681AF2"/>
    <w:rsid w:val="00691073"/>
    <w:rsid w:val="00693260"/>
    <w:rsid w:val="006945B1"/>
    <w:rsid w:val="00695654"/>
    <w:rsid w:val="006976F0"/>
    <w:rsid w:val="006A4206"/>
    <w:rsid w:val="006B0951"/>
    <w:rsid w:val="006B3FD5"/>
    <w:rsid w:val="006B3FD7"/>
    <w:rsid w:val="006B4DDA"/>
    <w:rsid w:val="006B55B8"/>
    <w:rsid w:val="006B58FA"/>
    <w:rsid w:val="006B61F2"/>
    <w:rsid w:val="006C52B5"/>
    <w:rsid w:val="006C6148"/>
    <w:rsid w:val="006D23F1"/>
    <w:rsid w:val="006E01B9"/>
    <w:rsid w:val="006E42E8"/>
    <w:rsid w:val="006F349D"/>
    <w:rsid w:val="006F7DA3"/>
    <w:rsid w:val="00700765"/>
    <w:rsid w:val="00706D6C"/>
    <w:rsid w:val="007169C8"/>
    <w:rsid w:val="00716B97"/>
    <w:rsid w:val="00717025"/>
    <w:rsid w:val="00725527"/>
    <w:rsid w:val="00725A8E"/>
    <w:rsid w:val="007324FC"/>
    <w:rsid w:val="0073501B"/>
    <w:rsid w:val="00743996"/>
    <w:rsid w:val="00746E36"/>
    <w:rsid w:val="0075223A"/>
    <w:rsid w:val="007575BC"/>
    <w:rsid w:val="007602C9"/>
    <w:rsid w:val="007617D7"/>
    <w:rsid w:val="0076733B"/>
    <w:rsid w:val="00771272"/>
    <w:rsid w:val="00771D8A"/>
    <w:rsid w:val="0077540E"/>
    <w:rsid w:val="00775E29"/>
    <w:rsid w:val="00780D70"/>
    <w:rsid w:val="00786227"/>
    <w:rsid w:val="0078683E"/>
    <w:rsid w:val="00792889"/>
    <w:rsid w:val="007940DA"/>
    <w:rsid w:val="00794CA2"/>
    <w:rsid w:val="007A41CB"/>
    <w:rsid w:val="007B21B1"/>
    <w:rsid w:val="007B294B"/>
    <w:rsid w:val="007B2DDA"/>
    <w:rsid w:val="007B345A"/>
    <w:rsid w:val="007B4093"/>
    <w:rsid w:val="007C07DA"/>
    <w:rsid w:val="007C1129"/>
    <w:rsid w:val="007C1F1C"/>
    <w:rsid w:val="007C2746"/>
    <w:rsid w:val="007D7E85"/>
    <w:rsid w:val="007E0AC5"/>
    <w:rsid w:val="007E1BBB"/>
    <w:rsid w:val="007E1CDE"/>
    <w:rsid w:val="007E64B0"/>
    <w:rsid w:val="007E7783"/>
    <w:rsid w:val="007F2E66"/>
    <w:rsid w:val="00810AD4"/>
    <w:rsid w:val="0081412A"/>
    <w:rsid w:val="00816A1E"/>
    <w:rsid w:val="008215B7"/>
    <w:rsid w:val="00834D9F"/>
    <w:rsid w:val="008374CA"/>
    <w:rsid w:val="00840A80"/>
    <w:rsid w:val="00841DD2"/>
    <w:rsid w:val="00841F0E"/>
    <w:rsid w:val="0084302A"/>
    <w:rsid w:val="00857EF8"/>
    <w:rsid w:val="00863074"/>
    <w:rsid w:val="00863F6F"/>
    <w:rsid w:val="008656AA"/>
    <w:rsid w:val="00871A57"/>
    <w:rsid w:val="00871FF3"/>
    <w:rsid w:val="0087459A"/>
    <w:rsid w:val="0087575C"/>
    <w:rsid w:val="00876A5F"/>
    <w:rsid w:val="00890F9C"/>
    <w:rsid w:val="00891168"/>
    <w:rsid w:val="00891B73"/>
    <w:rsid w:val="00892BE6"/>
    <w:rsid w:val="00893F42"/>
    <w:rsid w:val="008A1B85"/>
    <w:rsid w:val="008A2ACF"/>
    <w:rsid w:val="008A585D"/>
    <w:rsid w:val="008A5914"/>
    <w:rsid w:val="008A6FE7"/>
    <w:rsid w:val="008B3652"/>
    <w:rsid w:val="008B5627"/>
    <w:rsid w:val="008C18D0"/>
    <w:rsid w:val="008C300C"/>
    <w:rsid w:val="008C3799"/>
    <w:rsid w:val="008C3865"/>
    <w:rsid w:val="008C3C25"/>
    <w:rsid w:val="008C415C"/>
    <w:rsid w:val="008C4FCC"/>
    <w:rsid w:val="008C7AC1"/>
    <w:rsid w:val="008D03F2"/>
    <w:rsid w:val="008D2829"/>
    <w:rsid w:val="008D3A4D"/>
    <w:rsid w:val="008D7C16"/>
    <w:rsid w:val="008E0594"/>
    <w:rsid w:val="008E2C69"/>
    <w:rsid w:val="008F1249"/>
    <w:rsid w:val="008F3A89"/>
    <w:rsid w:val="008F3C34"/>
    <w:rsid w:val="008F4104"/>
    <w:rsid w:val="008F620C"/>
    <w:rsid w:val="00900B60"/>
    <w:rsid w:val="00903E88"/>
    <w:rsid w:val="00913466"/>
    <w:rsid w:val="00914A24"/>
    <w:rsid w:val="009163DD"/>
    <w:rsid w:val="00920058"/>
    <w:rsid w:val="0092323B"/>
    <w:rsid w:val="00924F02"/>
    <w:rsid w:val="00925BCE"/>
    <w:rsid w:val="009279EF"/>
    <w:rsid w:val="00933767"/>
    <w:rsid w:val="00934CB8"/>
    <w:rsid w:val="00947747"/>
    <w:rsid w:val="00951173"/>
    <w:rsid w:val="009514FA"/>
    <w:rsid w:val="00960855"/>
    <w:rsid w:val="00961FC4"/>
    <w:rsid w:val="0096249C"/>
    <w:rsid w:val="0096262C"/>
    <w:rsid w:val="00962B81"/>
    <w:rsid w:val="00970783"/>
    <w:rsid w:val="00970F7D"/>
    <w:rsid w:val="0097506F"/>
    <w:rsid w:val="00977E3A"/>
    <w:rsid w:val="00980DF9"/>
    <w:rsid w:val="00980F09"/>
    <w:rsid w:val="00983F12"/>
    <w:rsid w:val="0098656E"/>
    <w:rsid w:val="00986E08"/>
    <w:rsid w:val="00986FF2"/>
    <w:rsid w:val="0099047C"/>
    <w:rsid w:val="009904D4"/>
    <w:rsid w:val="00994290"/>
    <w:rsid w:val="00996142"/>
    <w:rsid w:val="009A326A"/>
    <w:rsid w:val="009A4BEA"/>
    <w:rsid w:val="009B09D7"/>
    <w:rsid w:val="009B1444"/>
    <w:rsid w:val="009B2C43"/>
    <w:rsid w:val="009B7C6D"/>
    <w:rsid w:val="009C023E"/>
    <w:rsid w:val="009C07EE"/>
    <w:rsid w:val="009C3E79"/>
    <w:rsid w:val="009C41F7"/>
    <w:rsid w:val="009C61DB"/>
    <w:rsid w:val="009D0C92"/>
    <w:rsid w:val="009D3B55"/>
    <w:rsid w:val="009D4981"/>
    <w:rsid w:val="009E01BE"/>
    <w:rsid w:val="009E118E"/>
    <w:rsid w:val="009E2376"/>
    <w:rsid w:val="009E33D8"/>
    <w:rsid w:val="009F3EC3"/>
    <w:rsid w:val="009F4721"/>
    <w:rsid w:val="009F5AAB"/>
    <w:rsid w:val="00A02E54"/>
    <w:rsid w:val="00A076C3"/>
    <w:rsid w:val="00A079BD"/>
    <w:rsid w:val="00A1068B"/>
    <w:rsid w:val="00A1694A"/>
    <w:rsid w:val="00A20670"/>
    <w:rsid w:val="00A20D9B"/>
    <w:rsid w:val="00A30C62"/>
    <w:rsid w:val="00A37FAB"/>
    <w:rsid w:val="00A417E1"/>
    <w:rsid w:val="00A42957"/>
    <w:rsid w:val="00A44544"/>
    <w:rsid w:val="00A50B6D"/>
    <w:rsid w:val="00A5284A"/>
    <w:rsid w:val="00A54385"/>
    <w:rsid w:val="00A6287E"/>
    <w:rsid w:val="00A62F54"/>
    <w:rsid w:val="00A63C35"/>
    <w:rsid w:val="00A671AC"/>
    <w:rsid w:val="00A67A13"/>
    <w:rsid w:val="00A70E28"/>
    <w:rsid w:val="00A842CB"/>
    <w:rsid w:val="00A91EDD"/>
    <w:rsid w:val="00A96CF7"/>
    <w:rsid w:val="00AA21DC"/>
    <w:rsid w:val="00AA4E3F"/>
    <w:rsid w:val="00AA6AB5"/>
    <w:rsid w:val="00AB419A"/>
    <w:rsid w:val="00AB54C9"/>
    <w:rsid w:val="00AC1B59"/>
    <w:rsid w:val="00AC2DE1"/>
    <w:rsid w:val="00AC4AEE"/>
    <w:rsid w:val="00AC50F1"/>
    <w:rsid w:val="00AC69AA"/>
    <w:rsid w:val="00AD05DE"/>
    <w:rsid w:val="00AD6D19"/>
    <w:rsid w:val="00AD7992"/>
    <w:rsid w:val="00AD7D36"/>
    <w:rsid w:val="00AE1B73"/>
    <w:rsid w:val="00AE4C04"/>
    <w:rsid w:val="00AE549C"/>
    <w:rsid w:val="00AE5770"/>
    <w:rsid w:val="00AE7706"/>
    <w:rsid w:val="00AF2A85"/>
    <w:rsid w:val="00AF2DEB"/>
    <w:rsid w:val="00B04456"/>
    <w:rsid w:val="00B04CD4"/>
    <w:rsid w:val="00B21722"/>
    <w:rsid w:val="00B24A58"/>
    <w:rsid w:val="00B25EA2"/>
    <w:rsid w:val="00B304B4"/>
    <w:rsid w:val="00B35C27"/>
    <w:rsid w:val="00B4328E"/>
    <w:rsid w:val="00B45629"/>
    <w:rsid w:val="00B47C04"/>
    <w:rsid w:val="00B50EBF"/>
    <w:rsid w:val="00B51B05"/>
    <w:rsid w:val="00B529D1"/>
    <w:rsid w:val="00B7086D"/>
    <w:rsid w:val="00B70C39"/>
    <w:rsid w:val="00B75212"/>
    <w:rsid w:val="00B75390"/>
    <w:rsid w:val="00B807B9"/>
    <w:rsid w:val="00B8103F"/>
    <w:rsid w:val="00B81593"/>
    <w:rsid w:val="00B816BB"/>
    <w:rsid w:val="00B81C98"/>
    <w:rsid w:val="00B826C7"/>
    <w:rsid w:val="00B9063F"/>
    <w:rsid w:val="00B932EE"/>
    <w:rsid w:val="00B95404"/>
    <w:rsid w:val="00B96B4B"/>
    <w:rsid w:val="00B97E6F"/>
    <w:rsid w:val="00BA28E0"/>
    <w:rsid w:val="00BB09ED"/>
    <w:rsid w:val="00BB1B7E"/>
    <w:rsid w:val="00BC0E31"/>
    <w:rsid w:val="00BC2476"/>
    <w:rsid w:val="00BD4ADD"/>
    <w:rsid w:val="00BD4DF2"/>
    <w:rsid w:val="00BD59AC"/>
    <w:rsid w:val="00BE4C0B"/>
    <w:rsid w:val="00BE7711"/>
    <w:rsid w:val="00BF1BAE"/>
    <w:rsid w:val="00BF3D47"/>
    <w:rsid w:val="00C025CE"/>
    <w:rsid w:val="00C03AFB"/>
    <w:rsid w:val="00C123A9"/>
    <w:rsid w:val="00C13304"/>
    <w:rsid w:val="00C2023A"/>
    <w:rsid w:val="00C22DCE"/>
    <w:rsid w:val="00C24547"/>
    <w:rsid w:val="00C333F6"/>
    <w:rsid w:val="00C3639A"/>
    <w:rsid w:val="00C415F1"/>
    <w:rsid w:val="00C44988"/>
    <w:rsid w:val="00C55FF3"/>
    <w:rsid w:val="00C5655D"/>
    <w:rsid w:val="00C56FF7"/>
    <w:rsid w:val="00C62221"/>
    <w:rsid w:val="00C644CC"/>
    <w:rsid w:val="00C71C00"/>
    <w:rsid w:val="00C723C2"/>
    <w:rsid w:val="00C72F18"/>
    <w:rsid w:val="00C73464"/>
    <w:rsid w:val="00C743D9"/>
    <w:rsid w:val="00C7603C"/>
    <w:rsid w:val="00C76F76"/>
    <w:rsid w:val="00C77311"/>
    <w:rsid w:val="00C80CE5"/>
    <w:rsid w:val="00C84DC0"/>
    <w:rsid w:val="00C913CE"/>
    <w:rsid w:val="00CA44D3"/>
    <w:rsid w:val="00CB33CC"/>
    <w:rsid w:val="00CB345C"/>
    <w:rsid w:val="00CB37ED"/>
    <w:rsid w:val="00CB5AF3"/>
    <w:rsid w:val="00CB73E6"/>
    <w:rsid w:val="00CC260F"/>
    <w:rsid w:val="00CD02B5"/>
    <w:rsid w:val="00CD10A4"/>
    <w:rsid w:val="00CD1A1A"/>
    <w:rsid w:val="00CD4516"/>
    <w:rsid w:val="00CD4B55"/>
    <w:rsid w:val="00CD51FD"/>
    <w:rsid w:val="00CE1E1A"/>
    <w:rsid w:val="00CE3181"/>
    <w:rsid w:val="00CE3E84"/>
    <w:rsid w:val="00CE538B"/>
    <w:rsid w:val="00CE5942"/>
    <w:rsid w:val="00CE5E9D"/>
    <w:rsid w:val="00CE73A9"/>
    <w:rsid w:val="00CE75FB"/>
    <w:rsid w:val="00CF0717"/>
    <w:rsid w:val="00D0611B"/>
    <w:rsid w:val="00D102A8"/>
    <w:rsid w:val="00D110C5"/>
    <w:rsid w:val="00D147D2"/>
    <w:rsid w:val="00D156FA"/>
    <w:rsid w:val="00D27DB4"/>
    <w:rsid w:val="00D3118D"/>
    <w:rsid w:val="00D3301F"/>
    <w:rsid w:val="00D41471"/>
    <w:rsid w:val="00D43465"/>
    <w:rsid w:val="00D43BC2"/>
    <w:rsid w:val="00D46532"/>
    <w:rsid w:val="00D53BD3"/>
    <w:rsid w:val="00D56C27"/>
    <w:rsid w:val="00D648E1"/>
    <w:rsid w:val="00D65145"/>
    <w:rsid w:val="00D65E54"/>
    <w:rsid w:val="00D6707D"/>
    <w:rsid w:val="00D76225"/>
    <w:rsid w:val="00D7660C"/>
    <w:rsid w:val="00D7773C"/>
    <w:rsid w:val="00D8032C"/>
    <w:rsid w:val="00D8085E"/>
    <w:rsid w:val="00D81204"/>
    <w:rsid w:val="00D82061"/>
    <w:rsid w:val="00D829B0"/>
    <w:rsid w:val="00D83206"/>
    <w:rsid w:val="00DA2A0E"/>
    <w:rsid w:val="00DA30E6"/>
    <w:rsid w:val="00DA4BD2"/>
    <w:rsid w:val="00DB0769"/>
    <w:rsid w:val="00DB3016"/>
    <w:rsid w:val="00DB510C"/>
    <w:rsid w:val="00DB5BC9"/>
    <w:rsid w:val="00DC64FB"/>
    <w:rsid w:val="00DC7304"/>
    <w:rsid w:val="00DD1554"/>
    <w:rsid w:val="00DD2ACD"/>
    <w:rsid w:val="00DD7FAF"/>
    <w:rsid w:val="00DE0AD3"/>
    <w:rsid w:val="00DE3765"/>
    <w:rsid w:val="00DE4BBD"/>
    <w:rsid w:val="00DE720F"/>
    <w:rsid w:val="00DF1D20"/>
    <w:rsid w:val="00DF27AC"/>
    <w:rsid w:val="00DF2FFF"/>
    <w:rsid w:val="00DF6552"/>
    <w:rsid w:val="00DF79DE"/>
    <w:rsid w:val="00E02BB4"/>
    <w:rsid w:val="00E02DF0"/>
    <w:rsid w:val="00E03A4B"/>
    <w:rsid w:val="00E04926"/>
    <w:rsid w:val="00E07766"/>
    <w:rsid w:val="00E105B6"/>
    <w:rsid w:val="00E10BAC"/>
    <w:rsid w:val="00E11225"/>
    <w:rsid w:val="00E131A5"/>
    <w:rsid w:val="00E134FB"/>
    <w:rsid w:val="00E17BAC"/>
    <w:rsid w:val="00E30CE8"/>
    <w:rsid w:val="00E349C1"/>
    <w:rsid w:val="00E4000D"/>
    <w:rsid w:val="00E40F7F"/>
    <w:rsid w:val="00E463E4"/>
    <w:rsid w:val="00E46885"/>
    <w:rsid w:val="00E47C66"/>
    <w:rsid w:val="00E506F9"/>
    <w:rsid w:val="00E50EFC"/>
    <w:rsid w:val="00E51D9E"/>
    <w:rsid w:val="00E52277"/>
    <w:rsid w:val="00E52CD7"/>
    <w:rsid w:val="00E5417C"/>
    <w:rsid w:val="00E56653"/>
    <w:rsid w:val="00E60ED4"/>
    <w:rsid w:val="00E643C0"/>
    <w:rsid w:val="00E65E08"/>
    <w:rsid w:val="00E76941"/>
    <w:rsid w:val="00E86E5F"/>
    <w:rsid w:val="00E909F6"/>
    <w:rsid w:val="00E971A8"/>
    <w:rsid w:val="00EA080D"/>
    <w:rsid w:val="00EA4FBB"/>
    <w:rsid w:val="00EA5445"/>
    <w:rsid w:val="00EB049A"/>
    <w:rsid w:val="00EB11B0"/>
    <w:rsid w:val="00EB358C"/>
    <w:rsid w:val="00EB7B24"/>
    <w:rsid w:val="00EC2439"/>
    <w:rsid w:val="00EC7A91"/>
    <w:rsid w:val="00ED256F"/>
    <w:rsid w:val="00ED2E18"/>
    <w:rsid w:val="00EE55D7"/>
    <w:rsid w:val="00EF1908"/>
    <w:rsid w:val="00EF6064"/>
    <w:rsid w:val="00EF66BB"/>
    <w:rsid w:val="00EF678E"/>
    <w:rsid w:val="00F0208D"/>
    <w:rsid w:val="00F0273F"/>
    <w:rsid w:val="00F053B3"/>
    <w:rsid w:val="00F11547"/>
    <w:rsid w:val="00F14983"/>
    <w:rsid w:val="00F16974"/>
    <w:rsid w:val="00F17E29"/>
    <w:rsid w:val="00F24BB5"/>
    <w:rsid w:val="00F346B9"/>
    <w:rsid w:val="00F34D11"/>
    <w:rsid w:val="00F35378"/>
    <w:rsid w:val="00F37F9E"/>
    <w:rsid w:val="00F41D74"/>
    <w:rsid w:val="00F42F7B"/>
    <w:rsid w:val="00F457DA"/>
    <w:rsid w:val="00F46E48"/>
    <w:rsid w:val="00F50097"/>
    <w:rsid w:val="00F508D6"/>
    <w:rsid w:val="00F5102A"/>
    <w:rsid w:val="00F55339"/>
    <w:rsid w:val="00F604F5"/>
    <w:rsid w:val="00F61A9D"/>
    <w:rsid w:val="00F621E8"/>
    <w:rsid w:val="00F653D0"/>
    <w:rsid w:val="00F653F5"/>
    <w:rsid w:val="00F703AF"/>
    <w:rsid w:val="00F71672"/>
    <w:rsid w:val="00F72277"/>
    <w:rsid w:val="00F725C8"/>
    <w:rsid w:val="00F73AA3"/>
    <w:rsid w:val="00F74DF1"/>
    <w:rsid w:val="00F75F95"/>
    <w:rsid w:val="00F80F4D"/>
    <w:rsid w:val="00F830E8"/>
    <w:rsid w:val="00F851F5"/>
    <w:rsid w:val="00F93901"/>
    <w:rsid w:val="00F93EE4"/>
    <w:rsid w:val="00F95F82"/>
    <w:rsid w:val="00FA25E3"/>
    <w:rsid w:val="00FB0DE9"/>
    <w:rsid w:val="00FC1CFE"/>
    <w:rsid w:val="00FC2E46"/>
    <w:rsid w:val="00FC40FC"/>
    <w:rsid w:val="00FC4288"/>
    <w:rsid w:val="00FC6E93"/>
    <w:rsid w:val="00FE0990"/>
    <w:rsid w:val="00FE25F6"/>
    <w:rsid w:val="00FE2D00"/>
    <w:rsid w:val="00FE4D4A"/>
    <w:rsid w:val="00FE6686"/>
    <w:rsid w:val="00FF017B"/>
    <w:rsid w:val="00FF0DA6"/>
    <w:rsid w:val="00FF1526"/>
    <w:rsid w:val="00FF2FD5"/>
    <w:rsid w:val="00FF5A60"/>
    <w:rsid w:val="01956AAB"/>
    <w:rsid w:val="03A502A7"/>
    <w:rsid w:val="06954AF6"/>
    <w:rsid w:val="077B0190"/>
    <w:rsid w:val="080F08D8"/>
    <w:rsid w:val="087B41C0"/>
    <w:rsid w:val="09E047E1"/>
    <w:rsid w:val="09E67B7B"/>
    <w:rsid w:val="0C191D25"/>
    <w:rsid w:val="0C676F35"/>
    <w:rsid w:val="0CD43E9E"/>
    <w:rsid w:val="0E20353F"/>
    <w:rsid w:val="0E42130D"/>
    <w:rsid w:val="0E4B0B18"/>
    <w:rsid w:val="0E963B01"/>
    <w:rsid w:val="0ECE5D13"/>
    <w:rsid w:val="0F370760"/>
    <w:rsid w:val="0FD23D30"/>
    <w:rsid w:val="0FF00FEF"/>
    <w:rsid w:val="10207C26"/>
    <w:rsid w:val="10464231"/>
    <w:rsid w:val="106F7A61"/>
    <w:rsid w:val="10AB3168"/>
    <w:rsid w:val="11A55E09"/>
    <w:rsid w:val="11E57B67"/>
    <w:rsid w:val="1246139A"/>
    <w:rsid w:val="128D521B"/>
    <w:rsid w:val="13D20C43"/>
    <w:rsid w:val="164442F5"/>
    <w:rsid w:val="167F53F7"/>
    <w:rsid w:val="175459C7"/>
    <w:rsid w:val="179A0677"/>
    <w:rsid w:val="17D555E6"/>
    <w:rsid w:val="18D06E6E"/>
    <w:rsid w:val="1BA36DC7"/>
    <w:rsid w:val="1DDB69B6"/>
    <w:rsid w:val="1E080D46"/>
    <w:rsid w:val="1E2161CB"/>
    <w:rsid w:val="1E945885"/>
    <w:rsid w:val="1EE753C6"/>
    <w:rsid w:val="1F170346"/>
    <w:rsid w:val="20992FDD"/>
    <w:rsid w:val="209C44C1"/>
    <w:rsid w:val="21563EF4"/>
    <w:rsid w:val="21CB18BC"/>
    <w:rsid w:val="220426D8"/>
    <w:rsid w:val="231828DF"/>
    <w:rsid w:val="231D7767"/>
    <w:rsid w:val="242A0B1C"/>
    <w:rsid w:val="251F180A"/>
    <w:rsid w:val="260357E5"/>
    <w:rsid w:val="261935B1"/>
    <w:rsid w:val="27377E1D"/>
    <w:rsid w:val="27E25FF9"/>
    <w:rsid w:val="28460953"/>
    <w:rsid w:val="28834FE4"/>
    <w:rsid w:val="2A4A35FC"/>
    <w:rsid w:val="2B3758CC"/>
    <w:rsid w:val="2BE653EE"/>
    <w:rsid w:val="2BEC0BF4"/>
    <w:rsid w:val="2BF81500"/>
    <w:rsid w:val="2D2105E2"/>
    <w:rsid w:val="2E8E1CA7"/>
    <w:rsid w:val="30406FD1"/>
    <w:rsid w:val="32B12BF3"/>
    <w:rsid w:val="32D16607"/>
    <w:rsid w:val="3330157F"/>
    <w:rsid w:val="35A973C7"/>
    <w:rsid w:val="37490E61"/>
    <w:rsid w:val="37FD71AD"/>
    <w:rsid w:val="383E64EC"/>
    <w:rsid w:val="38474B95"/>
    <w:rsid w:val="38666D6B"/>
    <w:rsid w:val="38B86A6E"/>
    <w:rsid w:val="395E1DEA"/>
    <w:rsid w:val="39A95BE7"/>
    <w:rsid w:val="3A2B4557"/>
    <w:rsid w:val="3B984165"/>
    <w:rsid w:val="3C265C15"/>
    <w:rsid w:val="3CA00152"/>
    <w:rsid w:val="3CC2593E"/>
    <w:rsid w:val="3E6D18D9"/>
    <w:rsid w:val="3E737EC0"/>
    <w:rsid w:val="3E8815C2"/>
    <w:rsid w:val="3E99447C"/>
    <w:rsid w:val="3F6F78D3"/>
    <w:rsid w:val="3F8A2017"/>
    <w:rsid w:val="429C0AF7"/>
    <w:rsid w:val="42C05351"/>
    <w:rsid w:val="43B104BA"/>
    <w:rsid w:val="44F56185"/>
    <w:rsid w:val="4541761C"/>
    <w:rsid w:val="45C12D21"/>
    <w:rsid w:val="4605759E"/>
    <w:rsid w:val="479779C7"/>
    <w:rsid w:val="489B7043"/>
    <w:rsid w:val="49300160"/>
    <w:rsid w:val="497418F4"/>
    <w:rsid w:val="4B50680B"/>
    <w:rsid w:val="4D875DE8"/>
    <w:rsid w:val="50131BB5"/>
    <w:rsid w:val="50535FA7"/>
    <w:rsid w:val="50C93EB1"/>
    <w:rsid w:val="533E617D"/>
    <w:rsid w:val="54132291"/>
    <w:rsid w:val="542C2E58"/>
    <w:rsid w:val="54482775"/>
    <w:rsid w:val="548B37A6"/>
    <w:rsid w:val="55F43710"/>
    <w:rsid w:val="56E84307"/>
    <w:rsid w:val="57373DB2"/>
    <w:rsid w:val="58676F42"/>
    <w:rsid w:val="58782EFD"/>
    <w:rsid w:val="59F111B9"/>
    <w:rsid w:val="5A882B3E"/>
    <w:rsid w:val="5AA66A85"/>
    <w:rsid w:val="5B0B0058"/>
    <w:rsid w:val="5B1909C7"/>
    <w:rsid w:val="5C5872CD"/>
    <w:rsid w:val="5DFE4479"/>
    <w:rsid w:val="5FD80C9E"/>
    <w:rsid w:val="604858AA"/>
    <w:rsid w:val="60DE4C6A"/>
    <w:rsid w:val="61D17B8F"/>
    <w:rsid w:val="6208709F"/>
    <w:rsid w:val="625449C4"/>
    <w:rsid w:val="64C72B4C"/>
    <w:rsid w:val="64C82E99"/>
    <w:rsid w:val="65BA4B55"/>
    <w:rsid w:val="65C634F9"/>
    <w:rsid w:val="65D059E0"/>
    <w:rsid w:val="67226E55"/>
    <w:rsid w:val="673656E9"/>
    <w:rsid w:val="6A8D7B2E"/>
    <w:rsid w:val="6D3A15DA"/>
    <w:rsid w:val="6D77157D"/>
    <w:rsid w:val="6D8B51A0"/>
    <w:rsid w:val="70893AA1"/>
    <w:rsid w:val="71437A4C"/>
    <w:rsid w:val="72914E8F"/>
    <w:rsid w:val="72D43F1C"/>
    <w:rsid w:val="752C5111"/>
    <w:rsid w:val="75EE5DA2"/>
    <w:rsid w:val="76295DB0"/>
    <w:rsid w:val="77382A32"/>
    <w:rsid w:val="78A41CC0"/>
    <w:rsid w:val="78F341AE"/>
    <w:rsid w:val="79E96135"/>
    <w:rsid w:val="7A756E44"/>
    <w:rsid w:val="7B07590E"/>
    <w:rsid w:val="7B0B44D8"/>
    <w:rsid w:val="7BCB0BC0"/>
    <w:rsid w:val="7D447373"/>
    <w:rsid w:val="7E1D07EF"/>
    <w:rsid w:val="7E590F57"/>
    <w:rsid w:val="7F4D13A6"/>
    <w:rsid w:val="7FDD4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hd w:val="clear" w:color="auto" w:fill="FFFFFF"/>
      <w:spacing w:line="580" w:lineRule="exact"/>
      <w:ind w:firstLine="640" w:firstLineChars="200"/>
      <w:outlineLvl w:val="0"/>
    </w:pPr>
    <w:rPr>
      <w:rFonts w:ascii="Times New Roman" w:hAnsi="Times New Roman" w:eastAsia="黑体" w:cs="Times New Roman"/>
      <w:snapToGrid w:val="0"/>
      <w:kern w:val="0"/>
      <w:sz w:val="32"/>
      <w:szCs w:val="22"/>
    </w:rPr>
  </w:style>
  <w:style w:type="paragraph" w:styleId="4">
    <w:name w:val="heading 2"/>
    <w:basedOn w:val="1"/>
    <w:next w:val="1"/>
    <w:unhideWhenUsed/>
    <w:qFormat/>
    <w:uiPriority w:val="0"/>
    <w:pPr>
      <w:shd w:val="clear" w:color="auto" w:fill="FFFFFF"/>
      <w:spacing w:line="580" w:lineRule="exact"/>
      <w:ind w:firstLine="200" w:firstLineChars="200"/>
      <w:outlineLvl w:val="1"/>
    </w:pPr>
    <w:rPr>
      <w:rFonts w:ascii="楷体" w:hAnsi="楷体" w:eastAsia="楷体" w:cs="Times New Roman"/>
      <w:snapToGrid w:val="0"/>
      <w:kern w:val="0"/>
      <w:sz w:val="32"/>
      <w:szCs w:val="22"/>
    </w:rPr>
  </w:style>
  <w:style w:type="paragraph" w:styleId="5">
    <w:name w:val="heading 3"/>
    <w:basedOn w:val="1"/>
    <w:next w:val="1"/>
    <w:unhideWhenUsed/>
    <w:qFormat/>
    <w:uiPriority w:val="0"/>
    <w:pPr>
      <w:spacing w:line="580" w:lineRule="exact"/>
      <w:ind w:firstLine="643" w:firstLineChars="200"/>
      <w:outlineLvl w:val="2"/>
    </w:pPr>
    <w:rPr>
      <w:rFonts w:ascii="Times New Roman" w:hAnsi="Times New Roman" w:eastAsia="仿宋_GB2312" w:cs="Times New Roman"/>
      <w:b/>
      <w:bCs/>
      <w:color w:val="000000" w:themeColor="text1"/>
      <w:sz w:val="32"/>
      <w:szCs w:val="32"/>
      <w14:textFill>
        <w14:solidFill>
          <w14:schemeClr w14:val="tx1"/>
        </w14:solidFill>
      </w14:textFill>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eastAsia="方正仿宋简体" w:cs="Times New Roman"/>
      <w:kern w:val="0"/>
      <w:sz w:val="20"/>
      <w:szCs w:val="20"/>
    </w:rPr>
  </w:style>
  <w:style w:type="paragraph" w:styleId="6">
    <w:name w:val="annotation text"/>
    <w:basedOn w:val="1"/>
    <w:link w:val="22"/>
    <w:qFormat/>
    <w:uiPriority w:val="0"/>
    <w:pPr>
      <w:jc w:val="left"/>
    </w:pPr>
  </w:style>
  <w:style w:type="paragraph" w:styleId="7">
    <w:name w:val="toc 3"/>
    <w:basedOn w:val="1"/>
    <w:next w:val="1"/>
    <w:autoRedefine/>
    <w:qFormat/>
    <w:uiPriority w:val="39"/>
    <w:pPr>
      <w:ind w:left="840" w:leftChars="400"/>
    </w:pPr>
  </w:style>
  <w:style w:type="paragraph" w:styleId="8">
    <w:name w:val="Balloon Text"/>
    <w:basedOn w:val="1"/>
    <w:link w:val="24"/>
    <w:qFormat/>
    <w:uiPriority w:val="0"/>
    <w:rPr>
      <w:sz w:val="18"/>
      <w:szCs w:val="18"/>
    </w:rPr>
  </w:style>
  <w:style w:type="paragraph" w:styleId="9">
    <w:name w:val="footer"/>
    <w:basedOn w:val="1"/>
    <w:link w:val="19"/>
    <w:qFormat/>
    <w:uiPriority w:val="99"/>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autoRedefine/>
    <w:qFormat/>
    <w:uiPriority w:val="39"/>
    <w:pPr>
      <w:tabs>
        <w:tab w:val="right" w:leader="dot" w:pos="8835"/>
      </w:tabs>
      <w:spacing w:line="480" w:lineRule="exact"/>
    </w:pPr>
    <w:rPr>
      <w:rFonts w:ascii="黑体" w:hAnsi="黑体" w:eastAsia="黑体"/>
      <w:sz w:val="32"/>
      <w:szCs w:val="32"/>
    </w:rPr>
  </w:style>
  <w:style w:type="paragraph" w:styleId="12">
    <w:name w:val="toc 2"/>
    <w:basedOn w:val="1"/>
    <w:next w:val="1"/>
    <w:autoRedefine/>
    <w:qFormat/>
    <w:uiPriority w:val="39"/>
    <w:pPr>
      <w:tabs>
        <w:tab w:val="right" w:leader="dot" w:pos="8835"/>
      </w:tabs>
      <w:ind w:left="420" w:leftChars="200"/>
    </w:pPr>
    <w:rPr>
      <w:rFonts w:ascii="楷体_GB2312" w:eastAsia="楷体_GB2312"/>
      <w:sz w:val="32"/>
      <w:szCs w:val="32"/>
    </w:rPr>
  </w:style>
  <w:style w:type="paragraph" w:styleId="13">
    <w:name w:val="annotation subject"/>
    <w:basedOn w:val="6"/>
    <w:next w:val="6"/>
    <w:link w:val="23"/>
    <w:qFormat/>
    <w:uiPriority w:val="0"/>
    <w:rPr>
      <w:b/>
      <w:bCs/>
    </w:rPr>
  </w:style>
  <w:style w:type="table" w:styleId="15">
    <w:name w:val="Table Grid"/>
    <w:basedOn w:val="14"/>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qFormat/>
    <w:uiPriority w:val="99"/>
    <w:rPr>
      <w:color w:val="0026E5" w:themeColor="hyperlink"/>
      <w:u w:val="single"/>
      <w14:textFill>
        <w14:solidFill>
          <w14:schemeClr w14:val="hlink"/>
        </w14:solidFill>
      </w14:textFill>
    </w:rPr>
  </w:style>
  <w:style w:type="character" w:styleId="18">
    <w:name w:val="annotation reference"/>
    <w:basedOn w:val="16"/>
    <w:qFormat/>
    <w:uiPriority w:val="0"/>
    <w:rPr>
      <w:sz w:val="21"/>
      <w:szCs w:val="21"/>
    </w:rPr>
  </w:style>
  <w:style w:type="character" w:customStyle="1" w:styleId="19">
    <w:name w:val="页脚 字符"/>
    <w:basedOn w:val="16"/>
    <w:link w:val="9"/>
    <w:qFormat/>
    <w:uiPriority w:val="99"/>
    <w:rPr>
      <w:kern w:val="2"/>
      <w:sz w:val="18"/>
      <w:szCs w:val="24"/>
    </w:rPr>
  </w:style>
  <w:style w:type="paragraph" w:customStyle="1" w:styleId="20">
    <w:name w:val="TOC 标题1"/>
    <w:basedOn w:val="3"/>
    <w:next w:val="1"/>
    <w:unhideWhenUsed/>
    <w:qFormat/>
    <w:uiPriority w:val="39"/>
    <w:pPr>
      <w:keepNext/>
      <w:keepLines/>
      <w:widowControl/>
      <w:shd w:val="clear" w:color="auto" w:fill="auto"/>
      <w:spacing w:before="240" w:line="259" w:lineRule="auto"/>
      <w:ind w:firstLine="0" w:firstLineChars="0"/>
      <w:jc w:val="left"/>
      <w:outlineLvl w:val="9"/>
    </w:pPr>
    <w:rPr>
      <w:rFonts w:asciiTheme="majorHAnsi" w:hAnsiTheme="majorHAnsi" w:eastAsiaTheme="majorEastAsia" w:cstheme="majorBidi"/>
      <w:snapToGrid/>
      <w:color w:val="2E54A1" w:themeColor="accent1" w:themeShade="BF"/>
      <w:szCs w:val="32"/>
    </w:rPr>
  </w:style>
  <w:style w:type="paragraph" w:customStyle="1" w:styleId="21">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2">
    <w:name w:val="批注文字 字符"/>
    <w:basedOn w:val="16"/>
    <w:link w:val="6"/>
    <w:qFormat/>
    <w:uiPriority w:val="0"/>
    <w:rPr>
      <w:kern w:val="2"/>
      <w:sz w:val="21"/>
      <w:szCs w:val="24"/>
    </w:rPr>
  </w:style>
  <w:style w:type="character" w:customStyle="1" w:styleId="23">
    <w:name w:val="批注主题 字符"/>
    <w:basedOn w:val="22"/>
    <w:link w:val="13"/>
    <w:qFormat/>
    <w:uiPriority w:val="0"/>
    <w:rPr>
      <w:b/>
      <w:bCs/>
      <w:kern w:val="2"/>
      <w:sz w:val="21"/>
      <w:szCs w:val="24"/>
    </w:rPr>
  </w:style>
  <w:style w:type="character" w:customStyle="1" w:styleId="24">
    <w:name w:val="批注框文本 字符"/>
    <w:basedOn w:val="16"/>
    <w:link w:val="8"/>
    <w:qFormat/>
    <w:uiPriority w:val="0"/>
    <w:rPr>
      <w:kern w:val="2"/>
      <w:sz w:val="18"/>
      <w:szCs w:val="18"/>
    </w:rPr>
  </w:style>
  <w:style w:type="table" w:customStyle="1" w:styleId="25">
    <w:name w:val="网格型1"/>
    <w:basedOn w:val="14"/>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6">
    <w:name w:val="List Paragraph"/>
    <w:basedOn w:val="1"/>
    <w:unhideWhenUsed/>
    <w:qFormat/>
    <w:uiPriority w:val="99"/>
    <w:pPr>
      <w:ind w:firstLine="420" w:firstLineChars="200"/>
    </w:pPr>
  </w:style>
  <w:style w:type="paragraph" w:customStyle="1" w:styleId="27">
    <w:name w:val="TOC 标题2"/>
    <w:basedOn w:val="3"/>
    <w:next w:val="1"/>
    <w:unhideWhenUsed/>
    <w:qFormat/>
    <w:uiPriority w:val="39"/>
    <w:pPr>
      <w:keepNext/>
      <w:keepLines/>
      <w:widowControl/>
      <w:shd w:val="clear" w:color="auto" w:fill="auto"/>
      <w:spacing w:before="240" w:line="259" w:lineRule="auto"/>
      <w:ind w:firstLine="0" w:firstLineChars="0"/>
      <w:jc w:val="left"/>
      <w:outlineLvl w:val="9"/>
    </w:pPr>
    <w:rPr>
      <w:rFonts w:asciiTheme="majorHAnsi" w:hAnsiTheme="majorHAnsi" w:eastAsiaTheme="majorEastAsia" w:cstheme="majorBidi"/>
      <w:snapToGrid/>
      <w:color w:val="2E54A1" w:themeColor="accent1" w:themeShade="BF"/>
      <w:szCs w:val="32"/>
    </w:rPr>
  </w:style>
  <w:style w:type="paragraph" w:customStyle="1" w:styleId="28">
    <w:name w:val="TOC 标题3"/>
    <w:basedOn w:val="3"/>
    <w:next w:val="1"/>
    <w:unhideWhenUsed/>
    <w:qFormat/>
    <w:uiPriority w:val="39"/>
    <w:pPr>
      <w:keepNext/>
      <w:keepLines/>
      <w:widowControl/>
      <w:shd w:val="clear" w:color="auto" w:fill="auto"/>
      <w:spacing w:before="240" w:line="259" w:lineRule="auto"/>
      <w:ind w:firstLine="0" w:firstLineChars="0"/>
      <w:jc w:val="left"/>
      <w:outlineLvl w:val="9"/>
    </w:pPr>
    <w:rPr>
      <w:rFonts w:asciiTheme="majorHAnsi" w:hAnsiTheme="majorHAnsi" w:eastAsiaTheme="majorEastAsia" w:cstheme="majorBidi"/>
      <w:snapToGrid/>
      <w:color w:val="2E54A1" w:themeColor="accent1" w:themeShade="BF"/>
      <w:szCs w:val="32"/>
    </w:rPr>
  </w:style>
  <w:style w:type="paragraph" w:customStyle="1" w:styleId="29">
    <w:name w:val="修订2"/>
    <w:hidden/>
    <w:semiHidden/>
    <w:qFormat/>
    <w:uiPriority w:val="99"/>
    <w:rPr>
      <w:rFonts w:asciiTheme="minorHAnsi" w:hAnsiTheme="minorHAnsi" w:eastAsiaTheme="minorEastAsia" w:cstheme="minorBidi"/>
      <w:kern w:val="2"/>
      <w:sz w:val="21"/>
      <w:szCs w:val="24"/>
      <w:lang w:val="en-US" w:eastAsia="zh-CN" w:bidi="ar-SA"/>
    </w:rPr>
  </w:style>
  <w:style w:type="table" w:customStyle="1" w:styleId="30">
    <w:name w:val="网格型2"/>
    <w:basedOn w:val="14"/>
    <w:qFormat/>
    <w:uiPriority w:val="9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1">
    <w:name w:val="修订3"/>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修订4"/>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1CF73-6B63-4922-80B8-16044E6EE27E}">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20</Pages>
  <Words>4701</Words>
  <Characters>4735</Characters>
  <Lines>94</Lines>
  <Paragraphs>26</Paragraphs>
  <TotalTime>148</TotalTime>
  <ScaleCrop>false</ScaleCrop>
  <LinksUpToDate>false</LinksUpToDate>
  <CharactersWithSpaces>4738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2026-07-14T01:24:00Z</dcterms:created>
  <dc:creator>Administrator</dc:creator>
  <cp:lastModifiedBy>吾胤良品</cp:lastModifiedBy>
  <cp:lastPrinted>2026-04-16T05:45:00Z</cp:lastPrinted>
  <dcterms:modified xsi:type="dcterms:W3CDTF">2026-07-31T06:54:54Z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eyJoZGlkIjoiYjg0NDhmMGRmMzYxMzJlODNlYzViZjNjYTJlZmEzNjYiLCJ1c2VySWQiOiI0NDIxODU2NDgifQ==</vt:lpwstr>
  </property>
  <property fmtid="{D5CDD505-2E9C-101B-9397-08002B2CF9AE}" pid="4" name="ICV">
    <vt:lpwstr>9C112094D55A4566805D8149DE421855_12</vt:lpwstr>
  </property>
</Properties>
</file>