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5B5C6">
      <w:pPr>
        <w:keepNext w:val="0"/>
        <w:keepLines w:val="0"/>
        <w:pageBreakBefore w:val="0"/>
        <w:widowControl w:val="0"/>
        <w:kinsoku/>
        <w:wordWrap/>
        <w:topLinePunct w:val="0"/>
        <w:autoSpaceDE/>
        <w:autoSpaceDN/>
        <w:bidi w:val="0"/>
        <w:spacing w:line="580" w:lineRule="exact"/>
        <w:jc w:val="center"/>
        <w:textAlignment w:val="auto"/>
        <w:rPr>
          <w:rFonts w:hint="default"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关于《苏州市餐饮业环境污染防治管理办法（修订草案</w:t>
      </w:r>
      <w:r>
        <w:rPr>
          <w:rFonts w:hint="eastAsia" w:ascii="Times New Roman" w:hAnsi="Times New Roman" w:eastAsia="方正小标宋简体" w:cs="Times New Roman"/>
          <w:color w:val="auto"/>
          <w:sz w:val="44"/>
          <w:szCs w:val="44"/>
          <w:lang w:val="en-US" w:eastAsia="zh-CN"/>
        </w:rPr>
        <w:t>征求意见稿</w:t>
      </w:r>
      <w:r>
        <w:rPr>
          <w:rFonts w:hint="default" w:ascii="Times New Roman" w:hAnsi="Times New Roman" w:eastAsia="方正小标宋简体" w:cs="Times New Roman"/>
          <w:color w:val="auto"/>
          <w:sz w:val="44"/>
          <w:szCs w:val="44"/>
        </w:rPr>
        <w:t>）》的起草说明</w:t>
      </w:r>
    </w:p>
    <w:p w14:paraId="78041418">
      <w:pPr>
        <w:keepNext w:val="0"/>
        <w:keepLines w:val="0"/>
        <w:pageBreakBefore w:val="0"/>
        <w:widowControl w:val="0"/>
        <w:kinsoku/>
        <w:wordWrap/>
        <w:overflowPunct w:val="0"/>
        <w:topLinePunct w:val="0"/>
        <w:autoSpaceDE/>
        <w:autoSpaceDN/>
        <w:bidi w:val="0"/>
        <w:adjustRightInd w:val="0"/>
        <w:snapToGrid w:val="0"/>
        <w:spacing w:line="580" w:lineRule="exact"/>
        <w:jc w:val="center"/>
        <w:textAlignment w:val="auto"/>
        <w:rPr>
          <w:rFonts w:hint="default" w:ascii="Times New Roman" w:hAnsi="Times New Roman" w:eastAsia="华文楷体" w:cs="Times New Roman"/>
          <w:color w:val="auto"/>
          <w:sz w:val="32"/>
          <w:szCs w:val="32"/>
          <w:lang w:val="en-US" w:eastAsia="zh-CN"/>
        </w:rPr>
      </w:pPr>
      <w:r>
        <w:rPr>
          <w:rFonts w:hint="default" w:ascii="Times New Roman" w:hAnsi="Times New Roman" w:eastAsia="华文楷体" w:cs="Times New Roman"/>
          <w:color w:val="auto"/>
          <w:sz w:val="32"/>
          <w:szCs w:val="32"/>
          <w:lang w:val="en-US" w:eastAsia="zh-CN"/>
        </w:rPr>
        <w:t>苏州市生态环境局</w:t>
      </w:r>
    </w:p>
    <w:p w14:paraId="57B52694">
      <w:pPr>
        <w:pStyle w:val="2"/>
        <w:keepNext w:val="0"/>
        <w:keepLines w:val="0"/>
        <w:pageBreakBefore w:val="0"/>
        <w:widowControl w:val="0"/>
        <w:kinsoku/>
        <w:wordWrap/>
        <w:topLinePunct w:val="0"/>
        <w:autoSpaceDE/>
        <w:autoSpaceDN/>
        <w:bidi w:val="0"/>
        <w:spacing w:line="580" w:lineRule="exact"/>
        <w:textAlignment w:val="auto"/>
        <w:rPr>
          <w:rFonts w:hint="default"/>
          <w:color w:val="auto"/>
          <w:lang w:val="en-US" w:eastAsia="zh-CN"/>
        </w:rPr>
      </w:pPr>
    </w:p>
    <w:p w14:paraId="1C93D81E">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贯彻落实《中华人民共和国生态环境法典》，进一步加强餐饮业环境污染防治工作，保障公众健康，市生态环境局组织开展了《苏州市餐饮业环境污染防治管理办法》（以下简称《办法》）修订工作，现已形成《办法（修订草案）》。现将有关情况说明如下：</w:t>
      </w:r>
    </w:p>
    <w:p w14:paraId="7A2B1231">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w:t>
      </w:r>
      <w:r>
        <w:rPr>
          <w:rFonts w:hint="eastAsia" w:ascii="Times New Roman" w:hAnsi="Times New Roman" w:eastAsia="黑体" w:cs="Times New Roman"/>
          <w:color w:val="auto"/>
          <w:sz w:val="32"/>
          <w:szCs w:val="32"/>
          <w:lang w:val="en-US" w:eastAsia="zh-CN"/>
        </w:rPr>
        <w:t>办法</w:t>
      </w:r>
      <w:r>
        <w:rPr>
          <w:rFonts w:hint="default" w:ascii="Times New Roman" w:hAnsi="Times New Roman" w:eastAsia="黑体" w:cs="Times New Roman"/>
          <w:color w:val="auto"/>
          <w:sz w:val="32"/>
          <w:szCs w:val="32"/>
        </w:rPr>
        <w:t>》</w:t>
      </w:r>
      <w:r>
        <w:rPr>
          <w:rFonts w:hint="eastAsia" w:ascii="Times New Roman" w:hAnsi="Times New Roman" w:eastAsia="黑体" w:cs="Times New Roman"/>
          <w:color w:val="auto"/>
          <w:sz w:val="32"/>
          <w:szCs w:val="32"/>
          <w:lang w:eastAsia="zh-CN"/>
        </w:rPr>
        <w:t>修订原因</w:t>
      </w:r>
      <w:r>
        <w:rPr>
          <w:rFonts w:hint="default" w:ascii="Times New Roman" w:hAnsi="Times New Roman" w:eastAsia="黑体" w:cs="Times New Roman"/>
          <w:color w:val="auto"/>
          <w:sz w:val="32"/>
          <w:szCs w:val="32"/>
        </w:rPr>
        <w:t>及依据</w:t>
      </w:r>
    </w:p>
    <w:p w14:paraId="035C37A6">
      <w:pPr>
        <w:keepNext w:val="0"/>
        <w:keepLines w:val="0"/>
        <w:pageBreakBefore w:val="0"/>
        <w:widowControl w:val="0"/>
        <w:kinsoku/>
        <w:wordWrap/>
        <w:topLinePunct w:val="0"/>
        <w:autoSpaceDE/>
        <w:autoSpaceDN/>
        <w:bidi w:val="0"/>
        <w:snapToGrid w:val="0"/>
        <w:spacing w:line="580" w:lineRule="exact"/>
        <w:ind w:firstLine="640" w:firstLineChars="200"/>
        <w:textAlignment w:val="auto"/>
        <w:rPr>
          <w:rFonts w:hint="eastAsia" w:ascii="Times New Roman" w:hAnsi="Times New Roman" w:eastAsia="楷体_GB2312" w:cs="Times New Roman"/>
          <w:color w:val="auto"/>
          <w:sz w:val="32"/>
          <w:szCs w:val="32"/>
          <w:lang w:eastAsia="zh-CN"/>
        </w:rPr>
      </w:pPr>
      <w:r>
        <w:rPr>
          <w:rFonts w:hint="default" w:ascii="Times New Roman" w:hAnsi="Times New Roman" w:eastAsia="楷体_GB2312" w:cs="Times New Roman"/>
          <w:color w:val="auto"/>
          <w:sz w:val="32"/>
          <w:szCs w:val="32"/>
        </w:rPr>
        <w:t>（一）</w:t>
      </w:r>
      <w:r>
        <w:rPr>
          <w:rFonts w:hint="eastAsia" w:ascii="Times New Roman" w:hAnsi="Times New Roman" w:eastAsia="楷体_GB2312" w:cs="Times New Roman"/>
          <w:color w:val="auto"/>
          <w:sz w:val="32"/>
          <w:szCs w:val="32"/>
          <w:lang w:eastAsia="zh-CN"/>
        </w:rPr>
        <w:t>修订原因</w:t>
      </w:r>
    </w:p>
    <w:p w14:paraId="085963A7">
      <w:pPr>
        <w:pStyle w:val="7"/>
        <w:keepNext w:val="0"/>
        <w:keepLines w:val="0"/>
        <w:pageBreakBefore w:val="0"/>
        <w:widowControl w:val="0"/>
        <w:kinsoku/>
        <w:wordWrap/>
        <w:topLinePunct w:val="0"/>
        <w:autoSpaceDE/>
        <w:autoSpaceDN/>
        <w:bidi w:val="0"/>
        <w:spacing w:after="0" w:line="580" w:lineRule="exact"/>
        <w:ind w:left="0" w:leftChars="0" w:right="0" w:righ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《办法》自2007</w:t>
      </w:r>
      <w:r>
        <w:rPr>
          <w:rFonts w:hint="eastAsia" w:ascii="Times New Roman" w:hAnsi="Times New Roman" w:eastAsia="仿宋_GB2312" w:cs="Times New Roman"/>
          <w:color w:val="auto"/>
          <w:sz w:val="32"/>
          <w:szCs w:val="32"/>
          <w:lang w:eastAsia="zh-CN"/>
        </w:rPr>
        <w:t>年1月1日起施行</w:t>
      </w:r>
      <w:r>
        <w:rPr>
          <w:rFonts w:hint="default" w:ascii="Times New Roman" w:hAnsi="Times New Roman" w:eastAsia="仿宋_GB2312" w:cs="Times New Roman"/>
          <w:color w:val="auto"/>
          <w:sz w:val="32"/>
          <w:szCs w:val="32"/>
        </w:rPr>
        <w:t>以来，对规范</w:t>
      </w:r>
      <w:r>
        <w:rPr>
          <w:rFonts w:hint="eastAsia" w:ascii="Times New Roman" w:hAnsi="Times New Roman" w:eastAsia="仿宋_GB2312" w:cs="Times New Roman"/>
          <w:color w:val="auto"/>
          <w:sz w:val="32"/>
          <w:szCs w:val="32"/>
          <w:lang w:eastAsia="zh-CN"/>
        </w:rPr>
        <w:t>我</w:t>
      </w:r>
      <w:r>
        <w:rPr>
          <w:rFonts w:hint="default" w:ascii="Times New Roman" w:hAnsi="Times New Roman" w:eastAsia="仿宋_GB2312" w:cs="Times New Roman"/>
          <w:color w:val="auto"/>
          <w:sz w:val="32"/>
          <w:szCs w:val="32"/>
        </w:rPr>
        <w:t>市餐饮业污染防治、改善环境质量发挥了重要作用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2018年曾</w:t>
      </w:r>
      <w:r>
        <w:rPr>
          <w:rFonts w:hint="eastAsia" w:ascii="Times New Roman" w:hAnsi="Times New Roman" w:eastAsia="仿宋_GB2312" w:cs="Times New Roman"/>
          <w:color w:val="auto"/>
          <w:sz w:val="32"/>
          <w:szCs w:val="32"/>
          <w:lang w:eastAsia="zh-CN"/>
        </w:rPr>
        <w:t>对</w:t>
      </w:r>
      <w:r>
        <w:rPr>
          <w:rFonts w:hint="default" w:ascii="Times New Roman" w:hAnsi="Times New Roman" w:eastAsia="仿宋_GB2312" w:cs="Times New Roman"/>
          <w:color w:val="auto"/>
          <w:sz w:val="32"/>
          <w:szCs w:val="32"/>
        </w:rPr>
        <w:t>《办法》作局部修改。</w:t>
      </w:r>
      <w:r>
        <w:rPr>
          <w:rFonts w:hint="eastAsia" w:ascii="Times New Roman" w:hAnsi="Times New Roman" w:eastAsia="仿宋_GB2312" w:cs="Times New Roman"/>
          <w:color w:val="auto"/>
          <w:sz w:val="32"/>
          <w:szCs w:val="32"/>
          <w:lang w:eastAsia="zh-CN"/>
        </w:rPr>
        <w:t>目前，</w:t>
      </w:r>
      <w:r>
        <w:rPr>
          <w:rFonts w:hint="default" w:ascii="Times New Roman" w:hAnsi="Times New Roman" w:eastAsia="仿宋_GB2312" w:cs="Times New Roman"/>
          <w:color w:val="auto"/>
          <w:sz w:val="32"/>
          <w:szCs w:val="32"/>
        </w:rPr>
        <w:t>对照</w:t>
      </w:r>
      <w:r>
        <w:rPr>
          <w:rFonts w:hint="eastAsia" w:ascii="Times New Roman" w:hAnsi="Times New Roman" w:eastAsia="仿宋_GB2312" w:cs="Times New Roman"/>
          <w:color w:val="auto"/>
          <w:sz w:val="32"/>
          <w:szCs w:val="32"/>
          <w:lang w:eastAsia="zh-CN"/>
        </w:rPr>
        <w:t>生态环境保护的</w:t>
      </w:r>
      <w:r>
        <w:rPr>
          <w:rFonts w:hint="default" w:ascii="Times New Roman" w:hAnsi="Times New Roman" w:eastAsia="仿宋_GB2312" w:cs="Times New Roman"/>
          <w:color w:val="auto"/>
          <w:sz w:val="32"/>
          <w:szCs w:val="32"/>
        </w:rPr>
        <w:t>新形势、新要求，现行《办法》部分条款已与当前</w:t>
      </w:r>
      <w:r>
        <w:rPr>
          <w:rFonts w:hint="eastAsia" w:ascii="Times New Roman" w:hAnsi="Times New Roman" w:eastAsia="仿宋_GB2312" w:cs="Times New Roman"/>
          <w:color w:val="auto"/>
          <w:sz w:val="32"/>
          <w:szCs w:val="32"/>
          <w:lang w:eastAsia="zh-CN"/>
        </w:rPr>
        <w:t>工作要求</w:t>
      </w:r>
      <w:r>
        <w:rPr>
          <w:rFonts w:hint="default" w:ascii="Times New Roman" w:hAnsi="Times New Roman" w:eastAsia="仿宋_GB2312" w:cs="Times New Roman"/>
          <w:color w:val="auto"/>
          <w:sz w:val="32"/>
          <w:szCs w:val="32"/>
        </w:rPr>
        <w:t>不相适应，</w:t>
      </w:r>
      <w:r>
        <w:rPr>
          <w:rFonts w:hint="eastAsia" w:ascii="Times New Roman" w:hAnsi="Times New Roman" w:eastAsia="仿宋_GB2312" w:cs="Times New Roman"/>
          <w:color w:val="auto"/>
          <w:sz w:val="32"/>
          <w:szCs w:val="32"/>
          <w:lang w:eastAsia="zh-CN"/>
        </w:rPr>
        <w:t>亟须</w:t>
      </w:r>
      <w:r>
        <w:rPr>
          <w:rFonts w:hint="default" w:ascii="Times New Roman" w:hAnsi="Times New Roman" w:eastAsia="仿宋_GB2312" w:cs="Times New Roman"/>
          <w:color w:val="auto"/>
          <w:sz w:val="32"/>
          <w:szCs w:val="32"/>
        </w:rPr>
        <w:t>予以全面修订。</w:t>
      </w:r>
      <w:r>
        <w:rPr>
          <w:rFonts w:hint="default" w:ascii="Times New Roman" w:hAnsi="Times New Roman" w:eastAsia="仿宋_GB2312" w:cs="Times New Roman"/>
          <w:b/>
          <w:bCs/>
          <w:color w:val="auto"/>
          <w:kern w:val="2"/>
          <w:sz w:val="32"/>
          <w:szCs w:val="36"/>
          <w:lang w:val="en-US" w:eastAsia="zh-CN" w:bidi="ar-SA"/>
        </w:rPr>
        <w:t>一是落实上位法最新规定的必然要求。</w:t>
      </w:r>
      <w:r>
        <w:rPr>
          <w:rFonts w:hint="default" w:ascii="Times New Roman" w:hAnsi="Times New Roman" w:eastAsia="仿宋_GB2312" w:cs="Times New Roman"/>
          <w:color w:val="auto"/>
          <w:sz w:val="32"/>
          <w:szCs w:val="32"/>
        </w:rPr>
        <w:t>现行《办法》制定于2006年，2026年8月15日</w:t>
      </w:r>
      <w:r>
        <w:rPr>
          <w:rFonts w:hint="eastAsia" w:ascii="Times New Roman" w:hAnsi="Times New Roman" w:eastAsia="仿宋_GB2312" w:cs="Times New Roman"/>
          <w:color w:val="auto"/>
          <w:sz w:val="32"/>
          <w:szCs w:val="32"/>
          <w:lang w:eastAsia="zh-CN"/>
        </w:rPr>
        <w:t>起</w:t>
      </w:r>
      <w:r>
        <w:rPr>
          <w:rFonts w:hint="default" w:ascii="Times New Roman" w:hAnsi="Times New Roman" w:eastAsia="仿宋_GB2312" w:cs="Times New Roman"/>
          <w:color w:val="auto"/>
          <w:sz w:val="32"/>
          <w:szCs w:val="32"/>
        </w:rPr>
        <w:t>施行的《中华人民共和国生态环境法典》第二百五十条对餐饮服务业布局引导、油烟净化设施安装使用、选址禁止等作出了系统性规定，第一千一百三十二条明确了相应的法律责任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《江苏省大气污染防治条例》也对餐饮服务业经营者的具体义务作出了细化规定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《办法》部分条款已与上位法规定不一致或不衔接，需修订予以调整。</w:t>
      </w:r>
      <w:r>
        <w:rPr>
          <w:rFonts w:hint="default" w:ascii="Times New Roman" w:hAnsi="Times New Roman" w:eastAsia="仿宋_GB2312" w:cs="Times New Roman"/>
          <w:b/>
          <w:bCs/>
          <w:color w:val="auto"/>
          <w:sz w:val="32"/>
          <w:szCs w:val="36"/>
        </w:rPr>
        <w:t>二是</w:t>
      </w:r>
      <w:r>
        <w:rPr>
          <w:rFonts w:hint="default" w:ascii="Times New Roman" w:hAnsi="Times New Roman" w:eastAsia="仿宋_GB2312" w:cs="Times New Roman"/>
          <w:b/>
          <w:bCs/>
          <w:color w:val="auto"/>
          <w:kern w:val="2"/>
          <w:sz w:val="32"/>
          <w:szCs w:val="36"/>
          <w:lang w:val="en-US" w:eastAsia="zh-CN" w:bidi="ar-SA"/>
        </w:rPr>
        <w:t>适应机构改革与部门职能调整的现实需要。</w:t>
      </w:r>
      <w:r>
        <w:rPr>
          <w:rFonts w:hint="default" w:ascii="Times New Roman" w:hAnsi="Times New Roman" w:eastAsia="仿宋_GB2312" w:cs="Times New Roman"/>
          <w:color w:val="auto"/>
          <w:sz w:val="32"/>
          <w:szCs w:val="32"/>
        </w:rPr>
        <w:t>近年来，随着机构改革深入推进，原</w:t>
      </w:r>
      <w:r>
        <w:rPr>
          <w:rFonts w:hint="eastAsia" w:ascii="Times New Roman" w:hAnsi="Times New Roman" w:eastAsia="仿宋_GB2312" w:cs="Times New Roman"/>
          <w:color w:val="auto"/>
          <w:sz w:val="32"/>
          <w:szCs w:val="32"/>
          <w:lang w:eastAsia="zh-CN"/>
        </w:rPr>
        <w:t>《办法》</w:t>
      </w:r>
      <w:r>
        <w:rPr>
          <w:rFonts w:hint="default" w:ascii="Times New Roman" w:hAnsi="Times New Roman" w:eastAsia="仿宋_GB2312" w:cs="Times New Roman"/>
          <w:color w:val="auto"/>
          <w:sz w:val="32"/>
          <w:szCs w:val="32"/>
        </w:rPr>
        <w:t>涉及的规划、建设、房产、城管、卫生、工商、国土、质监等部门的名称和职能已发生调整</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苏州市生态环境局</w:t>
      </w:r>
      <w:r>
        <w:rPr>
          <w:rFonts w:hint="eastAsia" w:ascii="Times New Roman" w:hAnsi="Times New Roman" w:eastAsia="仿宋_GB2312" w:cs="Times New Roman"/>
          <w:color w:val="auto"/>
          <w:sz w:val="32"/>
          <w:szCs w:val="32"/>
          <w:lang w:eastAsia="zh-CN"/>
        </w:rPr>
        <w:t>也已</w:t>
      </w:r>
      <w:r>
        <w:rPr>
          <w:rFonts w:hint="default" w:ascii="Times New Roman" w:hAnsi="Times New Roman" w:eastAsia="仿宋_GB2312" w:cs="Times New Roman"/>
          <w:color w:val="auto"/>
          <w:sz w:val="32"/>
          <w:szCs w:val="32"/>
        </w:rPr>
        <w:t>在各县级市（区）实行垂直管理，原有职责分工、管理主体等规定已与现行管理体制不</w:t>
      </w:r>
      <w:r>
        <w:rPr>
          <w:rFonts w:hint="eastAsia" w:ascii="Times New Roman" w:hAnsi="Times New Roman" w:eastAsia="仿宋_GB2312" w:cs="Times New Roman"/>
          <w:color w:val="auto"/>
          <w:sz w:val="32"/>
          <w:szCs w:val="32"/>
          <w:lang w:eastAsia="zh-CN"/>
        </w:rPr>
        <w:t>一致</w:t>
      </w:r>
      <w:r>
        <w:rPr>
          <w:rFonts w:hint="default" w:ascii="Times New Roman" w:hAnsi="Times New Roman" w:eastAsia="仿宋_GB2312" w:cs="Times New Roman"/>
          <w:color w:val="auto"/>
          <w:sz w:val="32"/>
          <w:szCs w:val="32"/>
        </w:rPr>
        <w:t>，需通过修订予以</w:t>
      </w:r>
      <w:r>
        <w:rPr>
          <w:rFonts w:hint="eastAsia" w:ascii="Times New Roman" w:hAnsi="Times New Roman" w:eastAsia="仿宋_GB2312" w:cs="Times New Roman"/>
          <w:color w:val="auto"/>
          <w:sz w:val="32"/>
          <w:szCs w:val="32"/>
          <w:lang w:eastAsia="zh-CN"/>
        </w:rPr>
        <w:t>更新</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b/>
          <w:bCs/>
          <w:color w:val="auto"/>
          <w:sz w:val="32"/>
          <w:szCs w:val="36"/>
        </w:rPr>
        <w:t>三是进一步提</w:t>
      </w:r>
      <w:r>
        <w:rPr>
          <w:rFonts w:hint="eastAsia" w:ascii="Times New Roman" w:hAnsi="Times New Roman" w:eastAsia="仿宋_GB2312" w:cs="Times New Roman"/>
          <w:b/>
          <w:bCs/>
          <w:color w:val="auto"/>
          <w:sz w:val="32"/>
          <w:szCs w:val="36"/>
          <w:lang w:val="en-US" w:eastAsia="zh-CN"/>
        </w:rPr>
        <w:t>升</w:t>
      </w:r>
      <w:r>
        <w:rPr>
          <w:rFonts w:hint="default" w:ascii="Times New Roman" w:hAnsi="Times New Roman" w:eastAsia="仿宋_GB2312" w:cs="Times New Roman"/>
          <w:b/>
          <w:bCs/>
          <w:color w:val="auto"/>
          <w:sz w:val="32"/>
          <w:szCs w:val="36"/>
        </w:rPr>
        <w:t>餐饮</w:t>
      </w:r>
      <w:r>
        <w:rPr>
          <w:rFonts w:hint="eastAsia" w:ascii="Times New Roman" w:hAnsi="Times New Roman" w:eastAsia="仿宋_GB2312" w:cs="Times New Roman"/>
          <w:b/>
          <w:bCs/>
          <w:color w:val="auto"/>
          <w:sz w:val="32"/>
          <w:szCs w:val="36"/>
          <w:lang w:val="en-US" w:eastAsia="zh-CN"/>
        </w:rPr>
        <w:t>业环境</w:t>
      </w:r>
      <w:r>
        <w:rPr>
          <w:rFonts w:hint="default" w:ascii="Times New Roman" w:hAnsi="Times New Roman" w:eastAsia="仿宋_GB2312" w:cs="Times New Roman"/>
          <w:b/>
          <w:bCs/>
          <w:color w:val="auto"/>
          <w:sz w:val="32"/>
          <w:szCs w:val="36"/>
        </w:rPr>
        <w:t>污染</w:t>
      </w:r>
      <w:r>
        <w:rPr>
          <w:rFonts w:hint="eastAsia" w:ascii="Times New Roman" w:hAnsi="Times New Roman" w:eastAsia="仿宋_GB2312" w:cs="Times New Roman"/>
          <w:b/>
          <w:bCs/>
          <w:color w:val="auto"/>
          <w:sz w:val="32"/>
          <w:szCs w:val="36"/>
          <w:lang w:val="en-US" w:eastAsia="zh-CN"/>
        </w:rPr>
        <w:t>防治水平</w:t>
      </w:r>
      <w:r>
        <w:rPr>
          <w:rFonts w:hint="default" w:ascii="Times New Roman" w:hAnsi="Times New Roman" w:eastAsia="仿宋_GB2312" w:cs="Times New Roman"/>
          <w:b/>
          <w:bCs/>
          <w:color w:val="auto"/>
          <w:sz w:val="32"/>
          <w:szCs w:val="36"/>
        </w:rPr>
        <w:t>的必要举措</w:t>
      </w:r>
      <w:r>
        <w:rPr>
          <w:rFonts w:hint="default" w:ascii="Times New Roman" w:hAnsi="Times New Roman" w:eastAsia="仿宋_GB2312" w:cs="Times New Roman"/>
          <w:color w:val="auto"/>
          <w:sz w:val="32"/>
          <w:szCs w:val="32"/>
        </w:rPr>
        <w:t>。餐饮油烟扰民问题已成为当前群众反映强烈的环境问题之一</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实践中，餐饮服务项目选址不当、油烟净化设施安装不规范、清洗维护不到位等问题仍然突出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现行《办法》在源头管控、部门协同、在线监控、信用监管等方面的制度供给已难以满足当前治理需要</w:t>
      </w:r>
      <w:r>
        <w:rPr>
          <w:rFonts w:hint="default" w:ascii="Times New Roman" w:hAnsi="Times New Roman" w:eastAsia="仿宋_GB2312" w:cs="Times New Roman"/>
          <w:color w:val="auto"/>
          <w:sz w:val="32"/>
          <w:szCs w:val="36"/>
        </w:rPr>
        <w:t>，与高质量发展的实践不相匹配，需要通过</w:t>
      </w:r>
      <w:r>
        <w:rPr>
          <w:rFonts w:hint="eastAsia" w:ascii="Times New Roman" w:hAnsi="Times New Roman" w:eastAsia="仿宋_GB2312" w:cs="Times New Roman"/>
          <w:color w:val="auto"/>
          <w:sz w:val="32"/>
          <w:szCs w:val="36"/>
          <w:lang w:eastAsia="zh-CN"/>
        </w:rPr>
        <w:t>对</w:t>
      </w:r>
      <w:r>
        <w:rPr>
          <w:rFonts w:hint="default" w:ascii="Times New Roman" w:hAnsi="Times New Roman" w:eastAsia="仿宋_GB2312" w:cs="Times New Roman"/>
          <w:color w:val="auto"/>
          <w:sz w:val="32"/>
          <w:szCs w:val="36"/>
        </w:rPr>
        <w:t>《</w:t>
      </w:r>
      <w:r>
        <w:rPr>
          <w:rFonts w:hint="eastAsia" w:ascii="Times New Roman" w:hAnsi="Times New Roman" w:eastAsia="仿宋_GB2312" w:cs="Times New Roman"/>
          <w:color w:val="auto"/>
          <w:sz w:val="32"/>
          <w:szCs w:val="36"/>
          <w:lang w:val="en-US" w:eastAsia="zh-CN"/>
        </w:rPr>
        <w:t>办法</w:t>
      </w:r>
      <w:r>
        <w:rPr>
          <w:rFonts w:hint="default" w:ascii="Times New Roman" w:hAnsi="Times New Roman" w:eastAsia="仿宋_GB2312" w:cs="Times New Roman"/>
          <w:color w:val="auto"/>
          <w:sz w:val="32"/>
          <w:szCs w:val="36"/>
        </w:rPr>
        <w:t>》</w:t>
      </w:r>
      <w:r>
        <w:rPr>
          <w:rFonts w:hint="eastAsia" w:ascii="Times New Roman" w:hAnsi="Times New Roman" w:eastAsia="仿宋_GB2312" w:cs="Times New Roman"/>
          <w:color w:val="auto"/>
          <w:sz w:val="32"/>
          <w:szCs w:val="36"/>
          <w:lang w:eastAsia="zh-CN"/>
        </w:rPr>
        <w:t>修</w:t>
      </w:r>
      <w:r>
        <w:rPr>
          <w:rFonts w:hint="eastAsia" w:ascii="Times New Roman" w:hAnsi="Times New Roman" w:eastAsia="仿宋_GB2312" w:cs="Times New Roman"/>
          <w:color w:val="auto"/>
          <w:sz w:val="32"/>
          <w:szCs w:val="36"/>
          <w:lang w:val="en-US" w:eastAsia="zh-CN"/>
        </w:rPr>
        <w:t>订</w:t>
      </w:r>
      <w:r>
        <w:rPr>
          <w:rFonts w:hint="default" w:ascii="Times New Roman" w:hAnsi="Times New Roman" w:eastAsia="仿宋_GB2312" w:cs="Times New Roman"/>
          <w:color w:val="auto"/>
          <w:sz w:val="32"/>
          <w:szCs w:val="36"/>
        </w:rPr>
        <w:t>予以</w:t>
      </w:r>
      <w:r>
        <w:rPr>
          <w:rFonts w:hint="eastAsia" w:ascii="Times New Roman" w:hAnsi="Times New Roman" w:eastAsia="仿宋_GB2312" w:cs="Times New Roman"/>
          <w:color w:val="auto"/>
          <w:sz w:val="32"/>
          <w:szCs w:val="36"/>
          <w:lang w:val="en-US" w:eastAsia="zh-CN"/>
        </w:rPr>
        <w:t>强化</w:t>
      </w:r>
      <w:r>
        <w:rPr>
          <w:rFonts w:hint="default" w:ascii="Times New Roman" w:hAnsi="Times New Roman" w:eastAsia="仿宋_GB2312" w:cs="Times New Roman"/>
          <w:color w:val="auto"/>
          <w:sz w:val="32"/>
          <w:szCs w:val="36"/>
        </w:rPr>
        <w:t>。</w:t>
      </w:r>
    </w:p>
    <w:p w14:paraId="7477D216">
      <w:pPr>
        <w:keepNext w:val="0"/>
        <w:keepLines w:val="0"/>
        <w:pageBreakBefore w:val="0"/>
        <w:widowControl w:val="0"/>
        <w:kinsoku/>
        <w:wordWrap/>
        <w:topLinePunct w:val="0"/>
        <w:autoSpaceDE/>
        <w:autoSpaceDN/>
        <w:bidi w:val="0"/>
        <w:snapToGrid w:val="0"/>
        <w:spacing w:line="580" w:lineRule="exact"/>
        <w:ind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（二）主要依据</w:t>
      </w:r>
    </w:p>
    <w:p w14:paraId="2EE3860F">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本次《办法》修订以《中华人民共和国生态环境法典》《江苏省大气污染防治条例》等法律法规为主要依据，同时参考上海市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成都</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广州、无锡</w:t>
      </w:r>
      <w:r>
        <w:rPr>
          <w:rFonts w:hint="default" w:ascii="Times New Roman" w:hAnsi="Times New Roman" w:eastAsia="仿宋_GB2312" w:cs="Times New Roman"/>
          <w:color w:val="auto"/>
          <w:sz w:val="32"/>
          <w:szCs w:val="32"/>
        </w:rPr>
        <w:t>等兄弟城市同类规章的</w:t>
      </w:r>
      <w:r>
        <w:rPr>
          <w:rFonts w:hint="eastAsia" w:ascii="Times New Roman" w:hAnsi="Times New Roman" w:eastAsia="仿宋_GB2312" w:cs="Times New Roman"/>
          <w:color w:val="auto"/>
          <w:sz w:val="32"/>
          <w:szCs w:val="32"/>
          <w:lang w:eastAsia="zh-CN"/>
        </w:rPr>
        <w:t>制定</w:t>
      </w:r>
      <w:r>
        <w:rPr>
          <w:rFonts w:hint="default" w:ascii="Times New Roman" w:hAnsi="Times New Roman" w:eastAsia="仿宋_GB2312" w:cs="Times New Roman"/>
          <w:color w:val="auto"/>
          <w:sz w:val="32"/>
          <w:szCs w:val="32"/>
        </w:rPr>
        <w:t>经验，坚持法治统一、问题导向、务实管用的原则，对《办法》内容进行系统优化。</w:t>
      </w:r>
    </w:p>
    <w:p w14:paraId="5C9E3BA9">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二、《办法》修订过程</w:t>
      </w:r>
    </w:p>
    <w:p w14:paraId="1DE9473F">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根据相关程序及工作要求，市生态环境局负责《办法》修订起草工作。在前期充分调研的基础上，全面梳理上位法规定，参考兄弟城市同类</w:t>
      </w:r>
      <w:r>
        <w:rPr>
          <w:rFonts w:hint="eastAsia" w:ascii="Times New Roman" w:hAnsi="Times New Roman" w:eastAsia="仿宋_GB2312" w:cs="Times New Roman"/>
          <w:color w:val="auto"/>
          <w:sz w:val="32"/>
          <w:szCs w:val="32"/>
          <w:lang w:eastAsia="zh-CN"/>
        </w:rPr>
        <w:t>法规、</w:t>
      </w:r>
      <w:r>
        <w:rPr>
          <w:rFonts w:hint="default" w:ascii="Times New Roman" w:hAnsi="Times New Roman" w:eastAsia="仿宋_GB2312" w:cs="Times New Roman"/>
          <w:color w:val="auto"/>
          <w:sz w:val="32"/>
          <w:szCs w:val="32"/>
        </w:rPr>
        <w:t>规章，结合本市实际，形成了《办法（修订草案征求意见稿）》，</w:t>
      </w:r>
      <w:r>
        <w:rPr>
          <w:rFonts w:hint="eastAsia" w:ascii="Times New Roman" w:hAnsi="Times New Roman" w:eastAsia="仿宋_GB2312" w:cs="Times New Roman"/>
          <w:color w:val="auto"/>
          <w:sz w:val="32"/>
          <w:szCs w:val="32"/>
          <w:lang w:val="en-US" w:eastAsia="zh-CN"/>
        </w:rPr>
        <w:t>现对</w:t>
      </w:r>
      <w:r>
        <w:rPr>
          <w:rFonts w:hint="default" w:ascii="Times New Roman" w:hAnsi="Times New Roman" w:eastAsia="仿宋_GB2312" w:cs="Times New Roman"/>
          <w:color w:val="auto"/>
          <w:sz w:val="32"/>
          <w:szCs w:val="32"/>
        </w:rPr>
        <w:t>各相关部门和板块征求意见。在认真研究各方反馈意见的基础上，</w:t>
      </w:r>
      <w:r>
        <w:rPr>
          <w:rFonts w:hint="eastAsia" w:ascii="Times New Roman" w:hAnsi="Times New Roman" w:eastAsia="仿宋_GB2312" w:cs="Times New Roman"/>
          <w:color w:val="auto"/>
          <w:sz w:val="32"/>
          <w:szCs w:val="32"/>
          <w:lang w:eastAsia="zh-CN"/>
        </w:rPr>
        <w:t>将</w:t>
      </w:r>
      <w:r>
        <w:rPr>
          <w:rFonts w:hint="default" w:ascii="Times New Roman" w:hAnsi="Times New Roman" w:eastAsia="仿宋_GB2312" w:cs="Times New Roman"/>
          <w:color w:val="auto"/>
          <w:sz w:val="32"/>
          <w:szCs w:val="32"/>
        </w:rPr>
        <w:t>对草案进行</w:t>
      </w:r>
      <w:r>
        <w:rPr>
          <w:rFonts w:hint="eastAsia" w:ascii="Times New Roman" w:hAnsi="Times New Roman" w:eastAsia="仿宋_GB2312" w:cs="Times New Roman"/>
          <w:color w:val="auto"/>
          <w:sz w:val="32"/>
          <w:szCs w:val="32"/>
          <w:lang w:eastAsia="zh-CN"/>
        </w:rPr>
        <w:t>进一步</w:t>
      </w:r>
      <w:r>
        <w:rPr>
          <w:rFonts w:hint="default" w:ascii="Times New Roman" w:hAnsi="Times New Roman" w:eastAsia="仿宋_GB2312" w:cs="Times New Roman"/>
          <w:color w:val="auto"/>
          <w:sz w:val="32"/>
          <w:szCs w:val="32"/>
        </w:rPr>
        <w:t>修改完善，</w:t>
      </w:r>
      <w:r>
        <w:rPr>
          <w:rFonts w:hint="eastAsia" w:ascii="Times New Roman" w:hAnsi="Times New Roman" w:eastAsia="仿宋_GB2312" w:cs="Times New Roman"/>
          <w:color w:val="auto"/>
          <w:sz w:val="32"/>
          <w:szCs w:val="32"/>
          <w:lang w:eastAsia="zh-CN"/>
        </w:rPr>
        <w:t>并</w:t>
      </w:r>
      <w:r>
        <w:rPr>
          <w:rFonts w:hint="default" w:ascii="Times New Roman" w:hAnsi="Times New Roman" w:eastAsia="仿宋_GB2312" w:cs="Times New Roman"/>
          <w:color w:val="auto"/>
          <w:sz w:val="32"/>
          <w:szCs w:val="32"/>
        </w:rPr>
        <w:t>按规定履行公平竞争审查、合法性审查等程序。</w:t>
      </w:r>
    </w:p>
    <w:p w14:paraId="45C6B49C">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三、主要修订内容</w:t>
      </w:r>
    </w:p>
    <w:p w14:paraId="6B0232A2">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办法（修订草案）》共二十七条，在现行《办法》二十条的基础上，新增了政府职责、部门职责、选址要求、在线监控、露天烧烤禁止、信息共享与联合执法、环境损害赔偿、名词释义等条款，删除了环评登记表备案等已与上位法</w:t>
      </w:r>
      <w:r>
        <w:rPr>
          <w:rFonts w:hint="eastAsia" w:ascii="Times New Roman" w:hAnsi="Times New Roman" w:eastAsia="仿宋_GB2312" w:cs="Times New Roman"/>
          <w:color w:val="auto"/>
          <w:sz w:val="32"/>
          <w:szCs w:val="32"/>
          <w:lang w:eastAsia="zh-CN"/>
        </w:rPr>
        <w:t>不一致</w:t>
      </w:r>
      <w:r>
        <w:rPr>
          <w:rFonts w:hint="default" w:ascii="Times New Roman" w:hAnsi="Times New Roman" w:eastAsia="仿宋_GB2312" w:cs="Times New Roman"/>
          <w:color w:val="auto"/>
          <w:sz w:val="32"/>
          <w:szCs w:val="32"/>
        </w:rPr>
        <w:t>的条款，并对其他条款进行了修订。主要修订内容如下：</w:t>
      </w:r>
    </w:p>
    <w:p w14:paraId="34B5B597">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（一）</w:t>
      </w:r>
      <w:r>
        <w:rPr>
          <w:rFonts w:hint="eastAsia" w:ascii="Times New Roman" w:hAnsi="Times New Roman" w:eastAsia="楷体_GB2312" w:cs="Times New Roman"/>
          <w:color w:val="auto"/>
          <w:sz w:val="32"/>
          <w:szCs w:val="32"/>
          <w:lang w:eastAsia="zh-CN"/>
        </w:rPr>
        <w:t>聚焦</w:t>
      </w:r>
      <w:r>
        <w:rPr>
          <w:rFonts w:hint="eastAsia" w:ascii="Times New Roman" w:hAnsi="Times New Roman" w:eastAsia="楷体_GB2312" w:cs="Times New Roman"/>
          <w:color w:val="auto"/>
          <w:sz w:val="32"/>
          <w:szCs w:val="32"/>
          <w:lang w:val="en-US" w:eastAsia="zh-CN"/>
        </w:rPr>
        <w:t>治理重点，</w:t>
      </w:r>
      <w:r>
        <w:rPr>
          <w:rFonts w:hint="default" w:ascii="Times New Roman" w:hAnsi="Times New Roman" w:eastAsia="楷体_GB2312" w:cs="Times New Roman"/>
          <w:color w:val="auto"/>
          <w:sz w:val="32"/>
          <w:szCs w:val="32"/>
        </w:rPr>
        <w:t>强化大气污染防治。</w:t>
      </w:r>
      <w:r>
        <w:rPr>
          <w:rFonts w:hint="default" w:ascii="Times New Roman" w:hAnsi="Times New Roman" w:eastAsia="仿宋_GB2312" w:cs="Times New Roman"/>
          <w:color w:val="auto"/>
          <w:sz w:val="32"/>
          <w:szCs w:val="32"/>
        </w:rPr>
        <w:t>针对当前群众反映强烈的餐饮油烟扰民问题，依据《生态环境法典》和《江苏省大气污染防治条例》，重点强化了油烟污染防治的源头管控、设施安装、在线监控、露天烧烤禁止等制度。</w:t>
      </w:r>
    </w:p>
    <w:p w14:paraId="219919E8">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（二）完善管理体制，明确各方职责。</w:t>
      </w:r>
      <w:r>
        <w:rPr>
          <w:rFonts w:hint="default" w:ascii="Times New Roman" w:hAnsi="Times New Roman" w:eastAsia="仿宋_GB2312" w:cs="Times New Roman"/>
          <w:color w:val="auto"/>
          <w:sz w:val="32"/>
          <w:szCs w:val="32"/>
        </w:rPr>
        <w:t>新增政府职责条款，明确市、县级市（区）人民政府应当建立联席会议制度，协调解决重大事项。明确镇人民政府、街道办事处的属地管理责任和日常巡查职责。系统梳理并逐条明确了生态环境、城市管理、市场监管、商务、住房和城乡建设、自然资源和规划、水务、消防救援等部门的职责分工。新增信息共享与联合执法条款，建立部门间信息共享和执法联动机制。</w:t>
      </w:r>
    </w:p>
    <w:p w14:paraId="17BFBE58">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（三）强化源头管控，</w:t>
      </w:r>
      <w:r>
        <w:rPr>
          <w:rFonts w:hint="eastAsia" w:ascii="Times New Roman" w:hAnsi="Times New Roman" w:eastAsia="楷体_GB2312" w:cs="Times New Roman"/>
          <w:color w:val="auto"/>
          <w:sz w:val="32"/>
          <w:szCs w:val="32"/>
          <w:lang w:val="en-US" w:eastAsia="zh-CN"/>
        </w:rPr>
        <w:t>细化</w:t>
      </w:r>
      <w:r>
        <w:rPr>
          <w:rFonts w:hint="default" w:ascii="Times New Roman" w:hAnsi="Times New Roman" w:eastAsia="楷体_GB2312" w:cs="Times New Roman"/>
          <w:color w:val="auto"/>
          <w:sz w:val="32"/>
          <w:szCs w:val="32"/>
        </w:rPr>
        <w:t>选址禁令。</w:t>
      </w:r>
      <w:r>
        <w:rPr>
          <w:rFonts w:hint="eastAsia" w:ascii="Times New Roman" w:hAnsi="Times New Roman" w:eastAsia="仿宋_GB2312" w:cs="Times New Roman"/>
          <w:color w:val="auto"/>
          <w:sz w:val="32"/>
          <w:szCs w:val="32"/>
          <w:lang w:val="en-US" w:eastAsia="zh-CN"/>
        </w:rPr>
        <w:t>在现有选址禁止条款的基础上，</w:t>
      </w:r>
      <w:r>
        <w:rPr>
          <w:rFonts w:hint="default" w:ascii="Times New Roman" w:hAnsi="Times New Roman" w:eastAsia="仿宋_GB2312" w:cs="Times New Roman"/>
          <w:color w:val="auto"/>
          <w:sz w:val="32"/>
          <w:szCs w:val="32"/>
        </w:rPr>
        <w:t>参照上海、广州、成都等地做法，明确不产生油烟、异味、废气的甜品、炖品、糕点、包点、冷热饮品、凉茶、食品复热等餐饮服务项目除外。要求市场监管、行政审批部门在行政许可环节一次性告知选址禁止要求，对选址禁止范围内的项目不予登记注册、不予核发食品经营许可证。明确市场监管部门应当定期将餐饮服务食品经营许可信息抄告给同级生态环境部门。</w:t>
      </w:r>
      <w:r>
        <w:rPr>
          <w:rFonts w:hint="eastAsia" w:ascii="Times New Roman" w:hAnsi="Times New Roman" w:eastAsia="仿宋_GB2312" w:cs="Times New Roman"/>
          <w:color w:val="auto"/>
          <w:sz w:val="32"/>
          <w:szCs w:val="32"/>
          <w:lang w:val="en-US" w:eastAsia="zh-CN"/>
        </w:rPr>
        <w:t>此外，根据现行</w:t>
      </w:r>
      <w:r>
        <w:rPr>
          <w:rFonts w:hint="default" w:ascii="Times New Roman" w:hAnsi="Times New Roman" w:eastAsia="仿宋_GB2312" w:cs="Times New Roman"/>
          <w:color w:val="auto"/>
          <w:sz w:val="32"/>
          <w:szCs w:val="32"/>
        </w:rPr>
        <w:t>《建设项目环境影响评价分类管理名录》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删除原</w:t>
      </w:r>
      <w:r>
        <w:rPr>
          <w:rFonts w:hint="eastAsia" w:ascii="Times New Roman" w:hAnsi="Times New Roman" w:eastAsia="仿宋_GB2312" w:cs="Times New Roman"/>
          <w:color w:val="auto"/>
          <w:sz w:val="32"/>
          <w:szCs w:val="32"/>
          <w:lang w:eastAsia="zh-CN"/>
        </w:rPr>
        <w:t>《办法》</w:t>
      </w:r>
      <w:r>
        <w:rPr>
          <w:rFonts w:hint="default" w:ascii="Times New Roman" w:hAnsi="Times New Roman" w:eastAsia="仿宋_GB2312" w:cs="Times New Roman"/>
          <w:color w:val="auto"/>
          <w:sz w:val="32"/>
          <w:szCs w:val="32"/>
        </w:rPr>
        <w:t>中餐饮业项目需填报环境影响登记表的规定</w:t>
      </w:r>
      <w:r>
        <w:rPr>
          <w:rFonts w:hint="eastAsia" w:ascii="Times New Roman" w:hAnsi="Times New Roman" w:eastAsia="仿宋_GB2312" w:cs="Times New Roman"/>
          <w:color w:val="auto"/>
          <w:sz w:val="32"/>
          <w:szCs w:val="32"/>
          <w:lang w:eastAsia="zh-CN"/>
        </w:rPr>
        <w:t>，并</w:t>
      </w:r>
      <w:r>
        <w:rPr>
          <w:rFonts w:hint="default" w:ascii="Times New Roman" w:hAnsi="Times New Roman" w:eastAsia="仿宋_GB2312" w:cs="Times New Roman"/>
          <w:color w:val="auto"/>
          <w:sz w:val="32"/>
          <w:szCs w:val="32"/>
        </w:rPr>
        <w:t>将原“三同时”规定调整合并至设施安装要求中。</w:t>
      </w:r>
    </w:p>
    <w:p w14:paraId="11C89387">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（四）</w:t>
      </w:r>
      <w:r>
        <w:rPr>
          <w:rFonts w:hint="eastAsia" w:ascii="Times New Roman" w:hAnsi="Times New Roman" w:eastAsia="楷体_GB2312" w:cs="Times New Roman"/>
          <w:color w:val="auto"/>
          <w:sz w:val="32"/>
          <w:szCs w:val="32"/>
          <w:lang w:val="en-US" w:eastAsia="zh-CN"/>
        </w:rPr>
        <w:t>提升治理</w:t>
      </w:r>
      <w:r>
        <w:rPr>
          <w:rFonts w:hint="default" w:ascii="Times New Roman" w:hAnsi="Times New Roman" w:eastAsia="楷体_GB2312" w:cs="Times New Roman"/>
          <w:color w:val="auto"/>
          <w:sz w:val="32"/>
          <w:szCs w:val="32"/>
        </w:rPr>
        <w:t>要求，规范油烟排放。</w:t>
      </w:r>
      <w:r>
        <w:rPr>
          <w:rFonts w:hint="default" w:ascii="Times New Roman" w:hAnsi="Times New Roman" w:eastAsia="仿宋_GB2312" w:cs="Times New Roman"/>
          <w:color w:val="auto"/>
          <w:sz w:val="32"/>
          <w:szCs w:val="32"/>
        </w:rPr>
        <w:t>明确产生油烟、异味的餐饮服务项目应安装与其经营规模、烹饪工艺相匹配的油烟净化设施和专用烟道。细化油烟排放口设置要求，明确建筑物高度在24米及以下的，油烟排放口应高于建筑物最高点1.5</w:t>
      </w:r>
      <w:r>
        <w:rPr>
          <w:rFonts w:hint="eastAsia" w:ascii="Times New Roman" w:hAnsi="Times New Roman" w:eastAsia="仿宋_GB2312" w:cs="Times New Roman"/>
          <w:color w:val="auto"/>
          <w:sz w:val="32"/>
          <w:szCs w:val="32"/>
          <w:lang w:eastAsia="zh-CN"/>
        </w:rPr>
        <w:t>米</w:t>
      </w:r>
      <w:r>
        <w:rPr>
          <w:rFonts w:hint="default" w:ascii="Times New Roman" w:hAnsi="Times New Roman" w:eastAsia="仿宋_GB2312" w:cs="Times New Roman"/>
          <w:color w:val="auto"/>
          <w:sz w:val="32"/>
          <w:szCs w:val="32"/>
        </w:rPr>
        <w:t>；建筑物高度大于24米的，油烟排放口高度应大于24米；油烟排放口不得直接朝向街道并应避开居民楼及其他易受影响的建筑物。</w:t>
      </w:r>
      <w:r>
        <w:rPr>
          <w:rFonts w:hint="eastAsia" w:ascii="Times New Roman" w:hAnsi="Times New Roman" w:eastAsia="仿宋_GB2312" w:cs="Times New Roman"/>
          <w:color w:val="auto"/>
          <w:sz w:val="32"/>
          <w:szCs w:val="32"/>
          <w:lang w:val="en-US" w:eastAsia="zh-CN"/>
        </w:rPr>
        <w:t>强化</w:t>
      </w:r>
      <w:r>
        <w:rPr>
          <w:rFonts w:hint="default" w:ascii="Times New Roman" w:hAnsi="Times New Roman" w:eastAsia="仿宋_GB2312" w:cs="Times New Roman"/>
          <w:color w:val="auto"/>
          <w:sz w:val="32"/>
          <w:szCs w:val="32"/>
        </w:rPr>
        <w:t>油烟净化设施定期清洗维护的要求（每季度至少清洗一次），维护保养记录保存期限从6个月延长至一年。</w:t>
      </w:r>
    </w:p>
    <w:p w14:paraId="6C676072">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（五）</w:t>
      </w:r>
      <w:r>
        <w:rPr>
          <w:rFonts w:hint="eastAsia" w:ascii="Times New Roman" w:hAnsi="Times New Roman" w:eastAsia="楷体_GB2312" w:cs="Times New Roman"/>
          <w:color w:val="auto"/>
          <w:sz w:val="32"/>
          <w:szCs w:val="32"/>
          <w:lang w:val="en-US" w:eastAsia="zh-CN"/>
        </w:rPr>
        <w:t>增加</w:t>
      </w:r>
      <w:r>
        <w:rPr>
          <w:rFonts w:hint="default" w:ascii="Times New Roman" w:hAnsi="Times New Roman" w:eastAsia="楷体_GB2312" w:cs="Times New Roman"/>
          <w:color w:val="auto"/>
          <w:sz w:val="32"/>
          <w:szCs w:val="32"/>
        </w:rPr>
        <w:t>在线监控</w:t>
      </w:r>
      <w:r>
        <w:rPr>
          <w:rFonts w:hint="eastAsia" w:ascii="Times New Roman" w:hAnsi="Times New Roman" w:eastAsia="楷体_GB2312" w:cs="Times New Roman"/>
          <w:color w:val="auto"/>
          <w:sz w:val="32"/>
          <w:szCs w:val="32"/>
          <w:lang w:val="en-US" w:eastAsia="zh-CN"/>
        </w:rPr>
        <w:t>要求</w:t>
      </w:r>
      <w:r>
        <w:rPr>
          <w:rFonts w:hint="default" w:ascii="Times New Roman" w:hAnsi="Times New Roman" w:eastAsia="楷体_GB2312" w:cs="Times New Roman"/>
          <w:color w:val="auto"/>
          <w:sz w:val="32"/>
          <w:szCs w:val="32"/>
        </w:rPr>
        <w:t>，提升监管效能。</w:t>
      </w:r>
      <w:r>
        <w:rPr>
          <w:rFonts w:hint="default" w:ascii="Times New Roman" w:hAnsi="Times New Roman" w:eastAsia="仿宋_GB2312" w:cs="Times New Roman"/>
          <w:color w:val="auto"/>
          <w:sz w:val="32"/>
          <w:szCs w:val="32"/>
        </w:rPr>
        <w:t>依据《江苏省大气污染防治条例》第五十</w:t>
      </w:r>
      <w:r>
        <w:rPr>
          <w:rFonts w:hint="eastAsia" w:ascii="Times New Roman" w:hAnsi="Times New Roman" w:eastAsia="仿宋_GB2312" w:cs="Times New Roman"/>
          <w:color w:val="auto"/>
          <w:sz w:val="32"/>
          <w:szCs w:val="32"/>
          <w:lang w:val="en-US" w:eastAsia="zh-CN"/>
        </w:rPr>
        <w:t>七</w:t>
      </w:r>
      <w:r>
        <w:rPr>
          <w:rFonts w:hint="default" w:ascii="Times New Roman" w:hAnsi="Times New Roman" w:eastAsia="仿宋_GB2312" w:cs="Times New Roman"/>
          <w:color w:val="auto"/>
          <w:sz w:val="32"/>
          <w:szCs w:val="32"/>
        </w:rPr>
        <w:t>条，明确营业面积在五百平方米以上的餐饮企业应当安装油烟在线监控设施，并与生态环境部门监控系统联网。</w:t>
      </w:r>
    </w:p>
    <w:p w14:paraId="4034D09A">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（六）细化法律责任，增强可操作性</w:t>
      </w:r>
      <w:r>
        <w:rPr>
          <w:rFonts w:hint="default" w:ascii="Times New Roman" w:hAnsi="Times New Roman" w:eastAsia="仿宋_GB2312" w:cs="Times New Roman"/>
          <w:color w:val="auto"/>
          <w:sz w:val="32"/>
          <w:szCs w:val="32"/>
        </w:rPr>
        <w:t>。依据《生态环境法典》第一千一百三十二条，分别明确了未安装或未正常使用油烟净化设施超标排放油烟、在禁止区域新建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改建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扩建产生油烟的餐饮服务项目、在禁止时段和区域露天烧烤等违法行为的处罚主体和罚款幅度。将处罚主体由“环境保护行政主管部门”调整为“生态环境部门”或“城市管理部门”，与现行机构设置和职责分工保持一致。新增环境损害赔偿条款，明确餐饮服务经营者造成生态环境损害的，依法承担生态环境损害赔偿责任。</w:t>
      </w:r>
    </w:p>
    <w:p w14:paraId="633CA3C6">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（七）规范用语表述，统一法律术语。</w:t>
      </w:r>
      <w:r>
        <w:rPr>
          <w:rFonts w:hint="default" w:ascii="Times New Roman" w:hAnsi="Times New Roman" w:eastAsia="仿宋_GB2312" w:cs="Times New Roman"/>
          <w:color w:val="auto"/>
          <w:sz w:val="32"/>
          <w:szCs w:val="32"/>
        </w:rPr>
        <w:t>将义务主体“餐饮业经营者”统一改为“餐饮服务业经营者”，与《生态环境法典》第二百五十条、第一千一百三十二条的表述保持一致，以体现义务主体的服务属性，并确保与上位法的法律术语相衔接。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办法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名称中的“餐饮业”暂不作修改。将义务性条款中的“必须”改为“应当”，符合立法技术规范要求。参照镇江、成都等地做法，新增名词释义条款，对餐饮业、餐饮服务经营者、专用烟道、油烟净化等污染防治设施等术语作出明确定义。</w:t>
      </w:r>
    </w:p>
    <w:p w14:paraId="7B54A843">
      <w:pPr>
        <w:keepNext w:val="0"/>
        <w:keepLines w:val="0"/>
        <w:pageBreakBefore w:val="0"/>
        <w:widowControl w:val="0"/>
        <w:kinsoku/>
        <w:wordWrap/>
        <w:topLinePunct w:val="0"/>
        <w:autoSpaceDE/>
        <w:autoSpaceDN/>
        <w:bidi w:val="0"/>
        <w:spacing w:line="580" w:lineRule="exact"/>
        <w:ind w:firstLine="640" w:firstLineChars="200"/>
        <w:textAlignment w:val="auto"/>
        <w:rPr>
          <w:color w:val="auto"/>
        </w:rPr>
      </w:pPr>
      <w:r>
        <w:rPr>
          <w:rFonts w:hint="default" w:ascii="Times New Roman" w:hAnsi="Times New Roman" w:eastAsia="楷体_GB2312" w:cs="Times New Roman"/>
          <w:color w:val="auto"/>
          <w:sz w:val="32"/>
          <w:szCs w:val="32"/>
        </w:rPr>
        <w:t>（八）新增露天烧烤禁止规定。</w:t>
      </w:r>
      <w:r>
        <w:rPr>
          <w:rFonts w:hint="default" w:ascii="Times New Roman" w:hAnsi="Times New Roman" w:eastAsia="仿宋_GB2312" w:cs="Times New Roman"/>
          <w:color w:val="auto"/>
          <w:sz w:val="32"/>
          <w:szCs w:val="32"/>
        </w:rPr>
        <w:t>依据《生态环境法典》第二百五十条和《江苏省大气污染防治条例》第五十六条，新增条款明确任何单位和个人不得在当地人民政府禁止的时段和区域露天烧烤食品或者为露天烧烤食品提供场地。同时依据《苏州国家历史文化名城保护条例》第三十二条，明确历史城区范围内全面禁止露天烧烤。</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script"/>
    <w:pitch w:val="default"/>
    <w:sig w:usb0="A00002BF" w:usb1="184F6CFA" w:usb2="00000012"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DB81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5363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05363A">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00138"/>
    <w:rsid w:val="0F227143"/>
    <w:rsid w:val="0FA20284"/>
    <w:rsid w:val="12A460C1"/>
    <w:rsid w:val="16380A5A"/>
    <w:rsid w:val="1C5551ED"/>
    <w:rsid w:val="1EE937D9"/>
    <w:rsid w:val="1EE95587"/>
    <w:rsid w:val="1FAF45C4"/>
    <w:rsid w:val="22E63D57"/>
    <w:rsid w:val="22F46F4E"/>
    <w:rsid w:val="279B588D"/>
    <w:rsid w:val="2DE814DD"/>
    <w:rsid w:val="2E1A575D"/>
    <w:rsid w:val="32E27D3C"/>
    <w:rsid w:val="359A53D6"/>
    <w:rsid w:val="39E76710"/>
    <w:rsid w:val="3DDB5806"/>
    <w:rsid w:val="3F481018"/>
    <w:rsid w:val="505428F9"/>
    <w:rsid w:val="515B2E61"/>
    <w:rsid w:val="5F531FCE"/>
    <w:rsid w:val="60397415"/>
    <w:rsid w:val="609E1B09"/>
    <w:rsid w:val="63B13445"/>
    <w:rsid w:val="66012783"/>
    <w:rsid w:val="666B40A1"/>
    <w:rsid w:val="69C04704"/>
    <w:rsid w:val="69DA57C5"/>
    <w:rsid w:val="6DDE39AF"/>
    <w:rsid w:val="70851DD4"/>
    <w:rsid w:val="799A0ACD"/>
    <w:rsid w:val="7EE45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3"/>
    <w:unhideWhenUsed/>
    <w:qFormat/>
    <w:uiPriority w:val="99"/>
    <w:pPr>
      <w:ind w:firstLine="420" w:firstLineChars="200"/>
    </w:pPr>
  </w:style>
  <w:style w:type="paragraph" w:styleId="3">
    <w:name w:val="toc 4"/>
    <w:basedOn w:val="1"/>
    <w:next w:val="1"/>
    <w:qFormat/>
    <w:uiPriority w:val="0"/>
    <w:pPr>
      <w:ind w:left="1260" w:leftChars="600"/>
    </w:pPr>
  </w:style>
  <w:style w:type="paragraph" w:styleId="7">
    <w:name w:val="Block Text"/>
    <w:basedOn w:val="1"/>
    <w:unhideWhenUsed/>
    <w:qFormat/>
    <w:uiPriority w:val="99"/>
    <w:pPr>
      <w:spacing w:after="120"/>
      <w:ind w:left="1440" w:leftChars="700" w:right="1440" w:rightChars="7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60c143-91c0-4508-b243-ba27cdafcce1}">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2638</Words>
  <Characters>2656</Characters>
  <Lines>0</Lines>
  <Paragraphs>0</Paragraphs>
  <TotalTime>3</TotalTime>
  <ScaleCrop>false</ScaleCrop>
  <LinksUpToDate>false</LinksUpToDate>
  <CharactersWithSpaces>2656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2026-08-31T09:30:00Z</dcterms:created>
  <dc:creator>lyp</dc:creator>
  <cp:lastModifiedBy>ZYW</cp:lastModifiedBy>
  <dcterms:modified xsi:type="dcterms:W3CDTF">2026-09-07T02:08:22Z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eyJoZGlkIjoiOTNiNzM1ZDQwNzBkZTk1YWE0MDUwYjMyZTVjYWRiMDAiLCJ1c2VySWQiOiI0MzYzNzMxNzkifQ==</vt:lpwstr>
  </property>
  <property fmtid="{D5CDD505-2E9C-101B-9397-08002B2CF9AE}" pid="4" name="ICV">
    <vt:lpwstr>DE18DF87E8D5467495B7459CF2D9247B_13</vt:lpwstr>
  </property>
</Properties>
</file>