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0" w:type="auto"/>
        <w:tblInd w:w="80" w:type="dxa"/>
        <w:tblBorders>
          <w:top w:val="single" w:color="FF0000" w:sz="2" w:space="0"/>
          <w:left w:val="none" w:color="auto" w:sz="0" w:space="0"/>
          <w:bottom w:val="single" w:color="FF0000" w:sz="4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8"/>
      </w:tblGrid>
      <w:tr>
        <w:tblPrEx>
          <w:tblBorders>
            <w:top w:val="single" w:color="FF0000" w:sz="2" w:space="0"/>
            <w:left w:val="none" w:color="auto" w:sz="0" w:space="0"/>
            <w:bottom w:val="single" w:color="FF0000" w:sz="4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8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ind w:left="-86" w:leftChars="-41" w:right="174" w:rightChars="83" w:firstLine="8" w:firstLineChars="2"/>
              <w:jc w:val="distribute"/>
              <w:rPr>
                <w:rFonts w:hint="eastAsia" w:ascii="Times New Roman" w:hAnsi="Times New Roman" w:eastAsia="方正小标宋_GBK" w:cs="Times New Roman"/>
                <w:color w:val="FF0000"/>
                <w:spacing w:val="-130"/>
                <w:w w:val="55"/>
                <w:sz w:val="120"/>
                <w:szCs w:val="120"/>
              </w:rPr>
            </w:pPr>
            <w:r>
              <w:rPr>
                <w:rFonts w:hint="eastAsia" w:ascii="Times New Roman" w:hAnsi="Times New Roman" w:eastAsia="方正小标宋_GBK" w:cs="Times New Roman"/>
                <w:color w:val="FF0000"/>
                <w:spacing w:val="-130"/>
                <w:w w:val="55"/>
                <w:sz w:val="120"/>
                <w:szCs w:val="120"/>
              </w:rPr>
              <w:t>苏州工业园区党政办公室文件</w:t>
            </w:r>
          </w:p>
        </w:tc>
      </w:tr>
      <w:tr>
        <w:tblPrEx>
          <w:tblBorders>
            <w:top w:val="single" w:color="FF0000" w:sz="2" w:space="0"/>
            <w:left w:val="none" w:color="auto" w:sz="0" w:space="0"/>
            <w:bottom w:val="single" w:color="FF0000" w:sz="4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8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spacing w:line="560" w:lineRule="atLeast"/>
              <w:rPr>
                <w:rFonts w:hint="eastAsia" w:ascii="Times New Roman" w:hAnsi="Times New Roman" w:eastAsia="仿宋_GB2312" w:cs="Times New Roman"/>
                <w:color w:val="FF0000"/>
                <w:w w:val="80"/>
                <w:sz w:val="32"/>
                <w:szCs w:val="32"/>
              </w:rPr>
            </w:pPr>
          </w:p>
        </w:tc>
      </w:tr>
      <w:tr>
        <w:tblPrEx>
          <w:tblBorders>
            <w:top w:val="single" w:color="FF0000" w:sz="2" w:space="0"/>
            <w:left w:val="none" w:color="auto" w:sz="0" w:space="0"/>
            <w:bottom w:val="single" w:color="FF0000" w:sz="4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8" w:type="dxa"/>
            <w:tcBorders>
              <w:bottom w:val="nil"/>
            </w:tcBorders>
            <w:shd w:val="clear" w:color="auto" w:fill="auto"/>
          </w:tcPr>
          <w:p>
            <w:pPr>
              <w:spacing w:line="560" w:lineRule="atLeast"/>
              <w:rPr>
                <w:rFonts w:hint="eastAsia" w:ascii="Times New Roman" w:hAnsi="Times New Roman" w:eastAsia="仿宋_GB2312" w:cs="Times New Roman"/>
                <w:color w:val="FF0000"/>
                <w:w w:val="80"/>
                <w:sz w:val="32"/>
                <w:szCs w:val="32"/>
              </w:rPr>
            </w:pPr>
          </w:p>
        </w:tc>
      </w:tr>
      <w:tr>
        <w:tblPrEx>
          <w:tblBorders>
            <w:top w:val="single" w:color="FF0000" w:sz="2" w:space="0"/>
            <w:left w:val="none" w:color="auto" w:sz="0" w:space="0"/>
            <w:bottom w:val="single" w:color="FF0000" w:sz="4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8" w:type="dxa"/>
            <w:tcBorders>
              <w:top w:val="nil"/>
              <w:bottom w:val="single" w:color="FF0000" w:sz="18" w:space="0"/>
            </w:tcBorders>
            <w:shd w:val="clear" w:color="auto" w:fill="auto"/>
          </w:tcPr>
          <w:p>
            <w:pPr>
              <w:spacing w:after="156" w:afterLines="50" w:line="560" w:lineRule="atLeas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</w:rPr>
            </w:pPr>
            <w:bookmarkStart w:id="0" w:name="文号"/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苏园办〔2026〕4号</w:t>
            </w:r>
            <w:bookmarkEnd w:id="0"/>
          </w:p>
        </w:tc>
      </w:tr>
    </w:tbl>
    <w:p>
      <w:pPr>
        <w:spacing w:line="560" w:lineRule="exact"/>
        <w:rPr>
          <w:rFonts w:hint="eastAsia" w:ascii="Times New Roman" w:hAnsi="Times New Roman" w:eastAsia="华文中宋" w:cs="Times New Roman"/>
          <w:sz w:val="44"/>
          <w:szCs w:val="44"/>
        </w:rPr>
      </w:pPr>
    </w:p>
    <w:p>
      <w:pPr>
        <w:spacing w:line="560" w:lineRule="exact"/>
        <w:rPr>
          <w:rFonts w:hint="eastAsia" w:ascii="Times New Roman" w:hAnsi="Times New Roman" w:eastAsia="华文中宋" w:cs="Times New Roman"/>
          <w:sz w:val="44"/>
          <w:szCs w:val="44"/>
        </w:rPr>
      </w:pPr>
    </w:p>
    <w:p>
      <w:pPr>
        <w:spacing w:line="680" w:lineRule="exact"/>
        <w:jc w:val="center"/>
        <w:rPr>
          <w:rFonts w:ascii="Times New Roman" w:hAnsi="Times New Roman" w:eastAsia="方正小标宋简体" w:cs="Times New Roman"/>
          <w:bCs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bCs/>
          <w:sz w:val="44"/>
          <w:szCs w:val="44"/>
        </w:rPr>
        <w:t>园区党政办公室关于印发</w:t>
      </w:r>
    </w:p>
    <w:p>
      <w:pPr>
        <w:spacing w:line="680" w:lineRule="exact"/>
        <w:jc w:val="center"/>
        <w:rPr>
          <w:rFonts w:ascii="Times New Roman" w:hAnsi="Times New Roman" w:eastAsia="方正小标宋简体" w:cs="Times New Roman"/>
          <w:bCs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bCs/>
          <w:sz w:val="44"/>
          <w:szCs w:val="44"/>
        </w:rPr>
        <w:t>《苏州工业园区2026年春节期间助企惠民</w:t>
      </w:r>
    </w:p>
    <w:p>
      <w:pPr>
        <w:spacing w:line="680" w:lineRule="exact"/>
        <w:jc w:val="center"/>
        <w:rPr>
          <w:rFonts w:hint="eastAsia" w:ascii="Times New Roman" w:hAnsi="Times New Roman" w:eastAsia="方正小标宋简体" w:cs="Times New Roman"/>
          <w:bCs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bCs/>
          <w:sz w:val="44"/>
          <w:szCs w:val="44"/>
        </w:rPr>
        <w:t>若干措施》的通知</w:t>
      </w:r>
    </w:p>
    <w:p>
      <w:pPr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</w:rPr>
      </w:pPr>
    </w:p>
    <w:p>
      <w:pPr>
        <w:spacing w:line="560" w:lineRule="exact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各功能区、各部委办局、各派驻机构、各公司、各直属单位、各街道，苏相合作区：</w:t>
      </w:r>
    </w:p>
    <w:p>
      <w:pPr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现将《苏州工业园区2026年春节期间助企惠民若干措施》印发给你们，请认真贯彻落实。</w:t>
      </w:r>
    </w:p>
    <w:p>
      <w:pPr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</w:rPr>
      </w:pPr>
    </w:p>
    <w:p>
      <w:pPr>
        <w:spacing w:line="560" w:lineRule="exact"/>
        <w:jc w:val="center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                      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苏州工业园区党政办公室</w:t>
      </w:r>
    </w:p>
    <w:p>
      <w:pPr>
        <w:spacing w:line="560" w:lineRule="exact"/>
        <w:jc w:val="center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                   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2026年1月22日</w:t>
      </w:r>
    </w:p>
    <w:p>
      <w:pPr>
        <w:spacing w:line="580" w:lineRule="exact"/>
        <w:jc w:val="left"/>
        <w:rPr>
          <w:rFonts w:hint="eastAsia" w:ascii="Times New Roman" w:hAnsi="Times New Roman" w:eastAsia="仿宋_GB2312" w:cs="Times New Roman"/>
          <w:sz w:val="32"/>
          <w:szCs w:val="32"/>
        </w:rPr>
      </w:pPr>
    </w:p>
    <w:p>
      <w:pPr>
        <w:spacing w:line="580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（此件公开发布）</w:t>
      </w:r>
      <w:r>
        <w:rPr>
          <w:rFonts w:hint="eastAsia" w:ascii="Times New Roman" w:hAnsi="Times New Roman" w:eastAsia="仿宋_GB2312" w:cs="Times New Roman"/>
          <w:sz w:val="32"/>
          <w:szCs w:val="32"/>
        </w:rPr>
        <w:br w:type="page"/>
      </w:r>
    </w:p>
    <w:p>
      <w:pPr>
        <w:spacing w:line="56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bookmarkStart w:id="1" w:name="正文"/>
    </w:p>
    <w:p>
      <w:pPr>
        <w:spacing w:line="680" w:lineRule="exact"/>
        <w:jc w:val="center"/>
        <w:rPr>
          <w:rFonts w:hint="eastAsia"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</w:rPr>
        <w:t>苏州工业园区2026年春节期间</w:t>
      </w:r>
    </w:p>
    <w:p>
      <w:pPr>
        <w:spacing w:line="680" w:lineRule="exact"/>
        <w:jc w:val="center"/>
        <w:rPr>
          <w:rFonts w:hint="eastAsia"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</w:rPr>
        <w:t>助企惠民若干措施</w:t>
      </w:r>
    </w:p>
    <w:p>
      <w:pPr>
        <w:spacing w:line="560" w:lineRule="exact"/>
        <w:jc w:val="center"/>
        <w:rPr>
          <w:rFonts w:hint="eastAsia" w:ascii="Times New Roman" w:hAnsi="Times New Roman" w:eastAsia="仿宋_GB2312" w:cs="Times New Roman"/>
          <w:sz w:val="32"/>
          <w:szCs w:val="32"/>
        </w:rPr>
      </w:pPr>
    </w:p>
    <w:p>
      <w:pPr>
        <w:pStyle w:val="2"/>
        <w:autoSpaceDE w:val="0"/>
        <w:autoSpaceDN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Times New Roman" w:hAnsi="Times New Roman" w:cs="Times New Roman"/>
          <w:sz w:val="32"/>
          <w:szCs w:val="32"/>
          <w:lang w:eastAsia="zh-CN"/>
        </w:rPr>
      </w:pPr>
      <w:r>
        <w:rPr>
          <w:rFonts w:hint="eastAsia" w:ascii="Times New Roman" w:hAnsi="Times New Roman" w:cs="Times New Roman"/>
          <w:sz w:val="32"/>
          <w:szCs w:val="32"/>
          <w:lang w:eastAsia="zh-CN"/>
        </w:rPr>
        <w:t>为统筹抓好园区春节前后企业生产经营、消费活动组织、民生和安全保障等重点工作，营造暖心过年氛围，助力经济稳健开局，在全面贯彻落实《苏州市2026年春节期间助企惠民若干政策》基础上，结合园区实际，提出如下细化措施。</w:t>
      </w:r>
    </w:p>
    <w:p>
      <w:pPr>
        <w:spacing w:line="560" w:lineRule="exact"/>
        <w:ind w:firstLine="640" w:firstLineChars="200"/>
        <w:rPr>
          <w:rFonts w:hint="eastAsia"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一、支持企业稳定生产经营</w:t>
      </w:r>
    </w:p>
    <w:p>
      <w:pPr>
        <w:pStyle w:val="2"/>
        <w:autoSpaceDE w:val="0"/>
        <w:autoSpaceDN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Times New Roman" w:hAnsi="Times New Roman" w:eastAsia="楷体_GB2312" w:cs="Times New Roman"/>
          <w:snapToGrid w:val="0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cs="Times New Roman"/>
          <w:sz w:val="32"/>
          <w:szCs w:val="32"/>
          <w:lang w:eastAsia="zh-CN"/>
        </w:rPr>
        <w:t>支持在手订单较多的企业在春节期间保持连续生产经营，春节后提前复工复产。对春节期间保持5天（含）以上正常生产经营的符合条件的企业，给予企业慰问补贴。</w:t>
      </w:r>
      <w:r>
        <w:rPr>
          <w:rFonts w:hint="eastAsia" w:ascii="Times New Roman" w:hAnsi="Times New Roman" w:eastAsia="楷体_GB2312" w:cs="Times New Roman"/>
          <w:snapToGrid w:val="0"/>
          <w:kern w:val="0"/>
          <w:sz w:val="32"/>
          <w:szCs w:val="32"/>
          <w:lang w:eastAsia="zh-CN"/>
        </w:rPr>
        <w:t>（责任单位：经发委、</w:t>
      </w:r>
      <w:bookmarkStart w:id="2" w:name="OLE_LINK1"/>
      <w:r>
        <w:rPr>
          <w:rFonts w:hint="eastAsia" w:ascii="Times New Roman" w:hAnsi="Times New Roman" w:eastAsia="楷体_GB2312" w:cs="Times New Roman"/>
          <w:snapToGrid w:val="0"/>
          <w:kern w:val="0"/>
          <w:sz w:val="32"/>
          <w:szCs w:val="32"/>
          <w:lang w:eastAsia="zh-CN"/>
        </w:rPr>
        <w:t>人社局</w:t>
      </w:r>
      <w:bookmarkEnd w:id="2"/>
      <w:r>
        <w:rPr>
          <w:rFonts w:hint="eastAsia" w:ascii="Times New Roman" w:hAnsi="Times New Roman" w:eastAsia="楷体_GB2312" w:cs="Times New Roman"/>
          <w:snapToGrid w:val="0"/>
          <w:kern w:val="0"/>
          <w:sz w:val="32"/>
          <w:szCs w:val="32"/>
          <w:lang w:eastAsia="zh-CN"/>
        </w:rPr>
        <w:t>、财审局、各功能区。以下措施均需各功能区落实，不再单独列出）</w:t>
      </w:r>
    </w:p>
    <w:p>
      <w:pPr>
        <w:pStyle w:val="2"/>
        <w:autoSpaceDE w:val="0"/>
        <w:autoSpaceDN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二、优化企业服务举措</w:t>
      </w:r>
    </w:p>
    <w:p>
      <w:pPr>
        <w:pStyle w:val="2"/>
        <w:autoSpaceDE w:val="0"/>
        <w:autoSpaceDN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Times New Roman" w:hAnsi="Times New Roman" w:eastAsia="楷体_GB2312" w:cs="Times New Roman"/>
          <w:snapToGrid w:val="0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cs="Times New Roman"/>
          <w:sz w:val="32"/>
          <w:szCs w:val="32"/>
          <w:lang w:eastAsia="zh-CN"/>
        </w:rPr>
        <w:t>深入落实“三服务”专项行动，畅通春节期间“12345”“诉求快递”“67068000企业服务热线”等咨询诉求渠道，及时受理解决企业各类咨询及问题诉求，帮助企业用好用足惠企政策，做好要素保障，确保企业生产经营保持稳定、项目建设有序推进。做好春节助企惠民政策的解释工作，依托“园区发布”“一网通办”“经济大脑”精准推送惠企政策，提升政策影响力和知晓度。（</w:t>
      </w:r>
      <w:r>
        <w:rPr>
          <w:rFonts w:hint="eastAsia" w:ascii="Times New Roman" w:hAnsi="Times New Roman" w:eastAsia="楷体_GB2312" w:cs="Times New Roman"/>
          <w:snapToGrid w:val="0"/>
          <w:kern w:val="0"/>
          <w:sz w:val="32"/>
          <w:szCs w:val="32"/>
          <w:lang w:eastAsia="zh-CN"/>
        </w:rPr>
        <w:t>责任单位：政法委、经发委、行政审批局、企服中心）</w:t>
      </w:r>
    </w:p>
    <w:p>
      <w:pPr>
        <w:spacing w:line="560" w:lineRule="exact"/>
        <w:ind w:firstLine="640" w:firstLineChars="200"/>
        <w:rPr>
          <w:rFonts w:hint="eastAsia"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三、强化企业用人用工保障</w:t>
      </w:r>
    </w:p>
    <w:p>
      <w:pPr>
        <w:spacing w:line="560" w:lineRule="exact"/>
        <w:ind w:firstLine="640" w:firstLineChars="200"/>
        <w:rPr>
          <w:rFonts w:hint="eastAsia" w:ascii="Times New Roman" w:hAnsi="Times New Roman" w:eastAsia="楷体_GB2312" w:cs="Times New Roman"/>
          <w:snapToGrid w:val="0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2026年2~3月符合条件的企业新录用首次来园区就业的外地职工，且与其签订1年及以上劳动合同并连续参加社会保险3个月及以上的，给予企业每人500元的引才就业补贴。对于人力资源服务机构在2026年2~3月有组织为园区符合条件的企业输送外来劳动力50人及以上，按规定签订劳动合同并连续参加社会保险3个月及以上的，按500元／人的标准给予机构规模输送补贴，每家机构最高不超过10万元。2026年2月15日至3月15日前，符合条件的企业或人力资源机构包车“点对点”组织外地职工返岗复工，每批次输送50人以上，按照实际包车费用的50%给予交通费补贴，每家企业或人力资源机构最高不超过10万元。统筹整合各类资源，推出内容丰富、形式灵活的“产业人才夜校”“技能共享课堂”课程，一季度计划开设30门，方便职工在家门口提升技能、增强就业竞争力。</w:t>
      </w:r>
      <w:r>
        <w:rPr>
          <w:rFonts w:hint="eastAsia" w:ascii="Times New Roman" w:hAnsi="Times New Roman" w:eastAsia="楷体_GB2312" w:cs="Times New Roman"/>
          <w:snapToGrid w:val="0"/>
          <w:kern w:val="0"/>
          <w:sz w:val="32"/>
          <w:szCs w:val="32"/>
        </w:rPr>
        <w:t>（责任单位：人社局、规建委、财审局）</w:t>
      </w:r>
    </w:p>
    <w:p>
      <w:pPr>
        <w:spacing w:line="560" w:lineRule="exact"/>
        <w:ind w:firstLine="640" w:firstLineChars="200"/>
        <w:rPr>
          <w:rFonts w:hint="eastAsia"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四、打造具有园区特色的文旅节庆活动</w:t>
      </w:r>
    </w:p>
    <w:p>
      <w:pPr>
        <w:autoSpaceDE w:val="0"/>
        <w:autoSpaceDN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依托“惠游园区”智慧文旅平台，开展新春文旅特惠主题活动，发放文旅消费券，结合文创抽奖等进行线下推广。春节前后，举办贺岁杯羽毛球赛、足球小将冠军挑战赛、长三角冰球友谊赛等赛事活动，持续推进“跟着赛事去旅行”。举办“非遗贺新春‘园’气过大年暨2026春风行动”“新春桃源季·来苏州过‘酥’年”“苏州之眼迎新转运季”“阳澄福骥贺新春”等新春文旅活动10余场，开展“冬日织光”草鞋山大地艺术季等群众文化活动39场，为市民游客带来主题市集、演艺互动、迎新巡游、民俗文化、书香阅读等多元假日文旅体验。（</w:t>
      </w:r>
      <w:r>
        <w:rPr>
          <w:rFonts w:hint="eastAsia" w:ascii="Times New Roman" w:hAnsi="Times New Roman" w:eastAsia="楷体_GB2312" w:cs="Times New Roman"/>
          <w:sz w:val="32"/>
          <w:szCs w:val="32"/>
        </w:rPr>
        <w:t>责任单位：宣传和统战部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）</w:t>
      </w:r>
    </w:p>
    <w:p>
      <w:pPr>
        <w:autoSpaceDE w:val="0"/>
        <w:autoSpaceDN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五、开展系列节日促消费活动</w:t>
      </w:r>
    </w:p>
    <w:p>
      <w:pPr>
        <w:spacing w:line="560" w:lineRule="exact"/>
        <w:ind w:firstLine="640" w:firstLineChars="200"/>
        <w:rPr>
          <w:rFonts w:hint="eastAsia"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举办“悦享三湖活力园区”系列促消费活动，发放住宿、餐饮、零售消费券，鼓励各大商圈、酒店、餐饮企业推出专属套餐。联动园区重点商业载体围绕“年货市集”“舞龙舞狮”“非遗年俗”等主题开展活动，活跃商圈人气。举办汽车促消费五进活动，将“以旧换新”补贴优惠福利直接送达消费者身边。借助上海虹桥高铁站、上海浦东机场等交通枢纽，做好园区商旅文体消费场景宣传展示，并结合消费福利推广，强化对长三角地区消费者的吸引力和转化能力，进一步拓展区域消费市场。</w:t>
      </w:r>
      <w:r>
        <w:rPr>
          <w:rFonts w:hint="eastAsia" w:ascii="Times New Roman" w:hAnsi="Times New Roman" w:eastAsia="楷体_GB2312" w:cs="Times New Roman"/>
          <w:sz w:val="32"/>
          <w:szCs w:val="32"/>
        </w:rPr>
        <w:t>（责任单位：宣传和统战部、综合协调局）</w:t>
      </w:r>
    </w:p>
    <w:p>
      <w:pPr>
        <w:pStyle w:val="2"/>
        <w:autoSpaceDE w:val="0"/>
        <w:autoSpaceDN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六、广泛开展节日关怀活动</w:t>
      </w:r>
    </w:p>
    <w:p>
      <w:pPr>
        <w:pStyle w:val="2"/>
        <w:autoSpaceDE w:val="0"/>
        <w:autoSpaceDN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Times New Roman" w:hAnsi="Times New Roman" w:eastAsia="楷体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cs="Times New Roman"/>
          <w:sz w:val="32"/>
          <w:szCs w:val="32"/>
          <w:lang w:eastAsia="zh-CN"/>
        </w:rPr>
        <w:t>走访慰问各类职工群体，赠送新春礼包1.5万份，通过“园工会”微信公众号开展“新春欢乐送”专场活动，送出数字人民币新春消费券以及员工优购消费券2万份。开展“过苏式年享暖心意”微信公众号系列福利活动，免费发放电影票、交通卡、年夜饭和文旅活动券等10万份。组织开展特困供养、低保等民政救助对象春节走访慰问活动，及时发放慰问金、生活救助金，加大临时救助力度。通过慈善力量，组织实施“情暖苏城”慰问活动。依托各街道慈善救助驿站，对辖区内临时遇困人员，开展就近帮扶，提供临时庇护服务。</w:t>
      </w:r>
      <w:r>
        <w:rPr>
          <w:rFonts w:hint="eastAsia" w:ascii="Times New Roman" w:hAnsi="Times New Roman" w:eastAsia="楷体_GB2312" w:cs="Times New Roman"/>
          <w:sz w:val="32"/>
          <w:szCs w:val="32"/>
          <w:lang w:eastAsia="zh-CN"/>
        </w:rPr>
        <w:t>（责任单位：政法委、社会事业局、人社局、教育局、总工会、各街道）</w:t>
      </w:r>
    </w:p>
    <w:p>
      <w:pPr>
        <w:pStyle w:val="2"/>
        <w:autoSpaceDE w:val="0"/>
        <w:autoSpaceDN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七、其他</w:t>
      </w:r>
    </w:p>
    <w:p>
      <w:pPr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本意见所称“春节期间”是指2026年2月15日至2月23日；所称“外地职工”和“外来劳动力”要求非苏州市域户籍，以身份证作为认定标准。以上措施由相关主管部门负责具体解释工作。</w:t>
      </w:r>
    </w:p>
    <w:p>
      <w:pPr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</w:rPr>
      </w:pPr>
    </w:p>
    <w:bookmarkEnd w:id="1"/>
    <w:p>
      <w:pPr>
        <w:spacing w:line="560" w:lineRule="exact"/>
        <w:jc w:val="left"/>
        <w:rPr>
          <w:rFonts w:hint="eastAsia" w:ascii="Times New Roman" w:hAnsi="Times New Roman" w:eastAsia="仿宋_GB2312" w:cs="Times New Roman"/>
          <w:sz w:val="32"/>
          <w:szCs w:val="32"/>
        </w:rPr>
      </w:pPr>
    </w:p>
    <w:p>
      <w:pPr>
        <w:spacing w:line="560" w:lineRule="exact"/>
        <w:rPr>
          <w:rFonts w:hint="eastAsia" w:ascii="Times New Roman" w:hAnsi="Times New Roman" w:eastAsia="华文中宋" w:cs="Times New Roman"/>
          <w:sz w:val="44"/>
          <w:szCs w:val="44"/>
        </w:rPr>
      </w:pPr>
    </w:p>
    <w:p>
      <w:pPr>
        <w:spacing w:line="560" w:lineRule="exact"/>
        <w:rPr>
          <w:rFonts w:hint="eastAsia" w:ascii="Times New Roman" w:hAnsi="Times New Roman" w:eastAsia="华文中宋" w:cs="Times New Roman"/>
          <w:sz w:val="44"/>
          <w:szCs w:val="44"/>
        </w:rPr>
      </w:pPr>
    </w:p>
    <w:p>
      <w:pPr>
        <w:spacing w:line="560" w:lineRule="exact"/>
        <w:rPr>
          <w:rFonts w:hint="eastAsia" w:ascii="Times New Roman" w:hAnsi="Times New Roman" w:eastAsia="华文中宋" w:cs="Times New Roman"/>
          <w:sz w:val="44"/>
          <w:szCs w:val="44"/>
        </w:rPr>
      </w:pPr>
    </w:p>
    <w:p>
      <w:pPr>
        <w:spacing w:line="560" w:lineRule="exact"/>
        <w:rPr>
          <w:rFonts w:hint="eastAsia" w:ascii="Times New Roman" w:hAnsi="Times New Roman" w:eastAsia="华文中宋" w:cs="Times New Roman"/>
          <w:sz w:val="44"/>
          <w:szCs w:val="44"/>
        </w:rPr>
      </w:pPr>
    </w:p>
    <w:p>
      <w:pPr>
        <w:spacing w:line="560" w:lineRule="exact"/>
        <w:rPr>
          <w:rFonts w:hint="eastAsia" w:ascii="Times New Roman" w:hAnsi="Times New Roman" w:eastAsia="华文中宋" w:cs="Times New Roman"/>
          <w:sz w:val="44"/>
          <w:szCs w:val="44"/>
        </w:rPr>
      </w:pPr>
    </w:p>
    <w:p>
      <w:pPr>
        <w:spacing w:line="560" w:lineRule="exact"/>
        <w:rPr>
          <w:rFonts w:hint="eastAsia" w:ascii="Times New Roman" w:hAnsi="Times New Roman" w:eastAsia="华文中宋" w:cs="Times New Roman"/>
          <w:sz w:val="44"/>
          <w:szCs w:val="44"/>
        </w:rPr>
      </w:pPr>
    </w:p>
    <w:p>
      <w:pPr>
        <w:spacing w:line="560" w:lineRule="exact"/>
        <w:rPr>
          <w:rFonts w:hint="eastAsia" w:ascii="Times New Roman" w:hAnsi="Times New Roman" w:eastAsia="华文中宋" w:cs="Times New Roman"/>
          <w:sz w:val="44"/>
          <w:szCs w:val="44"/>
        </w:rPr>
      </w:pPr>
    </w:p>
    <w:p>
      <w:pPr>
        <w:spacing w:line="560" w:lineRule="exact"/>
        <w:rPr>
          <w:rFonts w:hint="eastAsia" w:ascii="Times New Roman" w:hAnsi="Times New Roman" w:eastAsia="华文中宋" w:cs="Times New Roman"/>
          <w:sz w:val="44"/>
          <w:szCs w:val="44"/>
        </w:rPr>
      </w:pPr>
    </w:p>
    <w:p>
      <w:pPr>
        <w:spacing w:line="400" w:lineRule="exact"/>
        <w:rPr>
          <w:rFonts w:hint="eastAsia" w:ascii="Times New Roman" w:hAnsi="Times New Roman" w:eastAsia="华文中宋" w:cs="Times New Roman"/>
          <w:sz w:val="44"/>
          <w:szCs w:val="44"/>
        </w:rPr>
      </w:pPr>
    </w:p>
    <w:p>
      <w:pPr>
        <w:spacing w:line="400" w:lineRule="exact"/>
        <w:rPr>
          <w:rFonts w:ascii="Times New Roman" w:hAnsi="Times New Roman" w:eastAsia="华文中宋" w:cs="Times New Roman"/>
          <w:sz w:val="44"/>
          <w:szCs w:val="44"/>
        </w:rPr>
      </w:pPr>
    </w:p>
    <w:p>
      <w:pPr>
        <w:spacing w:line="400" w:lineRule="exact"/>
        <w:rPr>
          <w:rFonts w:hint="eastAsia" w:ascii="Times New Roman" w:hAnsi="Times New Roman" w:eastAsia="华文中宋" w:cs="Times New Roman"/>
          <w:sz w:val="44"/>
          <w:szCs w:val="44"/>
        </w:rPr>
      </w:pPr>
    </w:p>
    <w:p>
      <w:pPr>
        <w:spacing w:line="400" w:lineRule="exact"/>
        <w:rPr>
          <w:rFonts w:hint="eastAsia" w:ascii="Times New Roman" w:hAnsi="Times New Roman" w:eastAsia="华文中宋" w:cs="Times New Roman"/>
          <w:sz w:val="44"/>
          <w:szCs w:val="44"/>
        </w:rPr>
      </w:pPr>
      <w:bookmarkStart w:id="3" w:name="_GoBack"/>
      <w:bookmarkEnd w:id="3"/>
    </w:p>
    <w:p>
      <w:pPr>
        <w:rPr>
          <w:rFonts w:hint="eastAsia" w:ascii="Times New Roman" w:hAnsi="Times New Roman" w:cs="Times New Roman"/>
        </w:rPr>
      </w:pPr>
    </w:p>
    <w:tbl>
      <w:tblPr>
        <w:tblStyle w:val="9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78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78" w:type="dxa"/>
          </w:tcPr>
          <w:p>
            <w:pPr>
              <w:spacing w:line="400" w:lineRule="exact"/>
              <w:ind w:firstLine="280" w:firstLineChars="100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抄送：人大工委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78" w:type="dxa"/>
          </w:tcPr>
          <w:p>
            <w:pPr>
              <w:spacing w:line="400" w:lineRule="exact"/>
              <w:ind w:firstLine="280" w:firstLineChars="100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苏州工业园区党政办公室                2026年1月22日印发</w:t>
            </w:r>
          </w:p>
        </w:tc>
      </w:tr>
    </w:tbl>
    <w:p>
      <w:pPr>
        <w:spacing w:line="20" w:lineRule="exact"/>
        <w:rPr>
          <w:rFonts w:hint="eastAsia" w:ascii="Times New Roman" w:hAnsi="Times New Roman" w:cs="Times New Roman"/>
        </w:rPr>
      </w:pPr>
    </w:p>
    <w:sectPr>
      <w:footerReference r:id="rId3" w:type="default"/>
      <w:footerReference r:id="rId4" w:type="even"/>
      <w:pgSz w:w="11906" w:h="16838"/>
      <w:pgMar w:top="2041" w:right="1559" w:bottom="1928" w:left="1559" w:header="851" w:footer="1247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702030404030204"/>
    <w:charset w:val="00"/>
    <w:family w:val="swiss"/>
    <w:pitch w:val="default"/>
    <w:sig w:usb0="E4002EFF" w:usb1="C200247B" w:usb2="00000009" w:usb3="00000000" w:csb0="200001F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_GB2312">
    <w:altName w:val="汉仪仿宋KW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汉仪书宋二KW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altName w:val="汉仪书宋二KW"/>
    <w:panose1 w:val="00000600000000000000"/>
    <w:charset w:val="86"/>
    <w:family w:val="auto"/>
    <w:pitch w:val="default"/>
    <w:sig w:usb0="00000000" w:usb1="00000000" w:usb2="00000012" w:usb3="00000000" w:csb0="00160001" w:csb1="00000000"/>
  </w:font>
  <w:font w:name="楷体_GB2312">
    <w:altName w:val="汉仪楷体KW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cs="Times New Roman" w:asciiTheme="minorEastAsia" w:hAnsiTheme="minorEastAsia"/>
        <w:sz w:val="28"/>
        <w:szCs w:val="28"/>
      </w:rPr>
      <w:id w:val="500249881"/>
      <w:docPartObj>
        <w:docPartGallery w:val="AutoText"/>
      </w:docPartObj>
    </w:sdtPr>
    <w:sdtEndPr>
      <w:rPr>
        <w:rFonts w:cs="Times New Roman" w:asciiTheme="minorEastAsia" w:hAnsiTheme="minorEastAsia"/>
        <w:sz w:val="28"/>
        <w:szCs w:val="28"/>
      </w:rPr>
    </w:sdtEndPr>
    <w:sdtContent>
      <w:p>
        <w:pPr>
          <w:pStyle w:val="5"/>
          <w:ind w:right="210" w:rightChars="100"/>
          <w:jc w:val="right"/>
          <w:rPr>
            <w:rFonts w:cs="Times New Roman" w:asciiTheme="minorEastAsia" w:hAnsiTheme="minorEastAsia"/>
            <w:sz w:val="28"/>
            <w:szCs w:val="28"/>
          </w:rPr>
        </w:pPr>
        <w:r>
          <w:rPr>
            <w:rFonts w:cs="Times New Roman" w:asciiTheme="minorEastAsia" w:hAnsiTheme="minorEastAsia"/>
            <w:sz w:val="28"/>
            <w:szCs w:val="28"/>
          </w:rPr>
          <w:t xml:space="preserve">— </w:t>
        </w:r>
        <w:r>
          <w:rPr>
            <w:rFonts w:cs="Times New Roman" w:asciiTheme="minorEastAsia" w:hAnsiTheme="minorEastAsia"/>
            <w:sz w:val="28"/>
            <w:szCs w:val="28"/>
          </w:rPr>
          <w:fldChar w:fldCharType="begin"/>
        </w:r>
        <w:r>
          <w:rPr>
            <w:rFonts w:cs="Times New Roman" w:asciiTheme="minorEastAsia" w:hAnsiTheme="minorEastAsia"/>
            <w:sz w:val="28"/>
            <w:szCs w:val="28"/>
          </w:rPr>
          <w:instrText xml:space="preserve">PAGE   \* MERGEFORMAT</w:instrText>
        </w:r>
        <w:r>
          <w:rPr>
            <w:rFonts w:cs="Times New Roman" w:asciiTheme="minorEastAsia" w:hAnsiTheme="minorEastAsia"/>
            <w:sz w:val="28"/>
            <w:szCs w:val="28"/>
          </w:rPr>
          <w:fldChar w:fldCharType="separate"/>
        </w:r>
        <w:r>
          <w:rPr>
            <w:rFonts w:cs="Times New Roman" w:asciiTheme="minorEastAsia" w:hAnsiTheme="minorEastAsia"/>
            <w:sz w:val="28"/>
            <w:szCs w:val="28"/>
            <w:lang w:val="zh-CN"/>
          </w:rPr>
          <w:t>1</w:t>
        </w:r>
        <w:r>
          <w:rPr>
            <w:rFonts w:cs="Times New Roman" w:asciiTheme="minorEastAsia" w:hAnsiTheme="minorEastAsia"/>
            <w:sz w:val="28"/>
            <w:szCs w:val="28"/>
          </w:rPr>
          <w:fldChar w:fldCharType="end"/>
        </w:r>
        <w:r>
          <w:rPr>
            <w:rFonts w:cs="Times New Roman" w:asciiTheme="minorEastAsia" w:hAnsiTheme="minorEastAsia"/>
            <w:sz w:val="28"/>
            <w:szCs w:val="28"/>
          </w:rPr>
          <w:t xml:space="preserve"> —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left="210" w:leftChars="100"/>
      <w:rPr>
        <w:rFonts w:asciiTheme="minorEastAsia" w:hAnsiTheme="minorEastAsia"/>
        <w:sz w:val="28"/>
        <w:szCs w:val="28"/>
      </w:rPr>
    </w:pPr>
    <w:r>
      <w:rPr>
        <w:rFonts w:asciiTheme="minorEastAsia" w:hAnsiTheme="minorEastAsia"/>
        <w:sz w:val="28"/>
        <w:szCs w:val="28"/>
      </w:rPr>
      <w:t>—</w:t>
    </w:r>
    <w:sdt>
      <w:sdtPr>
        <w:rPr>
          <w:rFonts w:cs="Times New Roman" w:asciiTheme="minorEastAsia" w:hAnsiTheme="minorEastAsia"/>
          <w:sz w:val="28"/>
          <w:szCs w:val="28"/>
        </w:rPr>
        <w:id w:val="-1"/>
        <w:docPartObj>
          <w:docPartGallery w:val="AutoText"/>
        </w:docPartObj>
      </w:sdtPr>
      <w:sdtEndPr>
        <w:rPr>
          <w:rFonts w:cs="Times New Roman" w:asciiTheme="minorEastAsia" w:hAnsiTheme="minorEastAsia"/>
          <w:sz w:val="28"/>
          <w:szCs w:val="28"/>
        </w:rPr>
      </w:sdtEndPr>
      <w:sdtContent>
        <w:r>
          <w:rPr>
            <w:rFonts w:cs="Times New Roman" w:asciiTheme="minorEastAsia" w:hAnsiTheme="minorEastAsia"/>
            <w:sz w:val="28"/>
            <w:szCs w:val="28"/>
          </w:rPr>
          <w:t xml:space="preserve"> </w:t>
        </w:r>
        <w:r>
          <w:rPr>
            <w:rFonts w:cs="Times New Roman" w:asciiTheme="minorEastAsia" w:hAnsiTheme="minorEastAsia"/>
            <w:sz w:val="28"/>
            <w:szCs w:val="28"/>
          </w:rPr>
          <w:fldChar w:fldCharType="begin"/>
        </w:r>
        <w:r>
          <w:rPr>
            <w:rFonts w:cs="Times New Roman" w:asciiTheme="minorEastAsia" w:hAnsiTheme="minorEastAsia"/>
            <w:sz w:val="28"/>
            <w:szCs w:val="28"/>
          </w:rPr>
          <w:instrText xml:space="preserve">PAGE   \* MERGEFORMAT</w:instrText>
        </w:r>
        <w:r>
          <w:rPr>
            <w:rFonts w:cs="Times New Roman" w:asciiTheme="minorEastAsia" w:hAnsiTheme="minorEastAsia"/>
            <w:sz w:val="28"/>
            <w:szCs w:val="28"/>
          </w:rPr>
          <w:fldChar w:fldCharType="separate"/>
        </w:r>
        <w:r>
          <w:rPr>
            <w:rFonts w:cs="Times New Roman" w:asciiTheme="minorEastAsia" w:hAnsiTheme="minorEastAsia"/>
            <w:sz w:val="28"/>
            <w:szCs w:val="28"/>
            <w:lang w:val="zh-CN"/>
          </w:rPr>
          <w:t>2</w:t>
        </w:r>
        <w:r>
          <w:rPr>
            <w:rFonts w:cs="Times New Roman" w:asciiTheme="minorEastAsia" w:hAnsiTheme="minorEastAsia"/>
            <w:sz w:val="28"/>
            <w:szCs w:val="28"/>
          </w:rPr>
          <w:fldChar w:fldCharType="end"/>
        </w:r>
        <w:r>
          <w:rPr>
            <w:rFonts w:cs="Times New Roman" w:asciiTheme="minorEastAsia" w:hAnsiTheme="minorEastAsia"/>
            <w:sz w:val="28"/>
            <w:szCs w:val="28"/>
          </w:rPr>
          <w:t xml:space="preserve"> </w:t>
        </w:r>
      </w:sdtContent>
    </w:sdt>
    <w:r>
      <w:rPr>
        <w:rFonts w:asciiTheme="minorEastAsia" w:hAnsiTheme="minorEastAsia"/>
        <w:sz w:val="28"/>
        <w:szCs w:val="28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2E7"/>
    <w:rsid w:val="000B52E7"/>
    <w:rsid w:val="00113F49"/>
    <w:rsid w:val="00121FD9"/>
    <w:rsid w:val="00160ECD"/>
    <w:rsid w:val="00197A9D"/>
    <w:rsid w:val="001B6D96"/>
    <w:rsid w:val="002E40C3"/>
    <w:rsid w:val="002F069F"/>
    <w:rsid w:val="003E2C10"/>
    <w:rsid w:val="00483E84"/>
    <w:rsid w:val="004923E2"/>
    <w:rsid w:val="0056113C"/>
    <w:rsid w:val="005C6437"/>
    <w:rsid w:val="005D3262"/>
    <w:rsid w:val="00644900"/>
    <w:rsid w:val="007A1040"/>
    <w:rsid w:val="007C473E"/>
    <w:rsid w:val="0086067C"/>
    <w:rsid w:val="008F0870"/>
    <w:rsid w:val="00B54680"/>
    <w:rsid w:val="00BD35C7"/>
    <w:rsid w:val="00C24D60"/>
    <w:rsid w:val="00C6524E"/>
    <w:rsid w:val="00CA444E"/>
    <w:rsid w:val="00D0234F"/>
    <w:rsid w:val="00D0375B"/>
    <w:rsid w:val="00D140FA"/>
    <w:rsid w:val="00DF6D61"/>
    <w:rsid w:val="00F80DCA"/>
    <w:rsid w:val="00F83981"/>
    <w:rsid w:val="00FE69B1"/>
    <w:rsid w:val="FDEF2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8"/>
    <w:qFormat/>
    <w:uiPriority w:val="0"/>
    <w:rPr>
      <w:rFonts w:ascii="仿宋_GB2312" w:hAnsi="仿宋_GB2312" w:eastAsia="仿宋_GB2312" w:cs="仿宋_GB2312"/>
      <w:sz w:val="31"/>
      <w:szCs w:val="31"/>
      <w:lang w:eastAsia="en-US"/>
    </w:rPr>
  </w:style>
  <w:style w:type="paragraph" w:styleId="3">
    <w:name w:val="Date"/>
    <w:basedOn w:val="1"/>
    <w:next w:val="1"/>
    <w:link w:val="17"/>
    <w:semiHidden/>
    <w:unhideWhenUsed/>
    <w:uiPriority w:val="99"/>
    <w:pPr>
      <w:ind w:left="100" w:leftChars="2500"/>
    </w:pPr>
  </w:style>
  <w:style w:type="paragraph" w:styleId="4">
    <w:name w:val="Balloon Text"/>
    <w:basedOn w:val="1"/>
    <w:link w:val="12"/>
    <w:semiHidden/>
    <w:unhideWhenUsed/>
    <w:uiPriority w:val="99"/>
    <w:rPr>
      <w:sz w:val="18"/>
      <w:szCs w:val="18"/>
    </w:rPr>
  </w:style>
  <w:style w:type="paragraph" w:styleId="5">
    <w:name w:val="footer"/>
    <w:basedOn w:val="1"/>
    <w:link w:val="1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unhideWhenUsed/>
    <w:uiPriority w:val="0"/>
    <w:pPr>
      <w:widowControl w:val="0"/>
      <w:spacing w:before="100" w:beforeAutospacing="1" w:after="100" w:afterAutospacing="1"/>
    </w:pPr>
    <w:rPr>
      <w:rFonts w:ascii="Calibri" w:hAnsi="Calibri" w:eastAsia="宋体" w:cs="Times New Roman"/>
      <w:kern w:val="0"/>
      <w:sz w:val="24"/>
      <w:szCs w:val="24"/>
      <w:lang w:val="en-US" w:eastAsia="zh-CN" w:bidi="ar-SA"/>
    </w:rPr>
  </w:style>
  <w:style w:type="table" w:styleId="9">
    <w:name w:val="Table Grid"/>
    <w:basedOn w:val="8"/>
    <w:qFormat/>
    <w:uiPriority w:val="3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页脚 字符"/>
    <w:basedOn w:val="10"/>
    <w:link w:val="5"/>
    <w:qFormat/>
    <w:uiPriority w:val="99"/>
    <w:rPr>
      <w:sz w:val="18"/>
      <w:szCs w:val="18"/>
    </w:rPr>
  </w:style>
  <w:style w:type="character" w:customStyle="1" w:styleId="12">
    <w:name w:val="批注框文本 字符"/>
    <w:basedOn w:val="10"/>
    <w:link w:val="4"/>
    <w:semiHidden/>
    <w:uiPriority w:val="99"/>
    <w:rPr>
      <w:sz w:val="18"/>
      <w:szCs w:val="18"/>
    </w:rPr>
  </w:style>
  <w:style w:type="paragraph" w:customStyle="1" w:styleId="13">
    <w:name w:val="Revision"/>
    <w:hidden/>
    <w:semiHidden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4">
    <w:name w:val="页眉 字符"/>
    <w:basedOn w:val="10"/>
    <w:link w:val="6"/>
    <w:uiPriority w:val="99"/>
    <w:rPr>
      <w:sz w:val="18"/>
      <w:szCs w:val="18"/>
    </w:rPr>
  </w:style>
  <w:style w:type="paragraph" w:customStyle="1" w:styleId="15">
    <w:name w:val="段"/>
    <w:next w:val="1"/>
    <w:qFormat/>
    <w:uiPriority w:val="0"/>
    <w:pPr>
      <w:autoSpaceDE w:val="0"/>
      <w:autoSpaceDN w:val="0"/>
      <w:ind w:firstLine="200"/>
      <w:jc w:val="both"/>
    </w:pPr>
    <w:rPr>
      <w:rFonts w:ascii="宋体" w:hAnsi="Times New Roman" w:eastAsia="宋体" w:cs="Times New Roman"/>
      <w:kern w:val="0"/>
      <w:sz w:val="21"/>
      <w:szCs w:val="22"/>
      <w:lang w:val="en-US" w:eastAsia="zh-CN" w:bidi="ar-SA"/>
    </w:rPr>
  </w:style>
  <w:style w:type="character" w:customStyle="1" w:styleId="16">
    <w:name w:val="NormalCharacter"/>
    <w:semiHidden/>
    <w:qFormat/>
    <w:uiPriority w:val="0"/>
  </w:style>
  <w:style w:type="character" w:customStyle="1" w:styleId="17">
    <w:name w:val="日期 字符"/>
    <w:basedOn w:val="10"/>
    <w:link w:val="3"/>
    <w:semiHidden/>
    <w:uiPriority w:val="99"/>
  </w:style>
  <w:style w:type="character" w:customStyle="1" w:styleId="18">
    <w:name w:val="正文文本 字符"/>
    <w:basedOn w:val="10"/>
    <w:link w:val="2"/>
    <w:qFormat/>
    <w:uiPriority w:val="0"/>
    <w:rPr>
      <w:rFonts w:ascii="仿宋_GB2312" w:hAnsi="仿宋_GB2312" w:eastAsia="仿宋_GB2312" w:cs="仿宋_GB2312"/>
      <w:sz w:val="31"/>
      <w:szCs w:val="31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34B28A-6F78-46B3-916F-E12A9831FBE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微软中国</Company>
  <Pages>5</Pages>
  <Words>310</Words>
  <Characters>1773</Characters>
  <Lines>14</Lines>
  <Paragraphs>4</Paragraphs>
  <TotalTime>0</TotalTime>
  <ScaleCrop>false</ScaleCrop>
  <LinksUpToDate>false</LinksUpToDate>
  <CharactersWithSpaces>2079</CharactersWithSpaces>
  <Application>WPS Office WWO_wpscloud_20240219104309-4f63141d98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2026-01-22T14:44:00Z</dcterms:created>
  <dc:creator>陈宁笛</dc:creator>
  <cp:lastModifiedBy>党政办公室-钟艳</cp:lastModifiedBy>
  <cp:lastPrinted>2022-01-11T16:53:00Z</cp:lastPrinted>
  <dcterms:modified xsi:type="dcterms:W3CDTF">2026-01-22T14:40:33Z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