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156" w:rsidRPr="00106156" w:rsidRDefault="00106156" w:rsidP="00106156">
      <w:pPr>
        <w:spacing w:line="582" w:lineRule="exact"/>
        <w:jc w:val="center"/>
        <w:rPr>
          <w:rFonts w:ascii="方正小标宋_GBK" w:eastAsia="方正小标宋_GBK" w:hAnsi="宋体"/>
          <w:sz w:val="44"/>
          <w:szCs w:val="44"/>
        </w:rPr>
      </w:pPr>
      <w:r w:rsidRPr="00106156">
        <w:rPr>
          <w:rFonts w:ascii="方正小标宋_GBK" w:eastAsia="方正小标宋_GBK" w:hAnsi="宋体" w:hint="eastAsia"/>
          <w:sz w:val="44"/>
          <w:szCs w:val="44"/>
        </w:rPr>
        <w:t>苏州市“十四五”残疾人事业发展规划</w:t>
      </w:r>
    </w:p>
    <w:p w:rsidR="00106156" w:rsidRDefault="00106156" w:rsidP="00106156">
      <w:pPr>
        <w:ind w:firstLineChars="200" w:firstLine="632"/>
      </w:pPr>
    </w:p>
    <w:p w:rsidR="00106156" w:rsidRDefault="00106156" w:rsidP="00106156">
      <w:pPr>
        <w:ind w:firstLineChars="200" w:firstLine="632"/>
      </w:pPr>
      <w:r>
        <w:rPr>
          <w:rFonts w:hint="eastAsia"/>
        </w:rPr>
        <w:t>为加快推动苏州市残疾人事业与经济社会协调发展，进一步改善残疾人生活品质，持续提升残疾人事业发展水平，根据国务院《“十四五”残疾人保障和发展规划》《江苏省“十四五”残疾人事业发展规划》《苏州市国民经济和社会发展第十四个五年规划和二</w:t>
      </w:r>
      <w:r>
        <w:rPr>
          <w:rFonts w:ascii="宋体" w:eastAsia="宋体" w:hAnsi="宋体" w:cs="宋体" w:hint="eastAsia"/>
        </w:rPr>
        <w:t>〇</w:t>
      </w:r>
      <w:r>
        <w:rPr>
          <w:rFonts w:hAnsi="仿宋_GB2312" w:cs="仿宋_GB2312" w:hint="eastAsia"/>
        </w:rPr>
        <w:t>三五年远景目标纲要》，制定本规划。</w:t>
      </w:r>
    </w:p>
    <w:p w:rsidR="00106156" w:rsidRPr="00106156" w:rsidRDefault="00106156" w:rsidP="00106156">
      <w:pPr>
        <w:ind w:firstLineChars="200" w:firstLine="632"/>
        <w:rPr>
          <w:rFonts w:ascii="黑体" w:eastAsia="黑体" w:hAnsi="黑体"/>
        </w:rPr>
      </w:pPr>
      <w:r w:rsidRPr="00106156">
        <w:rPr>
          <w:rFonts w:ascii="黑体" w:eastAsia="黑体" w:hAnsi="黑体" w:hint="eastAsia"/>
        </w:rPr>
        <w:t>一、编制背景</w:t>
      </w:r>
    </w:p>
    <w:p w:rsidR="00106156" w:rsidRDefault="00106156" w:rsidP="00106156">
      <w:pPr>
        <w:ind w:firstLineChars="200" w:firstLine="632"/>
      </w:pPr>
      <w:r>
        <w:rPr>
          <w:rFonts w:hint="eastAsia"/>
        </w:rPr>
        <w:t>在市委、市政府正确领导和省残联关心指导下，“十三五”期间，通过社会各界的共同努力，我市残疾人事业获得长足发展，率先建成了比较完备的残疾人社会保障体系和基本公共服务体系，形成了保障有力、全面协调、创新引领的发展格局，《苏州市残疾人事业“十三五”发展规划》提出的主要目标任务全面完成，残疾人与全市人民共同步入高水平小康社会，为“十四五”发展打下了坚实基础。</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（一）“十三五”时期残疾人事业发展成效显著</w:t>
      </w:r>
      <w:r>
        <w:rPr>
          <w:rFonts w:ascii="楷体_GB2312" w:eastAsia="楷体_GB2312" w:hint="eastAsia"/>
        </w:rPr>
        <w:t>。</w:t>
      </w:r>
    </w:p>
    <w:p w:rsidR="00106156" w:rsidRDefault="00106156" w:rsidP="00106156">
      <w:pPr>
        <w:ind w:firstLineChars="200" w:firstLine="632"/>
      </w:pPr>
      <w:r>
        <w:rPr>
          <w:rFonts w:hint="eastAsia"/>
        </w:rPr>
        <w:t>一是残疾人就业更加充分。实施就业增收提升计划，根据残疾人就业条件，分别以竞争性、保护性和辅助性三种形态促进残疾人就业增收，打造残疾人就业“苏州模式”。五年来累计举办残疾人就业专场招聘60余场，开展残疾人职业技能培训5060人次，累计实名制新增就业3354人。在第九届国际残疾人职业技能竞赛中获2枚金牌，第六届全国残疾人职业技能大赛中获2枚金</w:t>
      </w:r>
      <w:r>
        <w:rPr>
          <w:rFonts w:hint="eastAsia"/>
        </w:rPr>
        <w:lastRenderedPageBreak/>
        <w:t>牌1枚银牌，第六届江苏省残疾人职业技能大赛中获团体第一。截至“十三五”期末，全市约5000家企业按比例安排残疾人就业7.8万人次。</w:t>
      </w:r>
    </w:p>
    <w:p w:rsidR="00106156" w:rsidRDefault="00106156" w:rsidP="00106156">
      <w:pPr>
        <w:ind w:firstLineChars="200" w:firstLine="632"/>
      </w:pPr>
      <w:r>
        <w:rPr>
          <w:rFonts w:hint="eastAsia"/>
        </w:rPr>
        <w:t>二是残疾人社会保障水平明显提升。坚持普惠与特惠相结合的原则，完善制度建设，强化基本生活、教育、养老、托养、医疗等全方位保障，实现残疾人生活从</w:t>
      </w:r>
      <w:proofErr w:type="gramStart"/>
      <w:r>
        <w:rPr>
          <w:rFonts w:hint="eastAsia"/>
        </w:rPr>
        <w:t>托底保障</w:t>
      </w:r>
      <w:proofErr w:type="gramEnd"/>
      <w:r>
        <w:rPr>
          <w:rFonts w:hint="eastAsia"/>
        </w:rPr>
        <w:t>到全面保障。累计发放残疾人专项保障资金14.55亿元，提</w:t>
      </w:r>
      <w:proofErr w:type="gramStart"/>
      <w:r>
        <w:rPr>
          <w:rFonts w:hint="eastAsia"/>
        </w:rPr>
        <w:t>标扩面惠及</w:t>
      </w:r>
      <w:proofErr w:type="gramEnd"/>
      <w:r>
        <w:rPr>
          <w:rFonts w:hint="eastAsia"/>
        </w:rPr>
        <w:t>到5万困难残疾人。残疾人基本社会保险保障实现全覆盖，向无业重度、困难家庭残疾人、三级和四级无业精神（智力）残疾人发放社会保险补贴，2.47万人次残疾人获得社会保险补贴7569万元，参保率超过98%。“十三五”期间，对残疾儿童康复政策进行了2次提</w:t>
      </w:r>
      <w:proofErr w:type="gramStart"/>
      <w:r>
        <w:rPr>
          <w:rFonts w:hint="eastAsia"/>
        </w:rPr>
        <w:t>标扩面</w:t>
      </w:r>
      <w:proofErr w:type="gramEnd"/>
      <w:r>
        <w:rPr>
          <w:rFonts w:hint="eastAsia"/>
        </w:rPr>
        <w:t>，1.2万名残疾儿童获得基本康复补助，累计补助2.18亿元。</w:t>
      </w:r>
    </w:p>
    <w:p w:rsidR="00106156" w:rsidRDefault="00106156" w:rsidP="00106156">
      <w:pPr>
        <w:ind w:firstLineChars="200" w:firstLine="632"/>
      </w:pPr>
      <w:r>
        <w:rPr>
          <w:rFonts w:hint="eastAsia"/>
        </w:rPr>
        <w:t>三是残疾人基本公共服务全面普及。满足残疾人就业、教育、康复、托养、文体活动等方面服务需求，实现基本服务均等化供给、常态化开展，残疾人基本公共服务从基本普及到基本均等。基本建立覆盖全人群全生命周期的康复服务体系，全市残疾儿童基本康复服务率、四类残疾人群基本辅具适配率达到98%。特殊教育快速发展，全市建成融合教育资源中心402家，残障儿童少年义务教育“全接纳，零拒绝”。残疾人托养多样化开展，托养服务人次1.4万，全市共计发放残疾人托养服务护理补贴3878万元。残疾人文化体育繁荣发展。组织康复体育进家庭、残疾人</w:t>
      </w:r>
      <w:r>
        <w:rPr>
          <w:rFonts w:hint="eastAsia"/>
        </w:rPr>
        <w:lastRenderedPageBreak/>
        <w:t>门球锦标赛、残疾人文体兴趣团队展评等，提高残疾人群众性体育活动广泛性和实效性。</w:t>
      </w:r>
    </w:p>
    <w:p w:rsidR="00106156" w:rsidRDefault="00106156" w:rsidP="00106156">
      <w:pPr>
        <w:ind w:firstLineChars="200" w:firstLine="632"/>
      </w:pPr>
      <w:r>
        <w:rPr>
          <w:rFonts w:hint="eastAsia"/>
        </w:rPr>
        <w:t>四是残疾人事业发展基础不断夯实。全市</w:t>
      </w:r>
      <w:proofErr w:type="gramStart"/>
      <w:r>
        <w:rPr>
          <w:rFonts w:hint="eastAsia"/>
        </w:rPr>
        <w:t>首部保障</w:t>
      </w:r>
      <w:proofErr w:type="gramEnd"/>
      <w:r>
        <w:rPr>
          <w:rFonts w:hint="eastAsia"/>
        </w:rPr>
        <w:t>残疾人权益的地方法规《苏州市残疾人保障条例》正式出台。在此基础上，打造“1+1+N”的政策保障体系，即一个《条例》，一个《实施细则》和若干个相关配套政策，残疾人工作的制度化、法治化水平明显提高，残疾人事业发展的法治环境不断优化。254家“残疾人之家”覆盖所有镇、街道，并向村、社区延伸。22个社区康复服务示范点为残疾人提供“家门口”的服务。社会扶残助残环境不断优化，公益助残品牌影响力持续提升，累计吸纳公益助残资金超千万，满足残疾人个性化服务需求超过1万人次。</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（二）残疾人事业发展面临的新形势</w:t>
      </w:r>
      <w:r>
        <w:rPr>
          <w:rFonts w:ascii="楷体_GB2312" w:eastAsia="楷体_GB2312" w:hint="eastAsia"/>
        </w:rPr>
        <w:t>。</w:t>
      </w:r>
    </w:p>
    <w:p w:rsidR="00106156" w:rsidRDefault="00106156" w:rsidP="00106156">
      <w:pPr>
        <w:ind w:firstLineChars="200" w:firstLine="632"/>
      </w:pPr>
      <w:r>
        <w:rPr>
          <w:rFonts w:hint="eastAsia"/>
        </w:rPr>
        <w:t>尽管我市残疾人事业取得了长足发展，但残疾人总体生活状况与社会平均水平相比尚有差距，残疾人平等参与社会生活仍面临一些困难和障碍，残疾人服务设施有待健全，残疾人服务供给能力和水平有待进一步提高。当前，我市残疾人年龄结构发生了显著变化，50岁以上的残疾人占总数的70%左右，面临的主要困难集中在托养照护、就业创业、养老医疗、无障碍等多方面。随着小康社会全面建成，残疾群众对美好生活的向往将更加多元。</w:t>
      </w:r>
    </w:p>
    <w:p w:rsidR="00106156" w:rsidRDefault="00106156" w:rsidP="00106156">
      <w:pPr>
        <w:ind w:firstLineChars="200" w:firstLine="632"/>
      </w:pPr>
      <w:r>
        <w:rPr>
          <w:rFonts w:hint="eastAsia"/>
        </w:rPr>
        <w:t>“十四五”时期是我国在全面建成小康社会基础上开启全面建设社会主义现代化国家新征程的第一个五年。党的十九届六中全会要求“坚持在发展中保障和改善民生”“全面深化改革开放，</w:t>
      </w:r>
      <w:r>
        <w:rPr>
          <w:rFonts w:hint="eastAsia"/>
        </w:rPr>
        <w:lastRenderedPageBreak/>
        <w:t>促进共同富裕”，为残疾人事业发展提供了指南。残疾人事业是中国特色社会主义事业的重要组成部分，扶残助残是社会文明进步的重要标志。习近平总书记强调，“残疾人事业一定要继续推动”，要“促进残疾人全面发展和共同富裕”。各级党委政府更加重视残疾人工作，加大对民生保障的投入。同时，随着“长三角”一体化深入发展，苏州城市文明程度不断提升，助困扶弱的社会氛围日益浓厚，助残社会组织逐步壮大，残疾人事业将迎来高质量发展的新机遇。</w:t>
      </w:r>
    </w:p>
    <w:p w:rsidR="00106156" w:rsidRPr="00106156" w:rsidRDefault="00106156" w:rsidP="00106156">
      <w:pPr>
        <w:ind w:firstLineChars="200" w:firstLine="632"/>
        <w:rPr>
          <w:rFonts w:ascii="黑体" w:eastAsia="黑体" w:hAnsi="黑体"/>
        </w:rPr>
      </w:pPr>
      <w:r w:rsidRPr="00106156">
        <w:rPr>
          <w:rFonts w:ascii="黑体" w:eastAsia="黑体" w:hAnsi="黑体" w:hint="eastAsia"/>
        </w:rPr>
        <w:t>二、总体要求</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（一）指导思想</w:t>
      </w:r>
      <w:r>
        <w:rPr>
          <w:rFonts w:ascii="楷体_GB2312" w:eastAsia="楷体_GB2312" w:hint="eastAsia"/>
        </w:rPr>
        <w:t>。</w:t>
      </w:r>
    </w:p>
    <w:p w:rsidR="00106156" w:rsidRDefault="00106156" w:rsidP="00106156">
      <w:pPr>
        <w:ind w:firstLineChars="200" w:firstLine="632"/>
      </w:pPr>
      <w:r>
        <w:rPr>
          <w:rFonts w:hint="eastAsia"/>
        </w:rPr>
        <w:t>深入贯彻党的十九大和十九届历次全会精神，坚持以习近平新时代中国特色社会主义思想为指导，坚决扛起“争当表率、争做示范、走在前列”光荣使命，深入落实苏州市第十三次党代会精神，把握新发展阶段特征，深入贯彻新发展理念，围绕新发展格局，以推动残疾人事业高质量发展为主题，以满足残疾群众日益增长的美好生活需要为根本目的，以</w:t>
      </w:r>
      <w:proofErr w:type="gramStart"/>
      <w:r>
        <w:rPr>
          <w:rFonts w:hint="eastAsia"/>
        </w:rPr>
        <w:t>更好保障</w:t>
      </w:r>
      <w:proofErr w:type="gramEnd"/>
      <w:r>
        <w:rPr>
          <w:rFonts w:hint="eastAsia"/>
        </w:rPr>
        <w:t>残疾人民生和促进残疾人事业全面发展为主线，持续改善残疾人生活品质，确保残疾人与全市人民共同开启社会主义现代化建设新征程。</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（二）基本原则</w:t>
      </w:r>
      <w:r>
        <w:rPr>
          <w:rFonts w:ascii="楷体_GB2312" w:eastAsia="楷体_GB2312" w:hint="eastAsia"/>
        </w:rPr>
        <w:t>。</w:t>
      </w:r>
    </w:p>
    <w:p w:rsidR="00106156" w:rsidRDefault="00106156" w:rsidP="00106156">
      <w:pPr>
        <w:ind w:firstLineChars="200" w:firstLine="632"/>
      </w:pPr>
      <w:r>
        <w:rPr>
          <w:rFonts w:hint="eastAsia"/>
        </w:rPr>
        <w:t>1．政府主导、全面发展。强化政府职能部门制定政策、兜底保障、监管监督等责任，通过普惠性和特惠性制度安排，确保残疾人公平享有基本民生保障和基本公共服务。</w:t>
      </w:r>
    </w:p>
    <w:p w:rsidR="00106156" w:rsidRDefault="00106156" w:rsidP="00106156">
      <w:pPr>
        <w:ind w:firstLineChars="200" w:firstLine="632"/>
      </w:pPr>
      <w:r>
        <w:rPr>
          <w:rFonts w:hint="eastAsia"/>
        </w:rPr>
        <w:lastRenderedPageBreak/>
        <w:t>2．社会参与、激发活力。充分发挥社会力量、市场机制作用，鼓励引导各类企事业单位、残疾人服务机构、公益组织、志愿队伍等参与残疾人事业，满足残疾人多层次、多样化的需求。</w:t>
      </w:r>
    </w:p>
    <w:p w:rsidR="00106156" w:rsidRDefault="00106156" w:rsidP="00106156">
      <w:pPr>
        <w:ind w:firstLineChars="200" w:firstLine="632"/>
      </w:pPr>
      <w:r>
        <w:rPr>
          <w:rFonts w:hint="eastAsia"/>
        </w:rPr>
        <w:t>3．目标导向、重点推进。以残疾人对美好生活的向往为奋斗目标，着力解决残疾人最紧迫、最直接、最现实的利益问题，补齐残疾人民生短板，切实维护残疾人发展权益。</w:t>
      </w:r>
    </w:p>
    <w:p w:rsidR="00106156" w:rsidRDefault="00106156" w:rsidP="00106156">
      <w:pPr>
        <w:ind w:firstLineChars="200" w:firstLine="632"/>
      </w:pPr>
      <w:r>
        <w:rPr>
          <w:rFonts w:hint="eastAsia"/>
        </w:rPr>
        <w:t>4．需求为本、精准服务。适应新时代互联网技术发展新趋势，以残疾人需求为基础建立残疾人服务“大数据”平台，发展智能产品和服务，实施精准服务，实现服务需求与服务供给的有效对接。</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（三）主要目标</w:t>
      </w:r>
      <w:r>
        <w:rPr>
          <w:rFonts w:ascii="楷体_GB2312" w:eastAsia="楷体_GB2312" w:hint="eastAsia"/>
        </w:rPr>
        <w:t>。</w:t>
      </w:r>
    </w:p>
    <w:p w:rsidR="00106156" w:rsidRDefault="00106156" w:rsidP="00106156">
      <w:pPr>
        <w:ind w:firstLineChars="200" w:firstLine="632"/>
      </w:pPr>
      <w:r>
        <w:rPr>
          <w:rFonts w:hint="eastAsia"/>
        </w:rPr>
        <w:t>到2025年，我市残疾人生活品质得到新改善，民生福祉达到新水平。社会保障体系更加全面，残疾人基本民生得到稳定保障，重度残疾人得到更好照护；残疾人就业支持体系更加完备，残疾人实现充分高质量就业；均等化的残疾人基本公共服务体系更加完善，残疾人思想道德素养、科学文化素质和身心健康水平明显提高；无障碍环境更加优化，残疾人在政治、经济、文化、社会、家庭生活等各方面平等权利得到更好实现；残疾人工作核心指标继续位居全省全国前列，残疾人事业发展处于全国领先水平，为苏州建设展现“强富美高”新图景的社会主义现代化强</w:t>
      </w:r>
      <w:proofErr w:type="gramStart"/>
      <w:r>
        <w:rPr>
          <w:rFonts w:hint="eastAsia"/>
        </w:rPr>
        <w:t>市贡献</w:t>
      </w:r>
      <w:proofErr w:type="gramEnd"/>
      <w:r>
        <w:rPr>
          <w:rFonts w:hint="eastAsia"/>
        </w:rPr>
        <w:t>力量。具体指标如下：</w:t>
      </w:r>
    </w:p>
    <w:p w:rsidR="00106156" w:rsidRDefault="00106156" w:rsidP="00106156"/>
    <w:p w:rsidR="00106156" w:rsidRPr="00106156" w:rsidRDefault="00106156" w:rsidP="00106156">
      <w:pPr>
        <w:jc w:val="center"/>
        <w:rPr>
          <w:rFonts w:asciiTheme="minorEastAsia" w:eastAsiaTheme="minorEastAsia" w:hAnsiTheme="minorEastAsia"/>
          <w:sz w:val="28"/>
          <w:szCs w:val="28"/>
        </w:rPr>
      </w:pPr>
      <w:r w:rsidRPr="00106156">
        <w:rPr>
          <w:rFonts w:asciiTheme="minorEastAsia" w:eastAsiaTheme="minorEastAsia" w:hAnsiTheme="minorEastAsia" w:hint="eastAsia"/>
          <w:sz w:val="28"/>
          <w:szCs w:val="28"/>
        </w:rPr>
        <w:lastRenderedPageBreak/>
        <w:t>“十四五”时期残疾人事业发展主要指标</w:t>
      </w:r>
    </w:p>
    <w:tbl>
      <w:tblPr>
        <w:tblStyle w:val="ad"/>
        <w:tblW w:w="8845" w:type="dxa"/>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4A0" w:firstRow="1" w:lastRow="0" w:firstColumn="1" w:lastColumn="0" w:noHBand="0" w:noVBand="1"/>
      </w:tblPr>
      <w:tblGrid>
        <w:gridCol w:w="839"/>
        <w:gridCol w:w="5661"/>
        <w:gridCol w:w="2345"/>
      </w:tblGrid>
      <w:tr w:rsidR="00106156" w:rsidRPr="00106156" w:rsidTr="00106156">
        <w:trPr>
          <w:tblHeader/>
          <w:jc w:val="center"/>
        </w:trPr>
        <w:tc>
          <w:tcPr>
            <w:tcW w:w="0" w:type="auto"/>
          </w:tcPr>
          <w:p w:rsidR="00106156" w:rsidRPr="00106156" w:rsidRDefault="00106156" w:rsidP="00106156">
            <w:pPr>
              <w:spacing w:line="496" w:lineRule="exact"/>
              <w:jc w:val="center"/>
              <w:rPr>
                <w:rFonts w:ascii="黑体" w:eastAsia="黑体" w:hAnsi="黑体"/>
                <w:sz w:val="28"/>
                <w:szCs w:val="28"/>
              </w:rPr>
            </w:pPr>
            <w:r w:rsidRPr="00106156">
              <w:rPr>
                <w:rFonts w:ascii="黑体" w:eastAsia="黑体" w:hAnsi="黑体" w:hint="eastAsia"/>
                <w:sz w:val="28"/>
                <w:szCs w:val="28"/>
              </w:rPr>
              <w:t>序号</w:t>
            </w:r>
          </w:p>
        </w:tc>
        <w:tc>
          <w:tcPr>
            <w:tcW w:w="0" w:type="auto"/>
          </w:tcPr>
          <w:p w:rsidR="00106156" w:rsidRPr="00106156" w:rsidRDefault="00106156" w:rsidP="00106156">
            <w:pPr>
              <w:spacing w:line="496" w:lineRule="exact"/>
              <w:jc w:val="center"/>
              <w:rPr>
                <w:rFonts w:ascii="黑体" w:eastAsia="黑体" w:hAnsi="黑体"/>
                <w:sz w:val="28"/>
                <w:szCs w:val="28"/>
              </w:rPr>
            </w:pPr>
            <w:r w:rsidRPr="00106156">
              <w:rPr>
                <w:rFonts w:ascii="黑体" w:eastAsia="黑体" w:hAnsi="黑体" w:hint="eastAsia"/>
                <w:sz w:val="28"/>
                <w:szCs w:val="28"/>
              </w:rPr>
              <w:t>指标</w:t>
            </w:r>
          </w:p>
        </w:tc>
        <w:tc>
          <w:tcPr>
            <w:tcW w:w="0" w:type="auto"/>
          </w:tcPr>
          <w:p w:rsidR="00106156" w:rsidRPr="00106156" w:rsidRDefault="00106156" w:rsidP="00106156">
            <w:pPr>
              <w:spacing w:line="496" w:lineRule="exact"/>
              <w:jc w:val="center"/>
              <w:rPr>
                <w:rFonts w:ascii="黑体" w:eastAsia="黑体" w:hAnsi="黑体"/>
                <w:sz w:val="28"/>
                <w:szCs w:val="28"/>
              </w:rPr>
            </w:pPr>
            <w:r w:rsidRPr="00106156">
              <w:rPr>
                <w:rFonts w:ascii="黑体" w:eastAsia="黑体" w:hAnsi="黑体" w:hint="eastAsia"/>
                <w:sz w:val="28"/>
                <w:szCs w:val="28"/>
              </w:rPr>
              <w:t>2025年</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1</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残疾人家庭人均可支配收入年均增速</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与GDP增长同步</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2</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实名制新增残疾人就业人数（五年累计）</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&gt;3000人</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3</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残疾人职业技能培训人数（五年累计）</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&gt;6000人</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4</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低收入家庭重度残疾人照护服务人数</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&gt;5000人</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5</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残疾人基本养老保险参保率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≥99%</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6</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残疾人基本医疗保险参保率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≥99%</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7</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残疾儿童少年义务教育巩固率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100%</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8</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残疾人基本康复服务覆盖率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≥99%</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9</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残疾人辅助器具适配率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≥99%</w:t>
            </w:r>
          </w:p>
        </w:tc>
      </w:tr>
      <w:tr w:rsidR="00106156" w:rsidRPr="00106156" w:rsidTr="00106156">
        <w:trPr>
          <w:jc w:val="center"/>
        </w:trPr>
        <w:tc>
          <w:tcPr>
            <w:tcW w:w="0" w:type="auto"/>
          </w:tcPr>
          <w:p w:rsidR="00106156" w:rsidRPr="00106156" w:rsidRDefault="00106156" w:rsidP="00106156">
            <w:pPr>
              <w:spacing w:line="496" w:lineRule="exact"/>
              <w:jc w:val="center"/>
              <w:rPr>
                <w:sz w:val="28"/>
                <w:szCs w:val="28"/>
              </w:rPr>
            </w:pPr>
            <w:r w:rsidRPr="00106156">
              <w:rPr>
                <w:rFonts w:hint="eastAsia"/>
                <w:sz w:val="28"/>
                <w:szCs w:val="28"/>
              </w:rPr>
              <w:t>10</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低收入重度残疾人家庭无障碍改造覆盖率</w:t>
            </w:r>
          </w:p>
        </w:tc>
        <w:tc>
          <w:tcPr>
            <w:tcW w:w="0" w:type="auto"/>
          </w:tcPr>
          <w:p w:rsidR="00106156" w:rsidRPr="00106156" w:rsidRDefault="00106156" w:rsidP="00106156">
            <w:pPr>
              <w:spacing w:line="496" w:lineRule="exact"/>
              <w:jc w:val="center"/>
              <w:rPr>
                <w:sz w:val="28"/>
                <w:szCs w:val="28"/>
              </w:rPr>
            </w:pPr>
            <w:r w:rsidRPr="00106156">
              <w:rPr>
                <w:rFonts w:hint="eastAsia"/>
                <w:sz w:val="28"/>
                <w:szCs w:val="28"/>
              </w:rPr>
              <w:t>≥90%</w:t>
            </w:r>
          </w:p>
        </w:tc>
      </w:tr>
    </w:tbl>
    <w:p w:rsidR="00106156" w:rsidRPr="00106156" w:rsidRDefault="00106156" w:rsidP="00106156">
      <w:pPr>
        <w:spacing w:beforeLines="30" w:before="174"/>
        <w:ind w:firstLineChars="200" w:firstLine="632"/>
        <w:rPr>
          <w:rFonts w:ascii="黑体" w:eastAsia="黑体" w:hAnsi="黑体"/>
        </w:rPr>
      </w:pPr>
      <w:r w:rsidRPr="00106156">
        <w:rPr>
          <w:rFonts w:ascii="黑体" w:eastAsia="黑体" w:hAnsi="黑体" w:hint="eastAsia"/>
        </w:rPr>
        <w:t>三、重点任务</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（一）大力开展残疾人人文关怀。</w:t>
      </w:r>
    </w:p>
    <w:p w:rsidR="00106156" w:rsidRDefault="00106156" w:rsidP="00106156">
      <w:pPr>
        <w:ind w:firstLineChars="200" w:firstLine="632"/>
      </w:pPr>
      <w:r>
        <w:rPr>
          <w:rFonts w:hint="eastAsia"/>
        </w:rPr>
        <w:t>1．加快推进残疾人友好环境建设。将关爱残疾人融入苏州创新之城、开放之城、人文之城、生态之城、宜居之城、善治之城和“美丽苏州”建设中去，纳入苏州创建全国文明典范城市重要内容。各级党委政府高度重视、大力支持、加大投入，政府部门和社会各界积极响应、主动参与、自觉</w:t>
      </w:r>
      <w:proofErr w:type="gramStart"/>
      <w:r>
        <w:rPr>
          <w:rFonts w:hint="eastAsia"/>
        </w:rPr>
        <w:t>践行</w:t>
      </w:r>
      <w:proofErr w:type="gramEnd"/>
      <w:r>
        <w:rPr>
          <w:rFonts w:hint="eastAsia"/>
        </w:rPr>
        <w:t>，形成全社会尊重残疾人、关心残疾人、帮扶残疾人的社会氛围。全市上下共同努力，把习近平总书记指出的“残疾人是一个特殊困难的群体，需要格外关心、格外关注”的要求真正落到实处，使之成为全市上下的自觉行动，让残疾人安居乐业、衣食无忧，过上幸福美好生</w:t>
      </w:r>
      <w:r>
        <w:rPr>
          <w:rFonts w:hint="eastAsia"/>
        </w:rPr>
        <w:lastRenderedPageBreak/>
        <w:t>活。</w:t>
      </w:r>
    </w:p>
    <w:p w:rsidR="00106156" w:rsidRDefault="00106156" w:rsidP="00106156">
      <w:pPr>
        <w:ind w:firstLineChars="200" w:firstLine="632"/>
      </w:pPr>
      <w:r>
        <w:rPr>
          <w:rFonts w:hint="eastAsia"/>
        </w:rPr>
        <w:t>2．加快推进无障碍环境建设。将无障碍环境城市纳入城市总体规划，推动涵盖城市生活、公共服务、文化教育、信息交流等领域的无障碍建设，不断改善残疾人及相关人群居家生活、上学就业、就医娱乐、交通出行、公共服务、信息交流等无障碍环境；制定无障碍设施建设2021～2035专项规划，严格按照无障碍设施工程相关标准和规范要求，对新建、改建和扩建建筑、道路、公共交通设施等，实施便利性工程规划设计和施工，注重听取残联等部门及残疾人等特殊群体的意见，并符合其实际需要；优先推进与残疾人日常生活、工作密切相关的公共服务设施的无障碍改造，持续推进低收入重度残疾人家庭无障碍改造，制定出台残疾人工作环境无障碍改造、生产设备、辅助器具购置等相关资金扶持政策，推进残疾人工作场所无障碍建设；无障碍设施的产权单位和管理单位加强对无障碍设施的维护和管理，确保无障碍设施正常使用；公共停车场按照国家设计规范设置无障碍停车位，并确保正常使用；建设无障碍主题公园，打造无障碍环境建设试点片区，形成标准，示范推广；无障碍设施均应设置明显的标识标牌。将信息无障碍建设纳入信息化建设总体规划，实现政务和公共服务网站的信息无障碍覆盖率100%；将信息无障碍纳入文明城市测评指标。推动互联网、大数据、人工智能与无障碍环境建设深度融合，推广应用无障碍地图等无障碍导航系统，建设无障碍设施基础数据库；加快将导</w:t>
      </w:r>
      <w:proofErr w:type="gramStart"/>
      <w:r>
        <w:rPr>
          <w:rFonts w:hint="eastAsia"/>
        </w:rPr>
        <w:t>盲系统</w:t>
      </w:r>
      <w:proofErr w:type="gramEnd"/>
      <w:r>
        <w:rPr>
          <w:rFonts w:hint="eastAsia"/>
        </w:rPr>
        <w:t>列入公交车辆标准配备，加</w:t>
      </w:r>
      <w:r>
        <w:rPr>
          <w:rFonts w:hint="eastAsia"/>
        </w:rPr>
        <w:lastRenderedPageBreak/>
        <w:t>大无障碍公交车辆投放力度。加强国家通用手语培训，加快国家通用手语普及步伐。鼓励通讯行业运营商为视力、听力、言语残疾人等特殊群体信息消费提供适合的产品和优惠服务。在医院、银行、旅游景点、政府政务服务中心等公共服务窗口推广聋人沟通无障碍服务平台。</w:t>
      </w:r>
    </w:p>
    <w:p w:rsidR="00106156" w:rsidRDefault="00106156" w:rsidP="00106156">
      <w:pPr>
        <w:ind w:firstLineChars="200" w:firstLine="632"/>
      </w:pPr>
      <w:r>
        <w:rPr>
          <w:rFonts w:hint="eastAsia"/>
        </w:rPr>
        <w:t>3．加快实施残疾人心理关爱服务。坚持预防为主、突出重点、问题导向、注重实效的原则，建立健全服务网络，深入开展残疾人心理健康服务。在市、县级市（区）残疾人活动中心或综合服务中心设立残疾人心理咨询室、心理关爱工作室，指导镇（街道）、村（社区）、残疾人集中就业企业、残疾人之家等开展心理辅导、情绪管理、心理减压、家庭心理支持等专业心理服务。同时，创建残疾人“心灵关爱站”，配备专业心理咨询师、康复治疗师以及专业社工等人员，对残疾人和监护人进行积极引导，通过系列支持服务让残疾人正视残疾，并对不同类别残疾人进行精准评估挖掘其潜能、树立自信，塑造残疾人自尊自强、乐观向上的精神风貌；为残疾人监护人及一线残疾人服务人员提供舒缓压力、学习知识、交流情感的综合服务平台。建立残疾人心理健康服务线上平台，打造残疾人心理健康立体化服务品牌，为残疾人群体提供精准化、精细化、常态化、即时性的心理健康服务。</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（二）不断促进残疾人高质量就业创业</w:t>
      </w:r>
      <w:r>
        <w:rPr>
          <w:rFonts w:ascii="楷体_GB2312" w:eastAsia="楷体_GB2312" w:hint="eastAsia"/>
        </w:rPr>
        <w:t>。</w:t>
      </w:r>
    </w:p>
    <w:p w:rsidR="00106156" w:rsidRDefault="00106156" w:rsidP="00106156">
      <w:pPr>
        <w:ind w:firstLineChars="200" w:firstLine="632"/>
      </w:pPr>
      <w:r>
        <w:rPr>
          <w:rFonts w:hint="eastAsia"/>
        </w:rPr>
        <w:t>4．深化完善残疾人就业扶持政策。完善残疾人按比例就业制度，在国家机关、社会团体、企事业单位、民办非企业单位等</w:t>
      </w:r>
      <w:r>
        <w:rPr>
          <w:rFonts w:hint="eastAsia"/>
        </w:rPr>
        <w:lastRenderedPageBreak/>
        <w:t>城乡各类经济组织全面实行按比例安排残疾人就业，党政机关、事业单位带头安置。规范残疾人按比例就业年审并实现全国联网认证，落实《苏州市残疾人就业保障金征收使用管理实施办法》，完善按比例安排残疾人就业信用管理机制。构建残疾人用工单位激励机制，对正式招录（聘）残疾人的用人单位按规定给予岗位补贴、社会保险补贴、职业培训补贴、职业技能鉴定补贴等扶持，对</w:t>
      </w:r>
      <w:proofErr w:type="gramStart"/>
      <w:r>
        <w:rPr>
          <w:rFonts w:hint="eastAsia"/>
        </w:rPr>
        <w:t>达比例</w:t>
      </w:r>
      <w:proofErr w:type="gramEnd"/>
      <w:r>
        <w:rPr>
          <w:rFonts w:hint="eastAsia"/>
        </w:rPr>
        <w:t>或超比例安排残疾人就业的用人单位给予补贴或奖励。落实残疾人集中就业单位税费优惠、政府优先采购等扶持政策，稳定残疾人集中就业。指导和推进各地各部门开展公益性岗位开发，积极推进在残疾人服务机构开发公益性岗位。支持非营利性残疾人集中就业机构持续发展。加大对“残疾人之家”等辅助性就业机构的支持保障力度。在经营场地、设施设备、社会保险补贴、金融信贷等方面扶持残疾人自主创业、灵活就业。</w:t>
      </w:r>
    </w:p>
    <w:p w:rsidR="00106156" w:rsidRDefault="00106156" w:rsidP="00106156">
      <w:pPr>
        <w:ind w:firstLineChars="200" w:firstLine="632"/>
      </w:pPr>
      <w:r>
        <w:rPr>
          <w:rFonts w:hint="eastAsia"/>
        </w:rPr>
        <w:t>5．加大残疾人就业创业服务力度。进一步健全残疾人就业创业服务体系，为残疾人提供职业能力测评、职业诊断咨询、职业规划、职业介绍等一站式、全方位、闭环</w:t>
      </w:r>
      <w:proofErr w:type="gramStart"/>
      <w:r>
        <w:rPr>
          <w:rFonts w:hint="eastAsia"/>
        </w:rPr>
        <w:t>式就业</w:t>
      </w:r>
      <w:proofErr w:type="gramEnd"/>
      <w:r>
        <w:rPr>
          <w:rFonts w:hint="eastAsia"/>
        </w:rPr>
        <w:t>创业服务。鼓励残疾人通过新就业形态实现就业，探索创新残疾人就业创业模式。组织开展残疾人创业创新大赛，推进残疾人创业孵化基地建设，不断完善创业平台，形成特色示范基地，培育孵化残疾人创业优质项目。推动就业服务向两端延伸，将就业服务向学校延伸，为特教学校、高校残疾学生提供更多个性化、能就业的职业技能培训，探索为用人单位开展“订单式”培养模式，实现教育到就</w:t>
      </w:r>
      <w:r>
        <w:rPr>
          <w:rFonts w:hint="eastAsia"/>
        </w:rPr>
        <w:lastRenderedPageBreak/>
        <w:t>业的“无缝衔接”；将就业服务向企业延伸，为企业残疾人员工开展岗位实训、在岗技能提升等，提高残疾人就业率、</w:t>
      </w:r>
      <w:proofErr w:type="gramStart"/>
      <w:r>
        <w:rPr>
          <w:rFonts w:hint="eastAsia"/>
        </w:rPr>
        <w:t>稳岗率</w:t>
      </w:r>
      <w:proofErr w:type="gramEnd"/>
      <w:r>
        <w:rPr>
          <w:rFonts w:hint="eastAsia"/>
        </w:rPr>
        <w:t>。持续加强就业指导，提升就业服务水平，将就业服务平台延伸到基层，以就业登记和评残发证为抓手，为残疾人提供全流程就业跟踪服务。强化就业服务机构管理，通过购买服务的方式，引导社会职业介绍机构和培训机构开展面向残疾人的服务工作，全面提高管理服务水平。</w:t>
      </w:r>
    </w:p>
    <w:p w:rsidR="00106156" w:rsidRDefault="00106156" w:rsidP="00106156">
      <w:pPr>
        <w:ind w:firstLineChars="200" w:firstLine="632"/>
      </w:pPr>
      <w:r>
        <w:rPr>
          <w:rFonts w:hint="eastAsia"/>
        </w:rPr>
        <w:t>6．提升残疾人职业素质和就业创业能力。深度走访企业掌握用工及培训需求，</w:t>
      </w:r>
      <w:proofErr w:type="gramStart"/>
      <w:r>
        <w:rPr>
          <w:rFonts w:hint="eastAsia"/>
        </w:rPr>
        <w:t>深入排摸未</w:t>
      </w:r>
      <w:proofErr w:type="gramEnd"/>
      <w:r>
        <w:rPr>
          <w:rFonts w:hint="eastAsia"/>
        </w:rPr>
        <w:t>就业残疾人及残疾高校毕业生情况，全面制定培训和就业促进计划，帮助有就业愿望和培训需求的残疾人普遍得到相应的职业素质培训、就业技能培训、岗位技能培训和创业培训。适应新经济形态发展需求，</w:t>
      </w:r>
      <w:proofErr w:type="gramStart"/>
      <w:r>
        <w:rPr>
          <w:rFonts w:hint="eastAsia"/>
        </w:rPr>
        <w:t>开发线</w:t>
      </w:r>
      <w:proofErr w:type="gramEnd"/>
      <w:r>
        <w:rPr>
          <w:rFonts w:hint="eastAsia"/>
        </w:rPr>
        <w:t>上线下相结合的残疾人职业技能培训优质课程资源，充分利用“互联网+”平台创新就业形式，支持残疾人参与非物质文化遗产传承、振兴传统工艺美术、家庭手工业、农村实用技术等项目。加大盲人按摩培训力度，鼓励盲人按摩规范化、规模化、品牌化，促其向医疗推拿按摩方向转型发展。举办残疾人创业创新大赛、职业技能大赛、岗位精英赛、就创业成果展等，提升残疾人职业技能素质，增强就业竞争力，建立健全残疾人优秀技能人才奖励机制。</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（三）持续提升残疾人基本民生保障水平</w:t>
      </w:r>
      <w:r>
        <w:rPr>
          <w:rFonts w:ascii="楷体_GB2312" w:eastAsia="楷体_GB2312" w:hint="eastAsia"/>
        </w:rPr>
        <w:t>。</w:t>
      </w:r>
    </w:p>
    <w:p w:rsidR="00106156" w:rsidRDefault="00106156" w:rsidP="00106156">
      <w:pPr>
        <w:ind w:firstLineChars="200" w:firstLine="632"/>
      </w:pPr>
      <w:r>
        <w:rPr>
          <w:rFonts w:hint="eastAsia"/>
        </w:rPr>
        <w:t>7．进一步完善残疾人救助体系。将符合条件的困难残疾人家庭人员</w:t>
      </w:r>
      <w:proofErr w:type="gramStart"/>
      <w:r>
        <w:rPr>
          <w:rFonts w:hint="eastAsia"/>
        </w:rPr>
        <w:t>纳入低保</w:t>
      </w:r>
      <w:proofErr w:type="gramEnd"/>
      <w:r>
        <w:rPr>
          <w:rFonts w:hint="eastAsia"/>
        </w:rPr>
        <w:t>对象、特困人员、</w:t>
      </w:r>
      <w:proofErr w:type="gramStart"/>
      <w:r>
        <w:rPr>
          <w:rFonts w:hint="eastAsia"/>
        </w:rPr>
        <w:t>低保边缘</w:t>
      </w:r>
      <w:proofErr w:type="gramEnd"/>
      <w:r>
        <w:rPr>
          <w:rFonts w:hint="eastAsia"/>
        </w:rPr>
        <w:t>家庭、支出</w:t>
      </w:r>
      <w:proofErr w:type="gramStart"/>
      <w:r>
        <w:rPr>
          <w:rFonts w:hint="eastAsia"/>
        </w:rPr>
        <w:t>型困难</w:t>
      </w:r>
      <w:proofErr w:type="gramEnd"/>
      <w:r>
        <w:rPr>
          <w:rFonts w:hint="eastAsia"/>
        </w:rPr>
        <w:lastRenderedPageBreak/>
        <w:t>家庭和其他困难家庭保障范围，注重精准帮扶，实现应保尽保。全面</w:t>
      </w:r>
      <w:proofErr w:type="gramStart"/>
      <w:r>
        <w:rPr>
          <w:rFonts w:hint="eastAsia"/>
        </w:rPr>
        <w:t>落实低保边缘</w:t>
      </w:r>
      <w:proofErr w:type="gramEnd"/>
      <w:r>
        <w:rPr>
          <w:rFonts w:hint="eastAsia"/>
        </w:rPr>
        <w:t>家庭中符合条件的重度残疾人按照“单人保”纳入最低生活保障。对符合特困供养规定的残疾人，纳入特困供养范围，确保应救尽救、应养尽养。巩固拓展残疾人脱贫攻坚成果。</w:t>
      </w:r>
      <w:proofErr w:type="gramStart"/>
      <w:r>
        <w:rPr>
          <w:rFonts w:hint="eastAsia"/>
        </w:rPr>
        <w:t>健全因</w:t>
      </w:r>
      <w:proofErr w:type="gramEnd"/>
      <w:r>
        <w:rPr>
          <w:rFonts w:hint="eastAsia"/>
        </w:rPr>
        <w:t>病、因贫等易返贫致贫人口动态检测预警和帮扶机制，对易返贫致贫残疾人及时给予有效帮扶。加强部门之间的沟通交流，动态掌握残疾人社会保障相关数据，落实好困难残疾人各项社会保障和服务措施，筑牢残疾人社会保障底线。</w:t>
      </w:r>
    </w:p>
    <w:p w:rsidR="00106156" w:rsidRDefault="00106156" w:rsidP="00106156">
      <w:pPr>
        <w:ind w:firstLineChars="200" w:firstLine="632"/>
      </w:pPr>
      <w:r>
        <w:rPr>
          <w:rFonts w:hint="eastAsia"/>
        </w:rPr>
        <w:t>8．进一步完善残疾人保障体系。不断完善残疾人保障政策制度，建立健全</w:t>
      </w:r>
      <w:proofErr w:type="gramStart"/>
      <w:r>
        <w:rPr>
          <w:rFonts w:hint="eastAsia"/>
        </w:rPr>
        <w:t>全</w:t>
      </w:r>
      <w:proofErr w:type="gramEnd"/>
      <w:r>
        <w:rPr>
          <w:rFonts w:hint="eastAsia"/>
        </w:rPr>
        <w:t>覆盖、可持续的社会保障体系。发挥好“1+1+N”政策保障体系的作用，建立健全残疾人“两项补贴”动态调整机制，从制度层面实现对残疾人基本生活、基本社保、康复、教育、托养、住房等领域的全方位基本保障。结合残疾人需求和社会经济发展水平，逐步对各项保障政策提</w:t>
      </w:r>
      <w:proofErr w:type="gramStart"/>
      <w:r>
        <w:rPr>
          <w:rFonts w:hint="eastAsia"/>
        </w:rPr>
        <w:t>标扩面</w:t>
      </w:r>
      <w:proofErr w:type="gramEnd"/>
      <w:r>
        <w:rPr>
          <w:rFonts w:hint="eastAsia"/>
        </w:rPr>
        <w:t>。积极发挥社会商业保险的作用，最大限度减轻残疾人因意外伤害、大病医疗导致的经济负担。</w:t>
      </w:r>
    </w:p>
    <w:p w:rsidR="00106156" w:rsidRDefault="00106156" w:rsidP="00106156">
      <w:pPr>
        <w:ind w:firstLineChars="200" w:firstLine="632"/>
      </w:pPr>
      <w:r>
        <w:rPr>
          <w:rFonts w:hint="eastAsia"/>
        </w:rPr>
        <w:t>9．进一步完善残疾人托养体系。加快县级市（区）集中托养设施建设，提高集中托养服务能力，实现</w:t>
      </w:r>
      <w:proofErr w:type="gramStart"/>
      <w:r>
        <w:rPr>
          <w:rFonts w:hint="eastAsia"/>
        </w:rPr>
        <w:t>应托尽托</w:t>
      </w:r>
      <w:proofErr w:type="gramEnd"/>
      <w:r>
        <w:rPr>
          <w:rFonts w:hint="eastAsia"/>
        </w:rPr>
        <w:t>。根据经济社会发展水平，逐步提高残疾人托养补贴标准，不断提升托养服务质量。加强部门协作，不断完善残疾人托养护理政策，全面施行长期护理保险。积极引导社会力量参与残疾人托养服务工作。研究创新依托残疾人之家对重度残疾人实施“走托制”服务。探</w:t>
      </w:r>
      <w:r>
        <w:rPr>
          <w:rFonts w:hint="eastAsia"/>
        </w:rPr>
        <w:lastRenderedPageBreak/>
        <w:t>索试点“向家庭成员购买服务”“轻残照顾重残”等托养服务模式，解决当前居家护理服务员不足、服务供给与残疾人需求不匹配等问题，构建具有苏州特色的残疾人托养护</w:t>
      </w:r>
      <w:proofErr w:type="gramStart"/>
      <w:r>
        <w:rPr>
          <w:rFonts w:hint="eastAsia"/>
        </w:rPr>
        <w:t>理服务</w:t>
      </w:r>
      <w:proofErr w:type="gramEnd"/>
      <w:r>
        <w:rPr>
          <w:rFonts w:hint="eastAsia"/>
        </w:rPr>
        <w:t>体系，满足残疾人多层次、多元化、个性化的托养护</w:t>
      </w:r>
      <w:proofErr w:type="gramStart"/>
      <w:r>
        <w:rPr>
          <w:rFonts w:hint="eastAsia"/>
        </w:rPr>
        <w:t>理服务</w:t>
      </w:r>
      <w:proofErr w:type="gramEnd"/>
      <w:r>
        <w:rPr>
          <w:rFonts w:hint="eastAsia"/>
        </w:rPr>
        <w:t>需求。</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（四）加快完善扶残助残服务体系</w:t>
      </w:r>
      <w:r>
        <w:rPr>
          <w:rFonts w:ascii="楷体_GB2312" w:eastAsia="楷体_GB2312" w:hint="eastAsia"/>
        </w:rPr>
        <w:t>。</w:t>
      </w:r>
    </w:p>
    <w:p w:rsidR="00106156" w:rsidRDefault="00106156" w:rsidP="00106156">
      <w:pPr>
        <w:ind w:firstLineChars="200" w:firstLine="632"/>
      </w:pPr>
      <w:r>
        <w:rPr>
          <w:rFonts w:hint="eastAsia"/>
        </w:rPr>
        <w:t>10．不断健全残疾预防服务体系。完善覆盖全人群和全生命周期的残疾预防服务体系，形成政府主导、部门协同、社会参与、家庭支持的残疾预防工作机制，构建信息准确、方法科学、分工明确、管理完善、监控有效、快捷方便、及时干预的残疾筛查预报网络。以社区和家庭为基础，坚持普遍预防和重点防控相结合，强化残疾预防，切实减少减轻残疾的发生和发展。针对优生优育、安全生产管理、交通安全管理、疾病筛查等重点防控内容，加强残疾预防宣传教育工作，普及残疾预防知识，提高全社会对残疾预防的认知度。推进残疾人家庭医生签约服务，支持保障签约医生为残疾人提供基本医疗、公共卫生和健康管理等个性化服务。全面落实国务院《残疾预防和残疾人康复条例》和《江苏省残疾预防和残疾人康复实施办法》，研究出台并实施好《苏州市残疾预防和残疾人康复实施办法》。</w:t>
      </w:r>
    </w:p>
    <w:p w:rsidR="00106156" w:rsidRDefault="00106156" w:rsidP="00106156">
      <w:pPr>
        <w:ind w:firstLineChars="200" w:firstLine="632"/>
      </w:pPr>
      <w:r>
        <w:rPr>
          <w:rFonts w:hint="eastAsia"/>
        </w:rPr>
        <w:t>11．提高儿童康复服务水平。不断健全残疾儿童康复救助制度，落实补助标准动态调整机制，扩大康复项目纳入基本</w:t>
      </w:r>
      <w:proofErr w:type="gramStart"/>
      <w:r>
        <w:rPr>
          <w:rFonts w:hint="eastAsia"/>
        </w:rPr>
        <w:t>医</w:t>
      </w:r>
      <w:proofErr w:type="gramEnd"/>
      <w:r>
        <w:rPr>
          <w:rFonts w:hint="eastAsia"/>
        </w:rPr>
        <w:t>保范围，探索出台残疾儿童线上康复服务相关政策，丰富康复形式，实现有康复需求和康复意愿的残疾儿童基本康复服务率99%以上。</w:t>
      </w:r>
      <w:r>
        <w:rPr>
          <w:rFonts w:hint="eastAsia"/>
        </w:rPr>
        <w:lastRenderedPageBreak/>
        <w:t>建立残疾儿童康复质量评价机制，提升残疾儿童康复质量水平。进一步加大对残疾儿童康复机构扶持力度，加强残疾儿童康复机构业务培训和人才建设，开展需求评估和康复效果评估。支持儿童福利机构增加和完善康复功能，配备相应的康复设备和专业技术人员，与医疗机构加强合作，提高康复医疗服务能力。支持符合条件的残疾儿童进入普通幼儿园、中小学接受义务教育，定期进行康复干预。</w:t>
      </w:r>
    </w:p>
    <w:p w:rsidR="00106156" w:rsidRDefault="00106156" w:rsidP="00106156">
      <w:pPr>
        <w:ind w:firstLineChars="200" w:firstLine="632"/>
      </w:pPr>
      <w:r>
        <w:rPr>
          <w:rFonts w:hint="eastAsia"/>
        </w:rPr>
        <w:t>12．完善成人康复服务体系。发展成人康复服务，探索并推广医疗干预和社区康复相结合的康复服务模式，逐步覆盖到全年龄段。将残疾人康复医疗全面纳入医疗卫生服务体系，探索研究成人康复补助政策。将残疾人社区康复纳入社区公共服务体系，推广残疾人自助、互助康复，将专业康复机构指导社区、家庭开展残疾人康复训练纳入政府购买服务范围，促进康复服务市场化发展。制定苏州市社区康复服务标准，规范社区康复服务。创新社区康复机制，探索送“康”上门和远程康复指导等形式，打造有特色的示范点。发挥中医药在康复中的独特优势，推动康复服务高质量发展。</w:t>
      </w:r>
    </w:p>
    <w:p w:rsidR="00106156" w:rsidRDefault="00106156" w:rsidP="00106156">
      <w:pPr>
        <w:ind w:firstLineChars="200" w:firstLine="632"/>
      </w:pPr>
      <w:r>
        <w:rPr>
          <w:rFonts w:hint="eastAsia"/>
        </w:rPr>
        <w:t>13．不断优化辅具</w:t>
      </w:r>
      <w:proofErr w:type="gramStart"/>
      <w:r>
        <w:rPr>
          <w:rFonts w:hint="eastAsia"/>
        </w:rPr>
        <w:t>适配服务</w:t>
      </w:r>
      <w:proofErr w:type="gramEnd"/>
      <w:r>
        <w:rPr>
          <w:rFonts w:hint="eastAsia"/>
        </w:rPr>
        <w:t>。持续完善申请便捷、适</w:t>
      </w:r>
      <w:proofErr w:type="gramStart"/>
      <w:r>
        <w:rPr>
          <w:rFonts w:hint="eastAsia"/>
        </w:rPr>
        <w:t>配服务</w:t>
      </w:r>
      <w:proofErr w:type="gramEnd"/>
      <w:r>
        <w:rPr>
          <w:rFonts w:hint="eastAsia"/>
        </w:rPr>
        <w:t>成效明显的残疾人辅具服务体系，进一步完善残疾人辅具适配补贴制度，逐步拓展残疾人辅具适配补贴范围，提高补贴标准，优化服务流程，缩短适配周期。改进残疾人辅具</w:t>
      </w:r>
      <w:proofErr w:type="gramStart"/>
      <w:r>
        <w:rPr>
          <w:rFonts w:hint="eastAsia"/>
        </w:rPr>
        <w:t>适</w:t>
      </w:r>
      <w:proofErr w:type="gramEnd"/>
      <w:r>
        <w:rPr>
          <w:rFonts w:hint="eastAsia"/>
        </w:rPr>
        <w:t>配方式，推广智能化评估，建立并推广残疾人辅具网上服务平台，提高服务信息</w:t>
      </w:r>
      <w:r>
        <w:rPr>
          <w:rFonts w:hint="eastAsia"/>
        </w:rPr>
        <w:lastRenderedPageBreak/>
        <w:t>化水平，让残疾人享受到更高效、便捷的辅具</w:t>
      </w:r>
      <w:proofErr w:type="gramStart"/>
      <w:r>
        <w:rPr>
          <w:rFonts w:hint="eastAsia"/>
        </w:rPr>
        <w:t>适配服务</w:t>
      </w:r>
      <w:proofErr w:type="gramEnd"/>
      <w:r>
        <w:rPr>
          <w:rFonts w:hint="eastAsia"/>
        </w:rPr>
        <w:t>。逐步提高有辅具适配需求的残疾人辅具适配率。规范康复辅具租赁流程，拓展租赁范围，为残疾人辅具需求提供有效补充。推进辅具</w:t>
      </w:r>
      <w:proofErr w:type="gramStart"/>
      <w:r>
        <w:rPr>
          <w:rFonts w:hint="eastAsia"/>
        </w:rPr>
        <w:t>适配服务</w:t>
      </w:r>
      <w:proofErr w:type="gramEnd"/>
      <w:r>
        <w:rPr>
          <w:rFonts w:hint="eastAsia"/>
        </w:rPr>
        <w:t>“长三角”合作。</w:t>
      </w:r>
    </w:p>
    <w:p w:rsidR="00106156" w:rsidRDefault="00106156" w:rsidP="00106156">
      <w:pPr>
        <w:ind w:firstLineChars="200" w:firstLine="632"/>
      </w:pPr>
      <w:r>
        <w:rPr>
          <w:rFonts w:hint="eastAsia"/>
        </w:rPr>
        <w:t>14．进一步完善特殊教育体系。全面强化特殊教育工作。继续推动特殊教育向学前教育和职业教育“两头延伸”，在学前教育阶段</w:t>
      </w:r>
      <w:proofErr w:type="gramStart"/>
      <w:r>
        <w:rPr>
          <w:rFonts w:hint="eastAsia"/>
        </w:rPr>
        <w:t>推动康教一体</w:t>
      </w:r>
      <w:proofErr w:type="gramEnd"/>
      <w:r>
        <w:rPr>
          <w:rFonts w:hint="eastAsia"/>
        </w:rPr>
        <w:t>服务，积极利用在苏州的职业技术学校、高等院校等资源，为有学习能力的义务教育阶段残疾毕业生</w:t>
      </w:r>
      <w:proofErr w:type="gramStart"/>
      <w:r>
        <w:rPr>
          <w:rFonts w:hint="eastAsia"/>
        </w:rPr>
        <w:t>开拓高</w:t>
      </w:r>
      <w:proofErr w:type="gramEnd"/>
      <w:r>
        <w:rPr>
          <w:rFonts w:hint="eastAsia"/>
        </w:rPr>
        <w:t>学历教育、职业技术教育的新渠道。制定实施《苏州市第三期特殊教育提升计划（2021～2025年）》，进一步推进融合教育、送教上门工作。全面落实残疾学生从学前到大学全过程免费教育。完善残疾学生资助体系，落实残疾学生、贫困残疾人家庭子女困难补助等政策待遇。鼓励残疾学生、贫困残疾人家庭子女通过多种形式接受高等教育。</w:t>
      </w:r>
    </w:p>
    <w:p w:rsidR="00106156" w:rsidRDefault="00106156" w:rsidP="00106156">
      <w:pPr>
        <w:ind w:firstLineChars="200" w:firstLine="632"/>
      </w:pPr>
      <w:r>
        <w:rPr>
          <w:rFonts w:hint="eastAsia"/>
        </w:rPr>
        <w:t>15．持续丰富残疾人文体生活。提高社会公共文体服务设施为残疾人提供均等化服务的水平，社会公共文体服务场所要建设便利残疾人参与的设置，配置适合残疾人的器材。完善残疾人文体服务设施，搭建各类残疾人文化艺术交流平台，创新残疾人文化艺术培训、展览、展示等服务。建设县级市（区）残疾人文体艺展能中心，并依托展能中心在镇（街道）建设文化驿站，把残疾人文体服务向基层延伸。通过购买服务、社会捐助等方式推动残疾人文体社团建设。持续推进社区型残疾人文体兴趣团队（小</w:t>
      </w:r>
      <w:r>
        <w:rPr>
          <w:rFonts w:hint="eastAsia"/>
        </w:rPr>
        <w:lastRenderedPageBreak/>
        <w:t>组）建设，丰富基层残疾人的精神文化生活。以“五个</w:t>
      </w:r>
      <w:proofErr w:type="gramStart"/>
      <w:r>
        <w:rPr>
          <w:rFonts w:hint="eastAsia"/>
        </w:rPr>
        <w:t>一</w:t>
      </w:r>
      <w:proofErr w:type="gramEnd"/>
      <w:r>
        <w:rPr>
          <w:rFonts w:hint="eastAsia"/>
        </w:rPr>
        <w:t>（读一本书、看一场电影、游一次园、参观一次展览、参加一次文化活动）”文化进家庭、进社区为抓手，提升村（社区）残疾人文体服务普及率。丰富公共图书馆盲人阅览室盲文读物、有声读物、大字读物、数字阅读、视听文献资源，推广“至爱影院”盲人无障碍观影项目，优化电视手语新闻栏目，鼓励电视台、网络媒体加配字幕消除聋人观看障碍，提升对盲人、聋人等特殊群体的文体服务质量。开展残疾人文化周、</w:t>
      </w:r>
      <w:proofErr w:type="gramStart"/>
      <w:r>
        <w:rPr>
          <w:rFonts w:hint="eastAsia"/>
        </w:rPr>
        <w:t>健身周</w:t>
      </w:r>
      <w:proofErr w:type="gramEnd"/>
      <w:r>
        <w:rPr>
          <w:rFonts w:hint="eastAsia"/>
        </w:rPr>
        <w:t>活动，组织残疾人文体比赛，为残疾人展示文体才能提供平台。加快残疾人文体人才培养，探索出台残疾人文体人才奖励办法，加大对残疾人文体人才奖励力度。鼓励残疾人参与非物质文化遗产传承，扶持残疾人文化创业，推动残疾人文化产业发展。</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（五）进一步提升残疾人事业法治化水平</w:t>
      </w:r>
      <w:r>
        <w:rPr>
          <w:rFonts w:ascii="楷体_GB2312" w:eastAsia="楷体_GB2312" w:hint="eastAsia"/>
        </w:rPr>
        <w:t>。</w:t>
      </w:r>
    </w:p>
    <w:p w:rsidR="00106156" w:rsidRDefault="00106156" w:rsidP="00106156">
      <w:pPr>
        <w:ind w:firstLineChars="200" w:firstLine="632"/>
      </w:pPr>
      <w:r>
        <w:rPr>
          <w:rFonts w:hint="eastAsia"/>
        </w:rPr>
        <w:t>16．强化残疾人事业法治建设。深入落实宪法、民法典等法律法规关于保障残疾人权益的规定，不断健全残疾人权益保障法律法规体系，确保《中华人民共和国残疾人保障法》《江苏省残疾人保障条例》《苏州市残疾人保障条例》等法律法规有效实施。完善残疾人和残疾人组织参与立法过程的工作机制，让残疾人切实享有知情权、参与权、表达权。在县级市（区）以上人大代表、政协委员人选提名推荐中，有效发挥残联组织协商推荐作用。定期邀请人大代表、政协委员、政府各部门对涉及残疾人的各项法律、法规及优惠政策落实情况开展检查。推动建立残疾人权益保</w:t>
      </w:r>
      <w:r>
        <w:rPr>
          <w:rFonts w:hint="eastAsia"/>
        </w:rPr>
        <w:lastRenderedPageBreak/>
        <w:t>障协商工作机制，围绕残疾人最关心、最直接、最现实的权益保障问题展开协商。加大全媒体普法宣传力度，认真落实“谁执法，谁普法”普法责任制，提高残疾人对宪法、民法典、残疾人保障法、苏州市残疾人保障条例等相关法律法规的知晓度，增强残疾人工作者和残疾人知法懂法、依法维权的意识和能力。</w:t>
      </w:r>
    </w:p>
    <w:p w:rsidR="00106156" w:rsidRDefault="00106156" w:rsidP="00106156">
      <w:pPr>
        <w:ind w:firstLineChars="200" w:firstLine="632"/>
      </w:pPr>
      <w:r>
        <w:rPr>
          <w:rFonts w:hint="eastAsia"/>
        </w:rPr>
        <w:t>17．创新残疾人法律服务和权益维护机制。将残疾人纳入公共法律服务的重点对象，完善公共法律服务平台无障碍功能。健全常态化的残疾人法律援助服务机制，扩大残疾人法律援助覆盖面，提升残疾人法律援助质量。完善残疾人法律救助工作协调机制，探索建立助残公益律师队伍，开展法律援助志愿助残行动，为残疾人提供及时有效的法律救助服务。发挥“12385”残疾人服务热线和网络信访平台作用，建立健全残疾人权益维护应急处置机制。坚决打击侵害残疾人权益的违法犯罪行为。</w:t>
      </w:r>
    </w:p>
    <w:p w:rsidR="00106156" w:rsidRPr="00106156" w:rsidRDefault="00106156" w:rsidP="00106156">
      <w:pPr>
        <w:ind w:firstLineChars="200" w:firstLine="632"/>
        <w:rPr>
          <w:rFonts w:ascii="楷体_GB2312" w:eastAsia="楷体_GB2312"/>
        </w:rPr>
      </w:pPr>
      <w:r w:rsidRPr="00106156">
        <w:rPr>
          <w:rFonts w:ascii="楷体_GB2312" w:eastAsia="楷体_GB2312" w:hint="eastAsia"/>
        </w:rPr>
        <w:t>（六）凝聚推进残疾人事业现代化进程的强大合力</w:t>
      </w:r>
      <w:r>
        <w:rPr>
          <w:rFonts w:ascii="楷体_GB2312" w:eastAsia="楷体_GB2312" w:hint="eastAsia"/>
        </w:rPr>
        <w:t>。</w:t>
      </w:r>
    </w:p>
    <w:p w:rsidR="00106156" w:rsidRDefault="00106156" w:rsidP="00106156">
      <w:pPr>
        <w:ind w:firstLineChars="200" w:firstLine="632"/>
      </w:pPr>
      <w:r>
        <w:rPr>
          <w:rFonts w:hint="eastAsia"/>
        </w:rPr>
        <w:t>18．加大社会动员力度，深入开展志愿服务。发挥社会力量优势，形成对残疾人群体的多角度、全方位帮扶。凝聚志愿助残力量，广泛开展关爱残疾人志愿服务阳光行动，将志愿助残工作纳入全市志愿服务总体规划。加大社会各方面力量踊跃参与慈善助残事业的动员力度，引导助残社会组织及社会公众精准帮扶困难残疾人。充分发挥各类公益慈善组织的助残作用，鼓励并支持其发展。采取项目化帮扶的措施，及时收集残疾人群体的个性化、多元化服务需求，引导社会公益慈善力量通过出资捐助、直接承</w:t>
      </w:r>
      <w:r>
        <w:rPr>
          <w:rFonts w:hint="eastAsia"/>
        </w:rPr>
        <w:lastRenderedPageBreak/>
        <w:t>接等形式开展公益助残。组织经常性的志愿助残活动，为残疾人提供生活照料、社区导</w:t>
      </w:r>
      <w:proofErr w:type="gramStart"/>
      <w:r>
        <w:rPr>
          <w:rFonts w:hint="eastAsia"/>
        </w:rPr>
        <w:t>医</w:t>
      </w:r>
      <w:proofErr w:type="gramEnd"/>
      <w:r>
        <w:rPr>
          <w:rFonts w:hint="eastAsia"/>
        </w:rPr>
        <w:t>、文化体育、出行帮助等服务。</w:t>
      </w:r>
    </w:p>
    <w:p w:rsidR="00106156" w:rsidRDefault="00106156" w:rsidP="00106156">
      <w:pPr>
        <w:ind w:firstLineChars="200" w:firstLine="632"/>
      </w:pPr>
      <w:r>
        <w:rPr>
          <w:rFonts w:hint="eastAsia"/>
        </w:rPr>
        <w:t>19．加大残疾人事业宣传力度。弘扬人道主义、扶残助残的中华民族传统美德，营造理解、尊重、关心、帮助残疾人的文明社会氛围。充分发挥新媒体作用，运用全媒体传播手段，宣传残疾人自强不息的精神和社会扶残助残的先进事迹，培育具有全国影响的残疾人自强模范和助残先进典型。组织好全国助残日、国际残疾人日等主题宣传活动，营造全社会爱残、助残、扶残的浓厚氛围。以全市残疾人事业好新闻作品评选为抓手，推出一批残疾人事业优秀新闻作品、文艺影视作品、短视频、网络视听节目。</w:t>
      </w:r>
    </w:p>
    <w:p w:rsidR="00106156" w:rsidRDefault="00106156" w:rsidP="00106156">
      <w:pPr>
        <w:ind w:firstLineChars="200" w:firstLine="632"/>
      </w:pPr>
      <w:r>
        <w:rPr>
          <w:rFonts w:hint="eastAsia"/>
        </w:rPr>
        <w:t>20．加强残疾人基层组织建设。充分发挥残联组织桥梁纽带作用，运用社会化、市场化、信息化方式，了解残疾人需求，提升</w:t>
      </w:r>
      <w:proofErr w:type="gramStart"/>
      <w:r>
        <w:rPr>
          <w:rFonts w:hint="eastAsia"/>
        </w:rPr>
        <w:t>履</w:t>
      </w:r>
      <w:proofErr w:type="gramEnd"/>
      <w:r>
        <w:rPr>
          <w:rFonts w:hint="eastAsia"/>
        </w:rPr>
        <w:t>职能力。引导协会注重党建引领，团结教育广大残疾人听党话、跟党走。积极培养残疾人干部，建立健全各类人才培育机制。进一步加强镇（街道）残疾人专职委员队伍建设，充分发挥</w:t>
      </w:r>
      <w:proofErr w:type="gramStart"/>
      <w:r>
        <w:rPr>
          <w:rFonts w:hint="eastAsia"/>
        </w:rPr>
        <w:t>其密切</w:t>
      </w:r>
      <w:proofErr w:type="gramEnd"/>
      <w:r>
        <w:rPr>
          <w:rFonts w:hint="eastAsia"/>
        </w:rPr>
        <w:t>联系残疾人、服务社区残疾人的积极作用。明确残疾人专职委员的岗位设置、选聘和考核办法、教育培训、薪酬待遇，强化残疾人专职委员队伍管理，优化残疾人专职委员队伍结构，提升专职委员的能力和水平。加强村（社区）残疾人工作，将残疾人工作纳入村（社区）建设总体布局。依托村（社区）“残疾人之家”，建立健全“村（社区）残疾人协会”，完善村（社区）残疾人服务。</w:t>
      </w:r>
    </w:p>
    <w:p w:rsidR="00106156" w:rsidRDefault="00106156" w:rsidP="00106156">
      <w:pPr>
        <w:ind w:firstLineChars="200" w:firstLine="632"/>
      </w:pPr>
      <w:r>
        <w:rPr>
          <w:rFonts w:hint="eastAsia"/>
        </w:rPr>
        <w:lastRenderedPageBreak/>
        <w:t>21．加快发展残疾人服务业。鼓励社会企业或机构投资残疾人服务项目。主动对接上海，积极融入长三角一体化，开展多领域交流合作，促进残疾人服务业开放共享、融合发展。制定扶持残疾人服务机构、助残社会组织发展政策，探索设立残疾人服务业发展基金，支持残疾人服务机构和助残社会组织发展。加大残保金、福彩金、体彩等投入力度，通过政府购买服务等方式，支持残疾人事业加快发展。完善政府购买助残服务机制，加大政府购买助残服务力度。制定、发布购买助残服务指导性目录，积极为社会组织和个人开展公益助残活动搭建一站式服务平台。</w:t>
      </w:r>
    </w:p>
    <w:p w:rsidR="00106156" w:rsidRPr="00106156" w:rsidRDefault="00106156" w:rsidP="00106156">
      <w:pPr>
        <w:ind w:firstLineChars="200" w:firstLine="632"/>
        <w:rPr>
          <w:rFonts w:ascii="黑体" w:eastAsia="黑体" w:hAnsi="黑体"/>
        </w:rPr>
      </w:pPr>
      <w:r w:rsidRPr="00106156">
        <w:rPr>
          <w:rFonts w:ascii="黑体" w:eastAsia="黑体" w:hAnsi="黑体" w:hint="eastAsia"/>
        </w:rPr>
        <w:t>四、保障条件</w:t>
      </w:r>
    </w:p>
    <w:p w:rsidR="00106156" w:rsidRDefault="00106156" w:rsidP="00106156">
      <w:pPr>
        <w:ind w:firstLineChars="200" w:firstLine="632"/>
        <w:rPr>
          <w:rFonts w:ascii="楷体_GB2312" w:eastAsia="楷体_GB2312"/>
        </w:rPr>
      </w:pPr>
      <w:r w:rsidRPr="00106156">
        <w:rPr>
          <w:rFonts w:ascii="楷体_GB2312" w:eastAsia="楷体_GB2312" w:hint="eastAsia"/>
        </w:rPr>
        <w:t>（一）加强组织领导。</w:t>
      </w:r>
    </w:p>
    <w:p w:rsidR="00106156" w:rsidRDefault="00106156" w:rsidP="00106156">
      <w:pPr>
        <w:ind w:firstLineChars="200" w:firstLine="632"/>
      </w:pPr>
      <w:r>
        <w:rPr>
          <w:rFonts w:hint="eastAsia"/>
        </w:rPr>
        <w:t>坚持和加强党对残疾人事业的全面领导，牢牢把握残疾人事业发展正确方向。完善党委领导、政府负责、部门协同、社会参与、市场推动、残疾人组织充分发挥作用的领导体制和工作机制。健全完善政府残疾人工作委员会架构和机制，将残疾人事业纳入经济社会发展大局、纳入重要议事议程，加强目标管理、政策引导、责任落实，充分发挥残工委及其办公室在推动政策出台、部门协作等方面的作用，形成齐抓共管、密切配合的工作格局。</w:t>
      </w:r>
    </w:p>
    <w:p w:rsidR="00106156" w:rsidRDefault="00106156" w:rsidP="00106156">
      <w:pPr>
        <w:ind w:firstLineChars="200" w:firstLine="632"/>
        <w:rPr>
          <w:rFonts w:ascii="楷体_GB2312" w:eastAsia="楷体_GB2312"/>
        </w:rPr>
      </w:pPr>
      <w:r w:rsidRPr="00106156">
        <w:rPr>
          <w:rFonts w:ascii="楷体_GB2312" w:eastAsia="楷体_GB2312" w:hint="eastAsia"/>
        </w:rPr>
        <w:t>（二）加强多元投入。</w:t>
      </w:r>
    </w:p>
    <w:p w:rsidR="00106156" w:rsidRDefault="00106156" w:rsidP="00106156">
      <w:pPr>
        <w:ind w:firstLineChars="200" w:firstLine="632"/>
      </w:pPr>
      <w:r>
        <w:rPr>
          <w:rFonts w:hint="eastAsia"/>
        </w:rPr>
        <w:t>将残疾人事业所需经费列入财政预算并随经济发展水平逐步增加，积极支持残疾人事业高质量发展。鼓励更多社会资金投入发展残疾人服务业，为残疾人提供方便可及、价格合理的服务</w:t>
      </w:r>
      <w:r>
        <w:rPr>
          <w:rFonts w:hint="eastAsia"/>
        </w:rPr>
        <w:lastRenderedPageBreak/>
        <w:t>产品。发挥残疾人福利基金会作用，打造助残慈善事业品牌，鼓励社会力量兴办公益性残疾人服务机构。</w:t>
      </w:r>
    </w:p>
    <w:p w:rsidR="00106156" w:rsidRDefault="00106156" w:rsidP="00106156">
      <w:pPr>
        <w:ind w:firstLineChars="200" w:firstLine="632"/>
        <w:rPr>
          <w:rFonts w:ascii="楷体_GB2312" w:eastAsia="楷体_GB2312"/>
        </w:rPr>
      </w:pPr>
      <w:r w:rsidRPr="00106156">
        <w:rPr>
          <w:rFonts w:ascii="楷体_GB2312" w:eastAsia="楷体_GB2312" w:hint="eastAsia"/>
        </w:rPr>
        <w:t>（三）加强阵地建设。</w:t>
      </w:r>
    </w:p>
    <w:p w:rsidR="00106156" w:rsidRDefault="00106156" w:rsidP="00106156">
      <w:pPr>
        <w:ind w:firstLineChars="200" w:firstLine="632"/>
      </w:pPr>
      <w:r>
        <w:rPr>
          <w:rFonts w:hint="eastAsia"/>
        </w:rPr>
        <w:t>新建市残疾人活动中心并投入使用，完善文化、服务设施设备，最大限度发挥新阵地功能，打造一流的载体、提供一流的服务，为残疾群众提供更加优质的文化、体育等精神文化服务，使残疾人活动中心成为残疾人的精神家园。加强对定点康复机构的指导和监督，制定相关政策规范和准入机制；引导康复机构向专业化发展，提高康复机构专业化水平；鼓励社会相关机构开展残疾人康复科学技术研究，推广成果转化和应用。发挥“残疾人之家”“康复驿站”作用，强化基层残疾人服务供给，融合多方资源，推动其常态化、规范化管理运营，全面提升残疾人基本公共服务水平。</w:t>
      </w:r>
    </w:p>
    <w:p w:rsidR="00106156" w:rsidRDefault="00106156" w:rsidP="00106156">
      <w:pPr>
        <w:ind w:firstLineChars="200" w:firstLine="632"/>
        <w:rPr>
          <w:rFonts w:ascii="楷体_GB2312" w:eastAsia="楷体_GB2312"/>
        </w:rPr>
      </w:pPr>
      <w:r w:rsidRPr="00106156">
        <w:rPr>
          <w:rFonts w:ascii="楷体_GB2312" w:eastAsia="楷体_GB2312" w:hint="eastAsia"/>
        </w:rPr>
        <w:t>（四）加强信息化建设。</w:t>
      </w:r>
    </w:p>
    <w:p w:rsidR="00106156" w:rsidRDefault="00106156" w:rsidP="00106156">
      <w:pPr>
        <w:ind w:firstLineChars="200" w:firstLine="632"/>
      </w:pPr>
      <w:r>
        <w:rPr>
          <w:rFonts w:hint="eastAsia"/>
        </w:rPr>
        <w:t>探索并推广“互联网+助残服务”新模式，按照“放管服”要求，简化办事流程并开展线上服务，为残疾人提供方便，提高管理服务效能。开发苏州市残疾人大数据综合服务平台，为残疾人提供更加精准的服务。建设残疾人托养服务系统，对全市“残疾人之家”日间照料、居家托养服务实行线上监管，规范托养服务机构申请、登记、审核、监管。做好“一网通办”和“苏周到APP”接入工作，进一步扩大为残疾人线上服务的范围。</w:t>
      </w:r>
    </w:p>
    <w:p w:rsidR="00106156" w:rsidRDefault="00106156" w:rsidP="00106156">
      <w:pPr>
        <w:ind w:firstLineChars="200" w:firstLine="632"/>
        <w:rPr>
          <w:rFonts w:ascii="楷体_GB2312" w:eastAsia="楷体_GB2312"/>
        </w:rPr>
      </w:pPr>
      <w:r w:rsidRPr="00106156">
        <w:rPr>
          <w:rFonts w:ascii="楷体_GB2312" w:eastAsia="楷体_GB2312" w:hint="eastAsia"/>
        </w:rPr>
        <w:t>（五）加强队伍建设。</w:t>
      </w:r>
    </w:p>
    <w:p w:rsidR="00106156" w:rsidRDefault="00106156" w:rsidP="00106156">
      <w:pPr>
        <w:ind w:firstLineChars="200" w:firstLine="632"/>
      </w:pPr>
      <w:r>
        <w:rPr>
          <w:rFonts w:hint="eastAsia"/>
        </w:rPr>
        <w:lastRenderedPageBreak/>
        <w:t>持续深化残联组织改革，强化残联系统干部队伍建设，完善市、县级市（区）、乡镇（街道）、村（社区）服务网络，高标准提升队伍水平。提升康复人才专业水平，建立健全残疾儿童康复专业技术人才培训、继续教育、资格认证和持证上岗制度。将定点残疾儿童康复机构的教师和医护工作人员的专业技术职称评定分别纳入教育、卫生系统职称评聘体系，在结构比例、评价等方面给予倾斜，保证康复人员队伍稳定性。举办残疾人就业服务机构创业指导师培训班、工作人员职业指导交流活动，持续开展就业服务人员远程培训，打造高质量残疾人就业服务人员队伍。提升助残服务专业化水平，培育壮大助残志愿服务队伍，推进志愿助残活动常态化、规范化、</w:t>
      </w:r>
      <w:proofErr w:type="gramStart"/>
      <w:r>
        <w:rPr>
          <w:rFonts w:hint="eastAsia"/>
        </w:rPr>
        <w:t>长效化</w:t>
      </w:r>
      <w:proofErr w:type="gramEnd"/>
      <w:r>
        <w:rPr>
          <w:rFonts w:hint="eastAsia"/>
        </w:rPr>
        <w:t>发展。加强对助残志愿服务团队的培训，提高助残志愿者的服务水平。</w:t>
      </w:r>
    </w:p>
    <w:p w:rsidR="00106156" w:rsidRPr="00106156" w:rsidRDefault="00106156" w:rsidP="00106156">
      <w:pPr>
        <w:ind w:firstLineChars="200" w:firstLine="632"/>
        <w:rPr>
          <w:rFonts w:ascii="黑体" w:eastAsia="黑体" w:hAnsi="黑体"/>
        </w:rPr>
      </w:pPr>
      <w:r w:rsidRPr="00106156">
        <w:rPr>
          <w:rFonts w:ascii="黑体" w:eastAsia="黑体" w:hAnsi="黑体" w:hint="eastAsia"/>
        </w:rPr>
        <w:t>五、规划实施和监测评估</w:t>
      </w:r>
    </w:p>
    <w:p w:rsidR="00106156" w:rsidRDefault="00106156" w:rsidP="00106156">
      <w:pPr>
        <w:ind w:firstLineChars="200" w:firstLine="632"/>
      </w:pPr>
      <w:r>
        <w:rPr>
          <w:rFonts w:hint="eastAsia"/>
        </w:rPr>
        <w:t>建立健全对本规划主要内容和发展指标的检查督促机制，切实做好政策和工作落实的跟踪问效。健全完善残疾人状况动态监测机制，掌握残疾人需求的变化情况。市政府残工委及相关部门要对规划执行情况进行督查、监测和跟踪，及时发现和解决执行中的问题，为相关规划、政策及指标的中期评估、调整和落实提供决策依据。</w:t>
      </w:r>
    </w:p>
    <w:p w:rsidR="00106156" w:rsidRDefault="00106156" w:rsidP="00106156">
      <w:pPr>
        <w:ind w:firstLineChars="200" w:firstLine="632"/>
      </w:pPr>
    </w:p>
    <w:p w:rsidR="006D1B9A" w:rsidRPr="00E96769" w:rsidRDefault="00106156" w:rsidP="00106156">
      <w:pPr>
        <w:ind w:leftChars="200" w:left="1580" w:hangingChars="300" w:hanging="948"/>
      </w:pPr>
      <w:r>
        <w:rPr>
          <w:rFonts w:hint="eastAsia"/>
        </w:rPr>
        <w:t>附件：</w:t>
      </w:r>
      <w:r w:rsidRPr="00106156">
        <w:rPr>
          <w:rFonts w:hint="eastAsia"/>
        </w:rPr>
        <w:t>苏州市“十四五”残疾人</w:t>
      </w:r>
      <w:proofErr w:type="gramStart"/>
      <w:r w:rsidRPr="00106156">
        <w:rPr>
          <w:rFonts w:hint="eastAsia"/>
        </w:rPr>
        <w:t>事业八</w:t>
      </w:r>
      <w:proofErr w:type="gramEnd"/>
      <w:r w:rsidRPr="00106156">
        <w:rPr>
          <w:rFonts w:hint="eastAsia"/>
        </w:rPr>
        <w:t>大重点行动</w:t>
      </w:r>
    </w:p>
    <w:p w:rsidR="00A06498" w:rsidRDefault="00A06498" w:rsidP="00106156"/>
    <w:p w:rsidR="00106156" w:rsidRDefault="00106156" w:rsidP="00106156">
      <w:pPr>
        <w:rPr>
          <w:rFonts w:ascii="黑体" w:eastAsia="黑体" w:hAnsi="黑体"/>
        </w:rPr>
      </w:pPr>
      <w:r w:rsidRPr="00106156">
        <w:rPr>
          <w:rFonts w:ascii="黑体" w:eastAsia="黑体" w:hAnsi="黑体" w:hint="eastAsia"/>
        </w:rPr>
        <w:lastRenderedPageBreak/>
        <w:t>附件</w:t>
      </w:r>
    </w:p>
    <w:p w:rsidR="00EB0897" w:rsidRPr="00106156" w:rsidRDefault="00EB0897" w:rsidP="00106156">
      <w:pPr>
        <w:rPr>
          <w:rFonts w:ascii="黑体" w:eastAsia="黑体" w:hAnsi="黑体"/>
        </w:rPr>
      </w:pPr>
    </w:p>
    <w:p w:rsidR="00106156" w:rsidRDefault="00106156" w:rsidP="00EB0897">
      <w:pPr>
        <w:spacing w:line="582" w:lineRule="exact"/>
        <w:jc w:val="center"/>
        <w:rPr>
          <w:rFonts w:ascii="方正小标宋_GBK" w:eastAsia="方正小标宋_GBK"/>
          <w:sz w:val="44"/>
          <w:szCs w:val="44"/>
        </w:rPr>
      </w:pPr>
      <w:r w:rsidRPr="00106156">
        <w:rPr>
          <w:rFonts w:ascii="方正小标宋_GBK" w:eastAsia="方正小标宋_GBK" w:hint="eastAsia"/>
          <w:sz w:val="44"/>
          <w:szCs w:val="44"/>
        </w:rPr>
        <w:t>苏州市“十四五”残疾人</w:t>
      </w:r>
      <w:proofErr w:type="gramStart"/>
      <w:r w:rsidRPr="00106156">
        <w:rPr>
          <w:rFonts w:ascii="方正小标宋_GBK" w:eastAsia="方正小标宋_GBK" w:hint="eastAsia"/>
          <w:sz w:val="44"/>
          <w:szCs w:val="44"/>
        </w:rPr>
        <w:t>事业八</w:t>
      </w:r>
      <w:proofErr w:type="gramEnd"/>
      <w:r w:rsidRPr="00106156">
        <w:rPr>
          <w:rFonts w:ascii="方正小标宋_GBK" w:eastAsia="方正小标宋_GBK" w:hint="eastAsia"/>
          <w:sz w:val="44"/>
          <w:szCs w:val="44"/>
        </w:rPr>
        <w:t>大重点行动</w:t>
      </w:r>
    </w:p>
    <w:p w:rsidR="00EB0897" w:rsidRPr="00106156" w:rsidRDefault="00EB0897" w:rsidP="00EB0897">
      <w:pPr>
        <w:spacing w:line="582" w:lineRule="exact"/>
        <w:jc w:val="center"/>
        <w:rPr>
          <w:rFonts w:ascii="方正小标宋_GBK" w:eastAsia="方正小标宋_GBK"/>
          <w:sz w:val="44"/>
          <w:szCs w:val="44"/>
        </w:rPr>
      </w:pPr>
    </w:p>
    <w:tbl>
      <w:tblPr>
        <w:tblStyle w:val="ad"/>
        <w:tblW w:w="8845" w:type="dxa"/>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4A0" w:firstRow="1" w:lastRow="0" w:firstColumn="1" w:lastColumn="0" w:noHBand="0" w:noVBand="1"/>
      </w:tblPr>
      <w:tblGrid>
        <w:gridCol w:w="426"/>
        <w:gridCol w:w="851"/>
        <w:gridCol w:w="4854"/>
        <w:gridCol w:w="2086"/>
        <w:gridCol w:w="628"/>
      </w:tblGrid>
      <w:tr w:rsidR="00106156" w:rsidRPr="00EB0897" w:rsidTr="00EB0897">
        <w:trPr>
          <w:tblHeader/>
          <w:jc w:val="center"/>
        </w:trPr>
        <w:tc>
          <w:tcPr>
            <w:tcW w:w="0" w:type="auto"/>
            <w:vAlign w:val="center"/>
          </w:tcPr>
          <w:p w:rsidR="00106156" w:rsidRPr="00EB0897" w:rsidRDefault="00106156" w:rsidP="00EB0897">
            <w:pPr>
              <w:spacing w:line="320" w:lineRule="exact"/>
              <w:jc w:val="center"/>
              <w:rPr>
                <w:rFonts w:ascii="黑体" w:eastAsia="黑体" w:hAnsi="黑体"/>
                <w:sz w:val="21"/>
                <w:szCs w:val="21"/>
              </w:rPr>
            </w:pPr>
            <w:r w:rsidRPr="00EB0897">
              <w:rPr>
                <w:rFonts w:ascii="黑体" w:eastAsia="黑体" w:hAnsi="黑体" w:hint="eastAsia"/>
                <w:sz w:val="21"/>
                <w:szCs w:val="21"/>
              </w:rPr>
              <w:t>序号</w:t>
            </w:r>
          </w:p>
        </w:tc>
        <w:tc>
          <w:tcPr>
            <w:tcW w:w="851" w:type="dxa"/>
            <w:vAlign w:val="center"/>
          </w:tcPr>
          <w:p w:rsidR="00106156" w:rsidRPr="00EB0897" w:rsidRDefault="00106156" w:rsidP="00EB0897">
            <w:pPr>
              <w:spacing w:line="320" w:lineRule="exact"/>
              <w:jc w:val="center"/>
              <w:rPr>
                <w:rFonts w:ascii="黑体" w:eastAsia="黑体" w:hAnsi="黑体"/>
                <w:sz w:val="21"/>
                <w:szCs w:val="21"/>
              </w:rPr>
            </w:pPr>
            <w:r w:rsidRPr="00EB0897">
              <w:rPr>
                <w:rFonts w:ascii="黑体" w:eastAsia="黑体" w:hAnsi="黑体" w:hint="eastAsia"/>
                <w:sz w:val="21"/>
                <w:szCs w:val="21"/>
              </w:rPr>
              <w:t>名称</w:t>
            </w:r>
          </w:p>
        </w:tc>
        <w:tc>
          <w:tcPr>
            <w:tcW w:w="4854" w:type="dxa"/>
            <w:vAlign w:val="center"/>
          </w:tcPr>
          <w:p w:rsidR="00106156" w:rsidRPr="00EB0897" w:rsidRDefault="00106156" w:rsidP="00EB0897">
            <w:pPr>
              <w:spacing w:line="320" w:lineRule="exact"/>
              <w:jc w:val="center"/>
              <w:rPr>
                <w:rFonts w:ascii="黑体" w:eastAsia="黑体" w:hAnsi="黑体"/>
                <w:sz w:val="21"/>
                <w:szCs w:val="21"/>
              </w:rPr>
            </w:pPr>
            <w:r w:rsidRPr="00EB0897">
              <w:rPr>
                <w:rFonts w:ascii="黑体" w:eastAsia="黑体" w:hAnsi="黑体" w:hint="eastAsia"/>
                <w:sz w:val="21"/>
                <w:szCs w:val="21"/>
              </w:rPr>
              <w:t>主要内容</w:t>
            </w:r>
          </w:p>
        </w:tc>
        <w:tc>
          <w:tcPr>
            <w:tcW w:w="2086" w:type="dxa"/>
            <w:vAlign w:val="center"/>
          </w:tcPr>
          <w:p w:rsidR="00106156" w:rsidRPr="00EB0897" w:rsidRDefault="00106156" w:rsidP="00EB0897">
            <w:pPr>
              <w:spacing w:line="320" w:lineRule="exact"/>
              <w:jc w:val="center"/>
              <w:rPr>
                <w:rFonts w:ascii="黑体" w:eastAsia="黑体" w:hAnsi="黑体"/>
                <w:sz w:val="21"/>
                <w:szCs w:val="21"/>
              </w:rPr>
            </w:pPr>
            <w:r w:rsidRPr="00EB0897">
              <w:rPr>
                <w:rFonts w:ascii="黑体" w:eastAsia="黑体" w:hAnsi="黑体" w:hint="eastAsia"/>
                <w:sz w:val="21"/>
                <w:szCs w:val="21"/>
              </w:rPr>
              <w:t>责任部门</w:t>
            </w:r>
          </w:p>
        </w:tc>
        <w:tc>
          <w:tcPr>
            <w:tcW w:w="628" w:type="dxa"/>
            <w:vAlign w:val="center"/>
          </w:tcPr>
          <w:p w:rsidR="00106156" w:rsidRPr="00EB0897" w:rsidRDefault="00106156" w:rsidP="00EB0897">
            <w:pPr>
              <w:spacing w:line="320" w:lineRule="exact"/>
              <w:jc w:val="center"/>
              <w:rPr>
                <w:rFonts w:ascii="黑体" w:eastAsia="黑体" w:hAnsi="黑体"/>
                <w:sz w:val="21"/>
                <w:szCs w:val="21"/>
              </w:rPr>
            </w:pPr>
            <w:r w:rsidRPr="00EB0897">
              <w:rPr>
                <w:rFonts w:ascii="黑体" w:eastAsia="黑体" w:hAnsi="黑体" w:hint="eastAsia"/>
                <w:sz w:val="21"/>
                <w:szCs w:val="21"/>
              </w:rPr>
              <w:t>完成时间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1</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残疾人高质量就业行动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以促进残疾人“充分就业、和谐就业、体面就业”为目标，围绕“电商直播、人工智能、文创产业”等新职业、新业态，完成200人次残疾人职业技能提升培训，加强在校残疾学生职业技能培养，促进残疾人高质量就业。新增5个残疾人创业孵化基地，各县级市（区）建立完善辅助性就业项目调配中心，发展附加值高、可持续性强的辅助性就业项目。</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w:t>
            </w:r>
            <w:proofErr w:type="gramStart"/>
            <w:r w:rsidRPr="00106156">
              <w:rPr>
                <w:rFonts w:hint="eastAsia"/>
                <w:sz w:val="21"/>
                <w:szCs w:val="21"/>
              </w:rPr>
              <w:t>人社局</w:t>
            </w:r>
            <w:proofErr w:type="gramEnd"/>
            <w:r w:rsidRPr="00106156">
              <w:rPr>
                <w:rFonts w:hint="eastAsia"/>
                <w:sz w:val="21"/>
                <w:szCs w:val="21"/>
              </w:rPr>
              <w:t>、市教育局、市工信局，各县级市（区）政府（管委会）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2</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残疾人服务智能化行动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探索“互联网+智慧助残”新模式，增强智慧管理和信息应用能力。一是建立苏州市残疾人大数据综合服务平台，加强部门</w:t>
            </w:r>
            <w:proofErr w:type="gramStart"/>
            <w:r w:rsidRPr="00106156">
              <w:rPr>
                <w:rFonts w:hint="eastAsia"/>
                <w:sz w:val="21"/>
                <w:szCs w:val="21"/>
              </w:rPr>
              <w:t>间涉残信息</w:t>
            </w:r>
            <w:proofErr w:type="gramEnd"/>
            <w:r w:rsidRPr="00106156">
              <w:rPr>
                <w:rFonts w:hint="eastAsia"/>
                <w:sz w:val="21"/>
                <w:szCs w:val="21"/>
              </w:rPr>
              <w:t>数据交换共享，建立一人一档的残疾人基础信息库和服务状况与需求信息，提高管理、服务、科学决策能力。二是建设残疾人托养服务系统，对全市托养服务进行线上监管。三是提升数据应用水平，建立标准统一、资源共享、动态更新的残疾人事业数据资源中心。四是推进“智慧残联APP”移动服务平台的建设，并接入“苏周到APP”，为残疾人提供精准有效的掌上服务。</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市残联、市大数据局、市行政</w:t>
            </w:r>
            <w:proofErr w:type="gramStart"/>
            <w:r w:rsidRPr="00106156">
              <w:rPr>
                <w:rFonts w:hint="eastAsia"/>
                <w:sz w:val="21"/>
                <w:szCs w:val="21"/>
              </w:rPr>
              <w:t>审批局</w:t>
            </w:r>
            <w:proofErr w:type="gramEnd"/>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3</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残工委成员单位</w:t>
            </w:r>
            <w:proofErr w:type="gramStart"/>
            <w:r w:rsidRPr="00106156">
              <w:rPr>
                <w:rFonts w:hint="eastAsia"/>
                <w:sz w:val="21"/>
                <w:szCs w:val="21"/>
              </w:rPr>
              <w:t>为残办实事</w:t>
            </w:r>
            <w:proofErr w:type="gramEnd"/>
            <w:r w:rsidRPr="00106156">
              <w:rPr>
                <w:rFonts w:hint="eastAsia"/>
                <w:sz w:val="21"/>
                <w:szCs w:val="21"/>
              </w:rPr>
              <w:t>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继续加强残工委办公室建设，充分发挥残工委成员单位作用，每年残工委成员单位落实为残疾人群体办一到两件实事，从部门职能、日常业务、党建合作等角度持续为残疾人群体办实事、做好事、解难事。</w:t>
            </w:r>
          </w:p>
        </w:tc>
        <w:tc>
          <w:tcPr>
            <w:tcW w:w="2086" w:type="dxa"/>
            <w:vAlign w:val="center"/>
          </w:tcPr>
          <w:p w:rsidR="00106156" w:rsidRPr="00106156" w:rsidRDefault="00106156" w:rsidP="00EB0897">
            <w:pPr>
              <w:spacing w:line="320" w:lineRule="exact"/>
              <w:rPr>
                <w:sz w:val="21"/>
                <w:szCs w:val="21"/>
              </w:rPr>
            </w:pPr>
            <w:r w:rsidRPr="00106156">
              <w:rPr>
                <w:rFonts w:hint="eastAsia"/>
                <w:sz w:val="21"/>
                <w:szCs w:val="21"/>
              </w:rPr>
              <w:t>残工委</w:t>
            </w:r>
            <w:r w:rsidR="00EB0897">
              <w:rPr>
                <w:rFonts w:hint="eastAsia"/>
                <w:sz w:val="21"/>
                <w:szCs w:val="21"/>
              </w:rPr>
              <w:t>，</w:t>
            </w:r>
            <w:r w:rsidRPr="00106156">
              <w:rPr>
                <w:rFonts w:hint="eastAsia"/>
                <w:sz w:val="21"/>
                <w:szCs w:val="21"/>
              </w:rPr>
              <w:t>各成员单位，各县级市（区）政府（管委会）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每年12月</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4</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康复服务优质提升行动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扩大成人康复</w:t>
            </w:r>
            <w:proofErr w:type="gramStart"/>
            <w:r w:rsidRPr="00106156">
              <w:rPr>
                <w:rFonts w:hint="eastAsia"/>
                <w:sz w:val="21"/>
                <w:szCs w:val="21"/>
              </w:rPr>
              <w:t>医</w:t>
            </w:r>
            <w:proofErr w:type="gramEnd"/>
            <w:r w:rsidRPr="00106156">
              <w:rPr>
                <w:rFonts w:hint="eastAsia"/>
                <w:sz w:val="21"/>
                <w:szCs w:val="21"/>
              </w:rPr>
              <w:t>保补助范围，探索</w:t>
            </w:r>
            <w:proofErr w:type="gramStart"/>
            <w:r w:rsidRPr="00106156">
              <w:rPr>
                <w:rFonts w:hint="eastAsia"/>
                <w:sz w:val="21"/>
                <w:szCs w:val="21"/>
              </w:rPr>
              <w:t>医保范围</w:t>
            </w:r>
            <w:proofErr w:type="gramEnd"/>
            <w:r w:rsidRPr="00106156">
              <w:rPr>
                <w:rFonts w:hint="eastAsia"/>
                <w:sz w:val="21"/>
                <w:szCs w:val="21"/>
              </w:rPr>
              <w:t>外成人康复补助政策。按规定对符合条件的持证精神残疾人提供免费基本用药。组织进行残疾儿童康复需求和效果评估，进行残疾儿童定点康复机构绩效评价。建立健全残疾儿童康复专业技术人才培训、考试和继续教育制度，将残疾儿童康复机构中教师和医护工作人员的专业职称评定工作分别纳入教育、卫生系统职称评聘体系。</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w:t>
            </w:r>
            <w:proofErr w:type="gramStart"/>
            <w:r w:rsidRPr="00106156">
              <w:rPr>
                <w:rFonts w:hint="eastAsia"/>
                <w:sz w:val="21"/>
                <w:szCs w:val="21"/>
              </w:rPr>
              <w:t>医</w:t>
            </w:r>
            <w:proofErr w:type="gramEnd"/>
            <w:r w:rsidRPr="00106156">
              <w:rPr>
                <w:rFonts w:hint="eastAsia"/>
                <w:sz w:val="21"/>
                <w:szCs w:val="21"/>
              </w:rPr>
              <w:t>保局、市教育局、市卫生健康委，各县级市（区）政府（管委会）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lastRenderedPageBreak/>
              <w:t>5</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残疾人托养服务体系完善行动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进一步完善残疾人托养服务体系政策衔接。借助“医养融合”“康养结合”“居家服务”等托养服务理念，打通残疾人托养与养老、医疗服务脱节的“痛点”。与</w:t>
            </w:r>
            <w:proofErr w:type="gramStart"/>
            <w:r w:rsidRPr="00106156">
              <w:rPr>
                <w:rFonts w:hint="eastAsia"/>
                <w:sz w:val="21"/>
                <w:szCs w:val="21"/>
              </w:rPr>
              <w:t>长护险衔接</w:t>
            </w:r>
            <w:proofErr w:type="gramEnd"/>
            <w:r w:rsidRPr="00106156">
              <w:rPr>
                <w:rFonts w:hint="eastAsia"/>
                <w:sz w:val="21"/>
                <w:szCs w:val="21"/>
              </w:rPr>
              <w:t>，做好残疾人居家托养服务。利用养老院、护理院、社会福利机构等机构的空余床位开展残疾人全日制托养工作。强化“残疾人之家”建管营，开展星级达标评定，为有需求的残疾人提供高质量的日间照料服务；试点“走托制”托养模式，为重度残疾人托养探索新路径。</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市残联、市民政局、市</w:t>
            </w:r>
            <w:proofErr w:type="gramStart"/>
            <w:r w:rsidRPr="00106156">
              <w:rPr>
                <w:rFonts w:hint="eastAsia"/>
                <w:sz w:val="21"/>
                <w:szCs w:val="21"/>
              </w:rPr>
              <w:t>医</w:t>
            </w:r>
            <w:proofErr w:type="gramEnd"/>
            <w:r w:rsidRPr="00106156">
              <w:rPr>
                <w:rFonts w:hint="eastAsia"/>
                <w:sz w:val="21"/>
                <w:szCs w:val="21"/>
              </w:rPr>
              <w:t>保局、市财政局、市卫生健康委、市</w:t>
            </w:r>
            <w:proofErr w:type="gramStart"/>
            <w:r w:rsidRPr="00106156">
              <w:rPr>
                <w:rFonts w:hint="eastAsia"/>
                <w:sz w:val="21"/>
                <w:szCs w:val="21"/>
              </w:rPr>
              <w:t>人社局</w:t>
            </w:r>
            <w:proofErr w:type="gramEnd"/>
            <w:r w:rsidRPr="00106156">
              <w:rPr>
                <w:rFonts w:hint="eastAsia"/>
                <w:sz w:val="21"/>
                <w:szCs w:val="21"/>
              </w:rPr>
              <w:t>、市慈善总会，各县级市（区）政府（管委会）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6</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文化体育助残行动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积极推动社会公共文化体育服务的普及化、均等化、常态化，为残疾人群体提供更高水平、更高质量的文化体育服务，丰富残疾人精神文化生活。一是推动公共文体服务无障碍建设，为残疾人参与公共文体活动提供便捷。二是启动社区型残疾人文体团队帮扶行动，提升基层残疾人群众性文体活动水平。三是挖掘培育残疾人优秀文体人才，加强人才培养。四是开展残疾人文体服务进家庭活动，确定帮扶对象、帮扶项目、帮扶人员，开展常态化服务。五是扶持残疾人文化创业，推动残疾人文化产业发展。六是广泛动员专业社团参与文化体育助残行动，培育特色项目。七是建立文化体育助残行动示范基地，提升社会影响力。八是打造文体助残志愿服务品牌，满足残疾人精神文化特殊需求。</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市残联、市文广旅局、市体育局，各县级市（区）政府（管委会）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7</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助残社会组织培育发展行动</w:t>
            </w:r>
          </w:p>
        </w:tc>
        <w:tc>
          <w:tcPr>
            <w:tcW w:w="4854" w:type="dxa"/>
            <w:vAlign w:val="center"/>
          </w:tcPr>
          <w:p w:rsidR="00106156" w:rsidRPr="00106156" w:rsidRDefault="00106156" w:rsidP="00106156">
            <w:pPr>
              <w:spacing w:line="320" w:lineRule="exact"/>
              <w:rPr>
                <w:b/>
                <w:sz w:val="21"/>
                <w:szCs w:val="21"/>
              </w:rPr>
            </w:pPr>
            <w:r w:rsidRPr="00106156">
              <w:rPr>
                <w:rFonts w:hint="eastAsia"/>
                <w:sz w:val="21"/>
                <w:szCs w:val="21"/>
              </w:rPr>
              <w:t>采取政府购买服务、公益项目支持、社会资金资助等形式，积极支持专业化助残社会组织和助残专业社工、志愿团队成长，重点培育示范性助残社会组织和服务机构。支持残疾人福利基金会和企业社会责任助残联盟发展壮大，为残疾人事业发展增添生机活力。</w:t>
            </w:r>
          </w:p>
        </w:tc>
        <w:tc>
          <w:tcPr>
            <w:tcW w:w="2086" w:type="dxa"/>
            <w:vAlign w:val="center"/>
          </w:tcPr>
          <w:p w:rsidR="00106156" w:rsidRPr="00106156" w:rsidRDefault="00106156" w:rsidP="00106156">
            <w:pPr>
              <w:spacing w:line="320" w:lineRule="exact"/>
              <w:rPr>
                <w:sz w:val="21"/>
                <w:szCs w:val="21"/>
              </w:rPr>
            </w:pPr>
            <w:r w:rsidRPr="00106156">
              <w:rPr>
                <w:rFonts w:hint="eastAsia"/>
                <w:sz w:val="21"/>
                <w:szCs w:val="21"/>
              </w:rPr>
              <w:t>市残联、市民政局、市慈善总会，各县级市（区）政府（管委会）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r w:rsidR="00106156" w:rsidRPr="00106156" w:rsidTr="00EB0897">
        <w:trPr>
          <w:jc w:val="center"/>
        </w:trPr>
        <w:tc>
          <w:tcPr>
            <w:tcW w:w="0" w:type="auto"/>
            <w:vAlign w:val="center"/>
          </w:tcPr>
          <w:p w:rsidR="00106156" w:rsidRPr="00106156" w:rsidRDefault="00106156" w:rsidP="00EB0897">
            <w:pPr>
              <w:spacing w:line="320" w:lineRule="exact"/>
              <w:jc w:val="center"/>
              <w:rPr>
                <w:sz w:val="21"/>
                <w:szCs w:val="21"/>
              </w:rPr>
            </w:pPr>
            <w:r w:rsidRPr="00106156">
              <w:rPr>
                <w:rFonts w:hint="eastAsia"/>
                <w:sz w:val="21"/>
                <w:szCs w:val="21"/>
              </w:rPr>
              <w:t>8</w:t>
            </w:r>
          </w:p>
        </w:tc>
        <w:tc>
          <w:tcPr>
            <w:tcW w:w="851" w:type="dxa"/>
            <w:vAlign w:val="center"/>
          </w:tcPr>
          <w:p w:rsidR="00106156" w:rsidRPr="00106156" w:rsidRDefault="00106156" w:rsidP="00106156">
            <w:pPr>
              <w:spacing w:line="320" w:lineRule="exact"/>
              <w:rPr>
                <w:sz w:val="21"/>
                <w:szCs w:val="21"/>
              </w:rPr>
            </w:pPr>
            <w:r w:rsidRPr="00106156">
              <w:rPr>
                <w:rFonts w:hint="eastAsia"/>
                <w:sz w:val="21"/>
                <w:szCs w:val="21"/>
              </w:rPr>
              <w:t>无障碍环境建设提升行动</w:t>
            </w:r>
          </w:p>
        </w:tc>
        <w:tc>
          <w:tcPr>
            <w:tcW w:w="4854" w:type="dxa"/>
            <w:vAlign w:val="center"/>
          </w:tcPr>
          <w:p w:rsidR="00106156" w:rsidRPr="00106156" w:rsidRDefault="00106156" w:rsidP="00106156">
            <w:pPr>
              <w:spacing w:line="320" w:lineRule="exact"/>
              <w:rPr>
                <w:sz w:val="21"/>
                <w:szCs w:val="21"/>
              </w:rPr>
            </w:pPr>
            <w:r w:rsidRPr="00106156">
              <w:rPr>
                <w:rFonts w:hint="eastAsia"/>
                <w:sz w:val="21"/>
                <w:szCs w:val="21"/>
              </w:rPr>
              <w:t>积极创建苏州全民友好、全龄友好、全域友好城市。新建设施严格执行无障碍相关标准规范，已建成未达到无障碍相关标准的纳入城镇老旧小区改造，加快推广无障碍公共厕所。强化无障碍督导，依托工作协调机制统筹推动无障碍环境建设，充分发挥无障碍建设促进会的作用，结合无障碍环境建设公益诉讼专项监督活动，形成无障碍问题“发现-交办-整改-反馈”的闭环处置机制。</w:t>
            </w:r>
          </w:p>
        </w:tc>
        <w:tc>
          <w:tcPr>
            <w:tcW w:w="2086" w:type="dxa"/>
            <w:vAlign w:val="center"/>
          </w:tcPr>
          <w:p w:rsidR="00106156" w:rsidRPr="00106156" w:rsidRDefault="00106156" w:rsidP="00EB0897">
            <w:pPr>
              <w:spacing w:line="320" w:lineRule="exact"/>
              <w:rPr>
                <w:sz w:val="21"/>
                <w:szCs w:val="21"/>
              </w:rPr>
            </w:pPr>
            <w:r w:rsidRPr="00106156">
              <w:rPr>
                <w:rFonts w:hint="eastAsia"/>
                <w:sz w:val="21"/>
                <w:szCs w:val="21"/>
              </w:rPr>
              <w:t>市残联、市检察院、市住建局、市城管局，各县级市（区）政府（管委会）</w:t>
            </w:r>
          </w:p>
        </w:tc>
        <w:tc>
          <w:tcPr>
            <w:tcW w:w="628" w:type="dxa"/>
            <w:vAlign w:val="center"/>
          </w:tcPr>
          <w:p w:rsidR="00106156" w:rsidRPr="00106156" w:rsidRDefault="00106156" w:rsidP="00EB0897">
            <w:pPr>
              <w:spacing w:line="320" w:lineRule="exact"/>
              <w:jc w:val="center"/>
              <w:rPr>
                <w:sz w:val="21"/>
                <w:szCs w:val="21"/>
              </w:rPr>
            </w:pPr>
            <w:r w:rsidRPr="00106156">
              <w:rPr>
                <w:rFonts w:hint="eastAsia"/>
                <w:sz w:val="21"/>
                <w:szCs w:val="21"/>
              </w:rPr>
              <w:t>2025年</w:t>
            </w:r>
          </w:p>
        </w:tc>
      </w:tr>
    </w:tbl>
    <w:p w:rsidR="00106156" w:rsidRPr="00106156" w:rsidRDefault="00106156" w:rsidP="00106156">
      <w:bookmarkStart w:id="0" w:name="_GoBack"/>
      <w:bookmarkEnd w:id="0"/>
    </w:p>
    <w:sectPr w:rsidR="00106156" w:rsidRPr="00106156" w:rsidSect="00E2792F">
      <w:footerReference w:type="even" r:id="rId8"/>
      <w:footerReference w:type="default" r:id="rId9"/>
      <w:footerReference w:type="first" r:id="rId10"/>
      <w:pgSz w:w="11906" w:h="16838" w:code="9"/>
      <w:pgMar w:top="2041" w:right="1474" w:bottom="1985" w:left="1588" w:header="851" w:footer="1520" w:gutter="0"/>
      <w:pgNumType w:start="1" w:chapStyle="1"/>
      <w:cols w:space="425"/>
      <w:docGrid w:type="linesAndChars" w:linePitch="582"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7C9" w:rsidRDefault="004F27C9">
      <w:r>
        <w:separator/>
      </w:r>
    </w:p>
  </w:endnote>
  <w:endnote w:type="continuationSeparator" w:id="0">
    <w:p w:rsidR="004F27C9" w:rsidRDefault="004F2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文鼎CS仿宋体">
    <w:altName w:val="宋体"/>
    <w:charset w:val="86"/>
    <w:family w:val="modern"/>
    <w:pitch w:val="default"/>
    <w:sig w:usb0="00000001" w:usb1="080E0000" w:usb2="00000010" w:usb3="00000000" w:csb0="00040000" w:csb1="00000000"/>
  </w:font>
  <w:font w:name="汉鼎简大宋">
    <w:altName w:val="宋体"/>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Default="009C3117" w:rsidP="00106156">
    <w:pPr>
      <w:pStyle w:val="a3"/>
      <w:ind w:leftChars="100" w:left="320" w:rightChars="100" w:right="320"/>
    </w:pPr>
    <w:r w:rsidRPr="0050326D">
      <w:rPr>
        <w:rStyle w:val="a4"/>
        <w:rFonts w:eastAsia="宋体" w:hint="eastAsia"/>
        <w:sz w:val="28"/>
        <w:szCs w:val="28"/>
      </w:rPr>
      <w:t>—</w:t>
    </w:r>
    <w:r w:rsidRPr="0050326D">
      <w:rPr>
        <w:rStyle w:val="a4"/>
        <w:rFonts w:hint="eastAsia"/>
        <w:sz w:val="28"/>
        <w:szCs w:val="28"/>
      </w:rPr>
      <w:t xml:space="preserve"> </w:t>
    </w:r>
    <w:r w:rsidRPr="00A06498">
      <w:rPr>
        <w:rStyle w:val="a4"/>
        <w:rFonts w:ascii="宋体" w:eastAsia="宋体" w:hAnsi="宋体"/>
        <w:sz w:val="28"/>
        <w:szCs w:val="28"/>
      </w:rPr>
      <w:fldChar w:fldCharType="begin"/>
    </w:r>
    <w:r w:rsidRPr="00A06498">
      <w:rPr>
        <w:rStyle w:val="a4"/>
        <w:rFonts w:ascii="宋体" w:eastAsia="宋体" w:hAnsi="宋体"/>
        <w:sz w:val="28"/>
        <w:szCs w:val="28"/>
      </w:rPr>
      <w:instrText xml:space="preserve">PAGE  </w:instrText>
    </w:r>
    <w:r w:rsidRPr="00A06498">
      <w:rPr>
        <w:rStyle w:val="a4"/>
        <w:rFonts w:ascii="宋体" w:eastAsia="宋体" w:hAnsi="宋体"/>
        <w:sz w:val="28"/>
        <w:szCs w:val="28"/>
      </w:rPr>
      <w:fldChar w:fldCharType="separate"/>
    </w:r>
    <w:r w:rsidR="007757BC">
      <w:rPr>
        <w:rStyle w:val="a4"/>
        <w:rFonts w:ascii="宋体" w:eastAsia="宋体" w:hAnsi="宋体"/>
        <w:noProof/>
        <w:sz w:val="28"/>
        <w:szCs w:val="28"/>
      </w:rPr>
      <w:t>22</w:t>
    </w:r>
    <w:r w:rsidRPr="00A06498">
      <w:rPr>
        <w:rStyle w:val="a4"/>
        <w:rFonts w:ascii="宋体" w:eastAsia="宋体" w:hAnsi="宋体"/>
        <w:sz w:val="28"/>
        <w:szCs w:val="28"/>
      </w:rPr>
      <w:fldChar w:fldCharType="end"/>
    </w:r>
    <w:r w:rsidRPr="0050326D">
      <w:rPr>
        <w:rStyle w:val="a4"/>
        <w:rFonts w:hint="eastAsia"/>
        <w:sz w:val="28"/>
        <w:szCs w:val="28"/>
      </w:rPr>
      <w:t xml:space="preserve"> </w:t>
    </w:r>
    <w:r w:rsidRPr="0050326D">
      <w:rPr>
        <w:rStyle w:val="a4"/>
        <w:rFonts w:eastAsia="宋体" w:hint="eastAsia"/>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Pr="0050326D" w:rsidRDefault="008D3F64" w:rsidP="00106156">
    <w:pPr>
      <w:pStyle w:val="a3"/>
      <w:ind w:leftChars="100" w:left="320" w:rightChars="100" w:right="320"/>
      <w:jc w:val="right"/>
      <w:rPr>
        <w:sz w:val="28"/>
        <w:szCs w:val="28"/>
      </w:rPr>
    </w:pPr>
    <w:r w:rsidRPr="0050326D">
      <w:rPr>
        <w:rStyle w:val="a4"/>
        <w:rFonts w:eastAsia="宋体" w:hint="eastAsia"/>
        <w:sz w:val="28"/>
        <w:szCs w:val="28"/>
      </w:rPr>
      <w:t>—</w:t>
    </w:r>
    <w:r w:rsidRPr="000C31BC">
      <w:rPr>
        <w:rStyle w:val="a4"/>
        <w:rFonts w:ascii="Times New Roman"/>
        <w:sz w:val="28"/>
        <w:szCs w:val="28"/>
      </w:rPr>
      <w:t xml:space="preserve"> </w:t>
    </w:r>
    <w:r w:rsidRPr="00A06498">
      <w:rPr>
        <w:rStyle w:val="a4"/>
        <w:rFonts w:ascii="宋体" w:eastAsia="宋体" w:hAnsi="宋体"/>
        <w:sz w:val="28"/>
        <w:szCs w:val="28"/>
      </w:rPr>
      <w:fldChar w:fldCharType="begin"/>
    </w:r>
    <w:r w:rsidRPr="00A06498">
      <w:rPr>
        <w:rStyle w:val="a4"/>
        <w:rFonts w:ascii="宋体" w:eastAsia="宋体" w:hAnsi="宋体"/>
        <w:sz w:val="28"/>
        <w:szCs w:val="28"/>
      </w:rPr>
      <w:instrText xml:space="preserve">PAGE  </w:instrText>
    </w:r>
    <w:r w:rsidRPr="00A06498">
      <w:rPr>
        <w:rStyle w:val="a4"/>
        <w:rFonts w:ascii="宋体" w:eastAsia="宋体" w:hAnsi="宋体"/>
        <w:sz w:val="28"/>
        <w:szCs w:val="28"/>
      </w:rPr>
      <w:fldChar w:fldCharType="separate"/>
    </w:r>
    <w:r w:rsidR="007757BC">
      <w:rPr>
        <w:rStyle w:val="a4"/>
        <w:rFonts w:ascii="宋体" w:eastAsia="宋体" w:hAnsi="宋体"/>
        <w:noProof/>
        <w:sz w:val="28"/>
        <w:szCs w:val="28"/>
      </w:rPr>
      <w:t>21</w:t>
    </w:r>
    <w:r w:rsidRPr="00A06498">
      <w:rPr>
        <w:rStyle w:val="a4"/>
        <w:rFonts w:ascii="宋体" w:eastAsia="宋体" w:hAnsi="宋体"/>
        <w:sz w:val="28"/>
        <w:szCs w:val="28"/>
      </w:rPr>
      <w:fldChar w:fldCharType="end"/>
    </w:r>
    <w:r w:rsidRPr="000C31BC">
      <w:rPr>
        <w:rStyle w:val="a4"/>
        <w:rFonts w:ascii="Times New Roman"/>
        <w:sz w:val="28"/>
        <w:szCs w:val="28"/>
      </w:rPr>
      <w:t xml:space="preserve"> </w:t>
    </w:r>
    <w:r w:rsidRPr="0050326D">
      <w:rPr>
        <w:rStyle w:val="a4"/>
        <w:rFonts w:eastAsia="宋体" w:hint="eastAsia"/>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Default="008D3F64">
    <w:pPr>
      <w:pStyle w:val="a3"/>
      <w:jc w:val="center"/>
      <w:rPr>
        <w:sz w:val="32"/>
      </w:rPr>
    </w:pPr>
    <w:r>
      <w:rPr>
        <w:rStyle w:val="a4"/>
        <w:rFonts w:hint="eastAsia"/>
        <w:sz w:val="32"/>
      </w:rPr>
      <w:t xml:space="preserve">— </w:t>
    </w:r>
    <w:r>
      <w:rPr>
        <w:rStyle w:val="a4"/>
        <w:rFonts w:hint="eastAsia"/>
        <w:sz w:val="30"/>
      </w:rPr>
      <w:fldChar w:fldCharType="begin"/>
    </w:r>
    <w:r>
      <w:rPr>
        <w:rStyle w:val="a4"/>
        <w:rFonts w:hint="eastAsia"/>
        <w:sz w:val="30"/>
      </w:rPr>
      <w:instrText xml:space="preserve"> PAGE </w:instrText>
    </w:r>
    <w:r>
      <w:rPr>
        <w:rStyle w:val="a4"/>
        <w:rFonts w:hint="eastAsia"/>
        <w:sz w:val="30"/>
      </w:rPr>
      <w:fldChar w:fldCharType="separate"/>
    </w:r>
    <w:r>
      <w:rPr>
        <w:rStyle w:val="a4"/>
        <w:noProof/>
        <w:sz w:val="30"/>
      </w:rPr>
      <w:t>1</w:t>
    </w:r>
    <w:r>
      <w:rPr>
        <w:rStyle w:val="a4"/>
        <w:rFonts w:hint="eastAsia"/>
        <w:sz w:val="30"/>
      </w:rPr>
      <w:fldChar w:fldCharType="end"/>
    </w:r>
    <w:r>
      <w:rPr>
        <w:rStyle w:val="a4"/>
        <w:rFonts w:hint="eastAsia"/>
        <w:sz w:val="3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7C9" w:rsidRDefault="004F27C9">
      <w:r>
        <w:separator/>
      </w:r>
    </w:p>
  </w:footnote>
  <w:footnote w:type="continuationSeparator" w:id="0">
    <w:p w:rsidR="004F27C9" w:rsidRDefault="004F27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lvl w:ilvl="0">
      <w:start w:val="2"/>
      <w:numFmt w:val="chineseCounting"/>
      <w:suff w:val="nothing"/>
      <w:lvlText w:val="（%1）"/>
      <w:lvlJc w:val="left"/>
    </w:lvl>
  </w:abstractNum>
  <w:abstractNum w:abstractNumId="1">
    <w:nsid w:val="00503C2E"/>
    <w:multiLevelType w:val="hybridMultilevel"/>
    <w:tmpl w:val="F23454E2"/>
    <w:lvl w:ilvl="0" w:tplc="76AC3FC6">
      <w:start w:val="1"/>
      <w:numFmt w:val="japaneseCounting"/>
      <w:lvlText w:val="（%1）"/>
      <w:lvlJc w:val="left"/>
      <w:pPr>
        <w:tabs>
          <w:tab w:val="num" w:pos="1720"/>
        </w:tabs>
        <w:ind w:left="1720" w:hanging="1080"/>
      </w:pPr>
      <w:rPr>
        <w:rFonts w:hint="eastAsia"/>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2">
    <w:nsid w:val="014D19ED"/>
    <w:multiLevelType w:val="hybridMultilevel"/>
    <w:tmpl w:val="984E71DC"/>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68129EA"/>
    <w:multiLevelType w:val="hybridMultilevel"/>
    <w:tmpl w:val="27A682B6"/>
    <w:lvl w:ilvl="0" w:tplc="42948A04">
      <w:start w:val="1"/>
      <w:numFmt w:val="japaneseCounting"/>
      <w:lvlText w:val="%1、"/>
      <w:lvlJc w:val="left"/>
      <w:pPr>
        <w:tabs>
          <w:tab w:val="num" w:pos="1360"/>
        </w:tabs>
        <w:ind w:left="1360" w:hanging="720"/>
      </w:pPr>
      <w:rPr>
        <w:rFonts w:hint="eastAsia"/>
      </w:rPr>
    </w:lvl>
    <w:lvl w:ilvl="1" w:tplc="E7487484">
      <w:start w:val="3"/>
      <w:numFmt w:val="decimal"/>
      <w:lvlText w:val="%2、"/>
      <w:lvlJc w:val="left"/>
      <w:pPr>
        <w:tabs>
          <w:tab w:val="num" w:pos="1780"/>
        </w:tabs>
        <w:ind w:left="1780" w:hanging="720"/>
      </w:pPr>
      <w:rPr>
        <w:rFonts w:hint="default"/>
        <w:b/>
      </w:r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4">
    <w:nsid w:val="0D176257"/>
    <w:multiLevelType w:val="hybridMultilevel"/>
    <w:tmpl w:val="CD04A6B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F71130A"/>
    <w:multiLevelType w:val="hybridMultilevel"/>
    <w:tmpl w:val="A4A60806"/>
    <w:lvl w:ilvl="0" w:tplc="A4ACF834">
      <w:start w:val="1"/>
      <w:numFmt w:val="japaneseCounting"/>
      <w:lvlText w:val="%1、"/>
      <w:lvlJc w:val="left"/>
      <w:pPr>
        <w:tabs>
          <w:tab w:val="num" w:pos="720"/>
        </w:tabs>
        <w:ind w:left="720" w:hanging="720"/>
      </w:pPr>
      <w:rPr>
        <w:rFonts w:ascii="宋体" w:hAnsi="Arial" w:cs="Arial"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2491DD2"/>
    <w:multiLevelType w:val="hybridMultilevel"/>
    <w:tmpl w:val="4D3C63B2"/>
    <w:lvl w:ilvl="0" w:tplc="AD2600FE">
      <w:start w:val="1"/>
      <w:numFmt w:val="japaneseCounting"/>
      <w:lvlText w:val="%1、"/>
      <w:lvlJc w:val="left"/>
      <w:pPr>
        <w:tabs>
          <w:tab w:val="num" w:pos="1320"/>
        </w:tabs>
        <w:ind w:left="1320" w:hanging="720"/>
      </w:pPr>
      <w:rPr>
        <w:rFonts w:hint="default"/>
      </w:rPr>
    </w:lvl>
    <w:lvl w:ilvl="1" w:tplc="98E2A3CE">
      <w:start w:val="2"/>
      <w:numFmt w:val="decimal"/>
      <w:lvlText w:val="%2、"/>
      <w:lvlJc w:val="left"/>
      <w:pPr>
        <w:tabs>
          <w:tab w:val="num" w:pos="1740"/>
        </w:tabs>
        <w:ind w:left="1740" w:hanging="720"/>
      </w:pPr>
      <w:rPr>
        <w:rFonts w:hint="default"/>
      </w:rPr>
    </w:lvl>
    <w:lvl w:ilvl="2" w:tplc="0B447D40">
      <w:start w:val="1"/>
      <w:numFmt w:val="decimal"/>
      <w:lvlText w:val="（%3）"/>
      <w:lvlJc w:val="left"/>
      <w:pPr>
        <w:tabs>
          <w:tab w:val="num" w:pos="2790"/>
        </w:tabs>
        <w:ind w:left="2790" w:hanging="1350"/>
      </w:pPr>
      <w:rPr>
        <w:rFonts w:hint="default"/>
      </w:r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7">
    <w:nsid w:val="158D6D7F"/>
    <w:multiLevelType w:val="hybridMultilevel"/>
    <w:tmpl w:val="0096B6D4"/>
    <w:lvl w:ilvl="0" w:tplc="EF983FD4">
      <w:start w:val="1"/>
      <w:numFmt w:val="japaneseCounting"/>
      <w:lvlText w:val="%1、"/>
      <w:lvlJc w:val="left"/>
      <w:pPr>
        <w:tabs>
          <w:tab w:val="num" w:pos="1360"/>
        </w:tabs>
        <w:ind w:left="1360" w:hanging="720"/>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8">
    <w:nsid w:val="161E2CF4"/>
    <w:multiLevelType w:val="hybridMultilevel"/>
    <w:tmpl w:val="B080BE98"/>
    <w:lvl w:ilvl="0" w:tplc="58FC17DC">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9">
    <w:nsid w:val="17874082"/>
    <w:multiLevelType w:val="hybridMultilevel"/>
    <w:tmpl w:val="CB04CDCE"/>
    <w:lvl w:ilvl="0" w:tplc="11CE48E8">
      <w:start w:val="1"/>
      <w:numFmt w:val="japaneseCounting"/>
      <w:lvlText w:val="%1、"/>
      <w:lvlJc w:val="left"/>
      <w:pPr>
        <w:tabs>
          <w:tab w:val="num" w:pos="720"/>
        </w:tabs>
        <w:ind w:left="720" w:hanging="720"/>
      </w:pPr>
      <w:rPr>
        <w:rFonts w:hint="default"/>
      </w:rPr>
    </w:lvl>
    <w:lvl w:ilvl="1" w:tplc="0250070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316CEF"/>
    <w:multiLevelType w:val="hybridMultilevel"/>
    <w:tmpl w:val="A84E4F6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6CF07E8"/>
    <w:multiLevelType w:val="hybridMultilevel"/>
    <w:tmpl w:val="D10C32CE"/>
    <w:lvl w:ilvl="0" w:tplc="B5C83FFA">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2">
    <w:nsid w:val="297D562E"/>
    <w:multiLevelType w:val="hybridMultilevel"/>
    <w:tmpl w:val="006ED382"/>
    <w:lvl w:ilvl="0" w:tplc="FA7E5074">
      <w:start w:val="2"/>
      <w:numFmt w:val="decimal"/>
      <w:lvlText w:val="%1、"/>
      <w:lvlJc w:val="left"/>
      <w:pPr>
        <w:tabs>
          <w:tab w:val="num" w:pos="720"/>
        </w:tabs>
        <w:ind w:left="720" w:hanging="720"/>
      </w:pPr>
      <w:rPr>
        <w:rFonts w:ascii="仿宋_GB2312" w:eastAsia="仿宋_GB2312"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AD97C14"/>
    <w:multiLevelType w:val="hybridMultilevel"/>
    <w:tmpl w:val="A6DCB3D0"/>
    <w:lvl w:ilvl="0" w:tplc="608EA036">
      <w:start w:val="1"/>
      <w:numFmt w:val="decimal"/>
      <w:lvlText w:val="%1、"/>
      <w:lvlJc w:val="left"/>
      <w:pPr>
        <w:tabs>
          <w:tab w:val="num" w:pos="1360"/>
        </w:tabs>
        <w:ind w:left="1360" w:hanging="720"/>
      </w:pPr>
      <w:rPr>
        <w:rFonts w:ascii="楷体_GB2312" w:eastAsia="楷体_GB2312" w:hint="default"/>
        <w:b/>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4">
    <w:nsid w:val="3909599E"/>
    <w:multiLevelType w:val="hybridMultilevel"/>
    <w:tmpl w:val="83EC6572"/>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3A260C8E"/>
    <w:multiLevelType w:val="hybridMultilevel"/>
    <w:tmpl w:val="E24E619E"/>
    <w:lvl w:ilvl="0" w:tplc="F45ACEE0">
      <w:start w:val="2"/>
      <w:numFmt w:val="decimal"/>
      <w:lvlText w:val="%1、"/>
      <w:lvlJc w:val="left"/>
      <w:pPr>
        <w:tabs>
          <w:tab w:val="num" w:pos="1365"/>
        </w:tabs>
        <w:ind w:left="1365" w:hanging="720"/>
      </w:pPr>
      <w:rPr>
        <w:rFonts w:ascii="仿宋_GB2312" w:eastAsia="仿宋_GB2312"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6">
    <w:nsid w:val="3C110D77"/>
    <w:multiLevelType w:val="hybridMultilevel"/>
    <w:tmpl w:val="1E367AD6"/>
    <w:lvl w:ilvl="0" w:tplc="44FE127A">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17">
    <w:nsid w:val="438929EB"/>
    <w:multiLevelType w:val="hybridMultilevel"/>
    <w:tmpl w:val="CEC85C5C"/>
    <w:lvl w:ilvl="0" w:tplc="FFFFFFFF">
      <w:start w:val="8"/>
      <w:numFmt w:val="japaneseCounting"/>
      <w:lvlText w:val="第%1条"/>
      <w:lvlJc w:val="left"/>
      <w:pPr>
        <w:tabs>
          <w:tab w:val="num" w:pos="2550"/>
        </w:tabs>
        <w:ind w:left="2550" w:hanging="1920"/>
      </w:pPr>
      <w:rPr>
        <w:rFonts w:hint="eastAsia"/>
        <w:b/>
      </w:rPr>
    </w:lvl>
    <w:lvl w:ilvl="1" w:tplc="FFFFFFFF" w:tentative="1">
      <w:start w:val="1"/>
      <w:numFmt w:val="lowerLetter"/>
      <w:lvlText w:val="%2)"/>
      <w:lvlJc w:val="left"/>
      <w:pPr>
        <w:tabs>
          <w:tab w:val="num" w:pos="1470"/>
        </w:tabs>
        <w:ind w:left="1470" w:hanging="420"/>
      </w:pPr>
    </w:lvl>
    <w:lvl w:ilvl="2" w:tplc="FFFFFFFF" w:tentative="1">
      <w:start w:val="1"/>
      <w:numFmt w:val="lowerRoman"/>
      <w:lvlText w:val="%3."/>
      <w:lvlJc w:val="right"/>
      <w:pPr>
        <w:tabs>
          <w:tab w:val="num" w:pos="1890"/>
        </w:tabs>
        <w:ind w:left="1890" w:hanging="420"/>
      </w:pPr>
    </w:lvl>
    <w:lvl w:ilvl="3" w:tplc="FFFFFFFF" w:tentative="1">
      <w:start w:val="1"/>
      <w:numFmt w:val="decimal"/>
      <w:lvlText w:val="%4."/>
      <w:lvlJc w:val="left"/>
      <w:pPr>
        <w:tabs>
          <w:tab w:val="num" w:pos="2310"/>
        </w:tabs>
        <w:ind w:left="2310" w:hanging="420"/>
      </w:pPr>
    </w:lvl>
    <w:lvl w:ilvl="4" w:tplc="FFFFFFFF" w:tentative="1">
      <w:start w:val="1"/>
      <w:numFmt w:val="lowerLetter"/>
      <w:lvlText w:val="%5)"/>
      <w:lvlJc w:val="left"/>
      <w:pPr>
        <w:tabs>
          <w:tab w:val="num" w:pos="2730"/>
        </w:tabs>
        <w:ind w:left="2730" w:hanging="420"/>
      </w:pPr>
    </w:lvl>
    <w:lvl w:ilvl="5" w:tplc="FFFFFFFF" w:tentative="1">
      <w:start w:val="1"/>
      <w:numFmt w:val="lowerRoman"/>
      <w:lvlText w:val="%6."/>
      <w:lvlJc w:val="right"/>
      <w:pPr>
        <w:tabs>
          <w:tab w:val="num" w:pos="3150"/>
        </w:tabs>
        <w:ind w:left="3150" w:hanging="420"/>
      </w:pPr>
    </w:lvl>
    <w:lvl w:ilvl="6" w:tplc="FFFFFFFF" w:tentative="1">
      <w:start w:val="1"/>
      <w:numFmt w:val="decimal"/>
      <w:lvlText w:val="%7."/>
      <w:lvlJc w:val="left"/>
      <w:pPr>
        <w:tabs>
          <w:tab w:val="num" w:pos="3570"/>
        </w:tabs>
        <w:ind w:left="3570" w:hanging="420"/>
      </w:pPr>
    </w:lvl>
    <w:lvl w:ilvl="7" w:tplc="FFFFFFFF" w:tentative="1">
      <w:start w:val="1"/>
      <w:numFmt w:val="lowerLetter"/>
      <w:lvlText w:val="%8)"/>
      <w:lvlJc w:val="left"/>
      <w:pPr>
        <w:tabs>
          <w:tab w:val="num" w:pos="3990"/>
        </w:tabs>
        <w:ind w:left="3990" w:hanging="420"/>
      </w:pPr>
    </w:lvl>
    <w:lvl w:ilvl="8" w:tplc="FFFFFFFF" w:tentative="1">
      <w:start w:val="1"/>
      <w:numFmt w:val="lowerRoman"/>
      <w:lvlText w:val="%9."/>
      <w:lvlJc w:val="right"/>
      <w:pPr>
        <w:tabs>
          <w:tab w:val="num" w:pos="4410"/>
        </w:tabs>
        <w:ind w:left="4410" w:hanging="420"/>
      </w:pPr>
    </w:lvl>
  </w:abstractNum>
  <w:abstractNum w:abstractNumId="18">
    <w:nsid w:val="50C67BAD"/>
    <w:multiLevelType w:val="hybridMultilevel"/>
    <w:tmpl w:val="E64A5026"/>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527231C0"/>
    <w:multiLevelType w:val="hybridMultilevel"/>
    <w:tmpl w:val="898AFB2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548705BA"/>
    <w:multiLevelType w:val="hybridMultilevel"/>
    <w:tmpl w:val="9DEE5B0A"/>
    <w:lvl w:ilvl="0" w:tplc="FFFFFFFF">
      <w:start w:val="1"/>
      <w:numFmt w:val="japaneseCounting"/>
      <w:pStyle w:val="CharCharCharChar"/>
      <w:lvlText w:val="（%1）"/>
      <w:lvlJc w:val="left"/>
      <w:pPr>
        <w:tabs>
          <w:tab w:val="num" w:pos="1707"/>
        </w:tabs>
        <w:ind w:left="1707" w:hanging="1080"/>
      </w:pPr>
      <w:rPr>
        <w:rFonts w:hint="eastAsia"/>
      </w:rPr>
    </w:lvl>
    <w:lvl w:ilvl="1" w:tplc="FFFFFFFF" w:tentative="1">
      <w:start w:val="1"/>
      <w:numFmt w:val="lowerLetter"/>
      <w:lvlText w:val="%2)"/>
      <w:lvlJc w:val="left"/>
      <w:pPr>
        <w:tabs>
          <w:tab w:val="num" w:pos="1467"/>
        </w:tabs>
        <w:ind w:left="1467" w:hanging="420"/>
      </w:pPr>
    </w:lvl>
    <w:lvl w:ilvl="2" w:tplc="FFFFFFFF" w:tentative="1">
      <w:start w:val="1"/>
      <w:numFmt w:val="lowerRoman"/>
      <w:lvlText w:val="%3."/>
      <w:lvlJc w:val="right"/>
      <w:pPr>
        <w:tabs>
          <w:tab w:val="num" w:pos="1887"/>
        </w:tabs>
        <w:ind w:left="1887" w:hanging="420"/>
      </w:pPr>
    </w:lvl>
    <w:lvl w:ilvl="3" w:tplc="FFFFFFFF" w:tentative="1">
      <w:start w:val="1"/>
      <w:numFmt w:val="decimal"/>
      <w:lvlText w:val="%4."/>
      <w:lvlJc w:val="left"/>
      <w:pPr>
        <w:tabs>
          <w:tab w:val="num" w:pos="2307"/>
        </w:tabs>
        <w:ind w:left="2307" w:hanging="420"/>
      </w:pPr>
    </w:lvl>
    <w:lvl w:ilvl="4" w:tplc="FFFFFFFF" w:tentative="1">
      <w:start w:val="1"/>
      <w:numFmt w:val="lowerLetter"/>
      <w:lvlText w:val="%5)"/>
      <w:lvlJc w:val="left"/>
      <w:pPr>
        <w:tabs>
          <w:tab w:val="num" w:pos="2727"/>
        </w:tabs>
        <w:ind w:left="2727" w:hanging="420"/>
      </w:pPr>
    </w:lvl>
    <w:lvl w:ilvl="5" w:tplc="FFFFFFFF" w:tentative="1">
      <w:start w:val="1"/>
      <w:numFmt w:val="lowerRoman"/>
      <w:lvlText w:val="%6."/>
      <w:lvlJc w:val="right"/>
      <w:pPr>
        <w:tabs>
          <w:tab w:val="num" w:pos="3147"/>
        </w:tabs>
        <w:ind w:left="3147" w:hanging="420"/>
      </w:pPr>
    </w:lvl>
    <w:lvl w:ilvl="6" w:tplc="FFFFFFFF" w:tentative="1">
      <w:start w:val="1"/>
      <w:numFmt w:val="decimal"/>
      <w:lvlText w:val="%7."/>
      <w:lvlJc w:val="left"/>
      <w:pPr>
        <w:tabs>
          <w:tab w:val="num" w:pos="3567"/>
        </w:tabs>
        <w:ind w:left="3567" w:hanging="420"/>
      </w:pPr>
    </w:lvl>
    <w:lvl w:ilvl="7" w:tplc="FFFFFFFF" w:tentative="1">
      <w:start w:val="1"/>
      <w:numFmt w:val="lowerLetter"/>
      <w:lvlText w:val="%8)"/>
      <w:lvlJc w:val="left"/>
      <w:pPr>
        <w:tabs>
          <w:tab w:val="num" w:pos="3987"/>
        </w:tabs>
        <w:ind w:left="3987" w:hanging="420"/>
      </w:pPr>
    </w:lvl>
    <w:lvl w:ilvl="8" w:tplc="FFFFFFFF" w:tentative="1">
      <w:start w:val="1"/>
      <w:numFmt w:val="lowerRoman"/>
      <w:lvlText w:val="%9."/>
      <w:lvlJc w:val="right"/>
      <w:pPr>
        <w:tabs>
          <w:tab w:val="num" w:pos="4407"/>
        </w:tabs>
        <w:ind w:left="4407" w:hanging="420"/>
      </w:pPr>
    </w:lvl>
  </w:abstractNum>
  <w:abstractNum w:abstractNumId="21">
    <w:nsid w:val="58A14E29"/>
    <w:multiLevelType w:val="hybridMultilevel"/>
    <w:tmpl w:val="90FED42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5D3E5E21"/>
    <w:multiLevelType w:val="hybridMultilevel"/>
    <w:tmpl w:val="C308BAD0"/>
    <w:lvl w:ilvl="0" w:tplc="0B4CDBB2">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3">
    <w:nsid w:val="6BF14DC2"/>
    <w:multiLevelType w:val="hybridMultilevel"/>
    <w:tmpl w:val="980C880C"/>
    <w:lvl w:ilvl="0" w:tplc="237E25EE">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4">
    <w:nsid w:val="6E2B4329"/>
    <w:multiLevelType w:val="hybridMultilevel"/>
    <w:tmpl w:val="329E6794"/>
    <w:lvl w:ilvl="0" w:tplc="761EEFE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22D6DAA"/>
    <w:multiLevelType w:val="hybridMultilevel"/>
    <w:tmpl w:val="C24EAEB0"/>
    <w:lvl w:ilvl="0" w:tplc="6A64180C">
      <w:start w:val="2"/>
      <w:numFmt w:val="decimal"/>
      <w:lvlText w:val="%1、"/>
      <w:lvlJc w:val="left"/>
      <w:pPr>
        <w:tabs>
          <w:tab w:val="num" w:pos="1470"/>
        </w:tabs>
        <w:ind w:left="1470" w:hanging="720"/>
      </w:pPr>
      <w:rPr>
        <w:rFonts w:ascii="仿宋_GB2312" w:eastAsia="仿宋_GB2312" w:hint="default"/>
      </w:r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6">
    <w:nsid w:val="765A1F94"/>
    <w:multiLevelType w:val="hybridMultilevel"/>
    <w:tmpl w:val="69D47C9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B4B47E5"/>
    <w:multiLevelType w:val="hybridMultilevel"/>
    <w:tmpl w:val="AB4E624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CE243E7"/>
    <w:multiLevelType w:val="hybridMultilevel"/>
    <w:tmpl w:val="6A0E0F1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F5B1979"/>
    <w:multiLevelType w:val="hybridMultilevel"/>
    <w:tmpl w:val="C72A3B2E"/>
    <w:lvl w:ilvl="0" w:tplc="5ECC3796">
      <w:start w:val="1"/>
      <w:numFmt w:val="decimal"/>
      <w:lvlText w:val="%1、"/>
      <w:lvlJc w:val="left"/>
      <w:pPr>
        <w:tabs>
          <w:tab w:val="num" w:pos="1843"/>
        </w:tabs>
        <w:ind w:left="1843" w:hanging="1155"/>
      </w:pPr>
      <w:rPr>
        <w:rFonts w:hint="eastAsia"/>
      </w:rPr>
    </w:lvl>
    <w:lvl w:ilvl="1" w:tplc="04090019" w:tentative="1">
      <w:start w:val="1"/>
      <w:numFmt w:val="lowerLetter"/>
      <w:lvlText w:val="%2)"/>
      <w:lvlJc w:val="left"/>
      <w:pPr>
        <w:tabs>
          <w:tab w:val="num" w:pos="1528"/>
        </w:tabs>
        <w:ind w:left="1528" w:hanging="420"/>
      </w:pPr>
    </w:lvl>
    <w:lvl w:ilvl="2" w:tplc="0409001B" w:tentative="1">
      <w:start w:val="1"/>
      <w:numFmt w:val="lowerRoman"/>
      <w:lvlText w:val="%3."/>
      <w:lvlJc w:val="right"/>
      <w:pPr>
        <w:tabs>
          <w:tab w:val="num" w:pos="1948"/>
        </w:tabs>
        <w:ind w:left="1948" w:hanging="420"/>
      </w:pPr>
    </w:lvl>
    <w:lvl w:ilvl="3" w:tplc="0409000F" w:tentative="1">
      <w:start w:val="1"/>
      <w:numFmt w:val="decimal"/>
      <w:lvlText w:val="%4."/>
      <w:lvlJc w:val="left"/>
      <w:pPr>
        <w:tabs>
          <w:tab w:val="num" w:pos="2368"/>
        </w:tabs>
        <w:ind w:left="2368" w:hanging="420"/>
      </w:pPr>
    </w:lvl>
    <w:lvl w:ilvl="4" w:tplc="04090019" w:tentative="1">
      <w:start w:val="1"/>
      <w:numFmt w:val="lowerLetter"/>
      <w:lvlText w:val="%5)"/>
      <w:lvlJc w:val="left"/>
      <w:pPr>
        <w:tabs>
          <w:tab w:val="num" w:pos="2788"/>
        </w:tabs>
        <w:ind w:left="2788" w:hanging="420"/>
      </w:pPr>
    </w:lvl>
    <w:lvl w:ilvl="5" w:tplc="0409001B" w:tentative="1">
      <w:start w:val="1"/>
      <w:numFmt w:val="lowerRoman"/>
      <w:lvlText w:val="%6."/>
      <w:lvlJc w:val="right"/>
      <w:pPr>
        <w:tabs>
          <w:tab w:val="num" w:pos="3208"/>
        </w:tabs>
        <w:ind w:left="3208" w:hanging="420"/>
      </w:pPr>
    </w:lvl>
    <w:lvl w:ilvl="6" w:tplc="0409000F" w:tentative="1">
      <w:start w:val="1"/>
      <w:numFmt w:val="decimal"/>
      <w:lvlText w:val="%7."/>
      <w:lvlJc w:val="left"/>
      <w:pPr>
        <w:tabs>
          <w:tab w:val="num" w:pos="3628"/>
        </w:tabs>
        <w:ind w:left="3628" w:hanging="420"/>
      </w:pPr>
    </w:lvl>
    <w:lvl w:ilvl="7" w:tplc="04090019" w:tentative="1">
      <w:start w:val="1"/>
      <w:numFmt w:val="lowerLetter"/>
      <w:lvlText w:val="%8)"/>
      <w:lvlJc w:val="left"/>
      <w:pPr>
        <w:tabs>
          <w:tab w:val="num" w:pos="4048"/>
        </w:tabs>
        <w:ind w:left="4048" w:hanging="420"/>
      </w:pPr>
    </w:lvl>
    <w:lvl w:ilvl="8" w:tplc="0409001B" w:tentative="1">
      <w:start w:val="1"/>
      <w:numFmt w:val="lowerRoman"/>
      <w:lvlText w:val="%9."/>
      <w:lvlJc w:val="right"/>
      <w:pPr>
        <w:tabs>
          <w:tab w:val="num" w:pos="4468"/>
        </w:tabs>
        <w:ind w:left="4468" w:hanging="420"/>
      </w:pPr>
    </w:lvl>
  </w:abstractNum>
  <w:num w:numId="1">
    <w:abstractNumId w:val="20"/>
  </w:num>
  <w:num w:numId="2">
    <w:abstractNumId w:val="17"/>
  </w:num>
  <w:num w:numId="3">
    <w:abstractNumId w:val="29"/>
  </w:num>
  <w:num w:numId="4">
    <w:abstractNumId w:val="2"/>
  </w:num>
  <w:num w:numId="5">
    <w:abstractNumId w:val="14"/>
  </w:num>
  <w:num w:numId="6">
    <w:abstractNumId w:val="10"/>
  </w:num>
  <w:num w:numId="7">
    <w:abstractNumId w:val="28"/>
  </w:num>
  <w:num w:numId="8">
    <w:abstractNumId w:val="21"/>
  </w:num>
  <w:num w:numId="9">
    <w:abstractNumId w:val="18"/>
  </w:num>
  <w:num w:numId="10">
    <w:abstractNumId w:val="26"/>
  </w:num>
  <w:num w:numId="11">
    <w:abstractNumId w:val="27"/>
  </w:num>
  <w:num w:numId="12">
    <w:abstractNumId w:val="19"/>
  </w:num>
  <w:num w:numId="13">
    <w:abstractNumId w:val="4"/>
  </w:num>
  <w:num w:numId="14">
    <w:abstractNumId w:val="22"/>
  </w:num>
  <w:num w:numId="15">
    <w:abstractNumId w:val="11"/>
  </w:num>
  <w:num w:numId="16">
    <w:abstractNumId w:val="8"/>
  </w:num>
  <w:num w:numId="17">
    <w:abstractNumId w:val="5"/>
  </w:num>
  <w:num w:numId="18">
    <w:abstractNumId w:val="16"/>
  </w:num>
  <w:num w:numId="19">
    <w:abstractNumId w:val="1"/>
  </w:num>
  <w:num w:numId="20">
    <w:abstractNumId w:val="15"/>
  </w:num>
  <w:num w:numId="21">
    <w:abstractNumId w:val="12"/>
  </w:num>
  <w:num w:numId="22">
    <w:abstractNumId w:val="25"/>
  </w:num>
  <w:num w:numId="23">
    <w:abstractNumId w:val="24"/>
  </w:num>
  <w:num w:numId="24">
    <w:abstractNumId w:val="3"/>
  </w:num>
  <w:num w:numId="25">
    <w:abstractNumId w:val="13"/>
  </w:num>
  <w:num w:numId="26">
    <w:abstractNumId w:val="6"/>
  </w:num>
  <w:num w:numId="27">
    <w:abstractNumId w:val="9"/>
  </w:num>
  <w:num w:numId="28">
    <w:abstractNumId w:val="0"/>
  </w:num>
  <w:num w:numId="29">
    <w:abstractNumId w:val="2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proofState w:spelling="clean" w:grammar="clean"/>
  <w:attachedTemplate r:id="rId1"/>
  <w:defaultTabStop w:val="420"/>
  <w:evenAndOddHeaders/>
  <w:drawingGridHorizontalSpacing w:val="158"/>
  <w:drawingGridVerticalSpacing w:val="29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156"/>
    <w:rsid w:val="000011EB"/>
    <w:rsid w:val="00004058"/>
    <w:rsid w:val="000043A3"/>
    <w:rsid w:val="00010BCB"/>
    <w:rsid w:val="00011BD7"/>
    <w:rsid w:val="0007710A"/>
    <w:rsid w:val="00077BA6"/>
    <w:rsid w:val="00092DBD"/>
    <w:rsid w:val="00094AB6"/>
    <w:rsid w:val="000A551C"/>
    <w:rsid w:val="000B0BA9"/>
    <w:rsid w:val="000B3FB9"/>
    <w:rsid w:val="000B5C8D"/>
    <w:rsid w:val="000B756E"/>
    <w:rsid w:val="000C31BC"/>
    <w:rsid w:val="000D0B49"/>
    <w:rsid w:val="000E150B"/>
    <w:rsid w:val="000E362A"/>
    <w:rsid w:val="00104C6F"/>
    <w:rsid w:val="00106156"/>
    <w:rsid w:val="001151A4"/>
    <w:rsid w:val="00117346"/>
    <w:rsid w:val="00117539"/>
    <w:rsid w:val="001279A8"/>
    <w:rsid w:val="0015474D"/>
    <w:rsid w:val="001649D8"/>
    <w:rsid w:val="001671E5"/>
    <w:rsid w:val="00171838"/>
    <w:rsid w:val="00177DED"/>
    <w:rsid w:val="001851DF"/>
    <w:rsid w:val="00185A6C"/>
    <w:rsid w:val="00193FB2"/>
    <w:rsid w:val="001A447F"/>
    <w:rsid w:val="001B11DF"/>
    <w:rsid w:val="001B72B9"/>
    <w:rsid w:val="001D307E"/>
    <w:rsid w:val="001D3A09"/>
    <w:rsid w:val="001E1E9A"/>
    <w:rsid w:val="00200649"/>
    <w:rsid w:val="00201C66"/>
    <w:rsid w:val="00250057"/>
    <w:rsid w:val="0025247C"/>
    <w:rsid w:val="00256EA2"/>
    <w:rsid w:val="002663BF"/>
    <w:rsid w:val="00293F64"/>
    <w:rsid w:val="002A5224"/>
    <w:rsid w:val="002B1523"/>
    <w:rsid w:val="002B6B7D"/>
    <w:rsid w:val="002C5D4A"/>
    <w:rsid w:val="002E547F"/>
    <w:rsid w:val="003037D6"/>
    <w:rsid w:val="0030655D"/>
    <w:rsid w:val="00330727"/>
    <w:rsid w:val="00330E10"/>
    <w:rsid w:val="003353D4"/>
    <w:rsid w:val="003465D2"/>
    <w:rsid w:val="003531D0"/>
    <w:rsid w:val="0035391D"/>
    <w:rsid w:val="00357934"/>
    <w:rsid w:val="0036428B"/>
    <w:rsid w:val="0037035F"/>
    <w:rsid w:val="00376849"/>
    <w:rsid w:val="00396EE3"/>
    <w:rsid w:val="003A1F1C"/>
    <w:rsid w:val="003A6744"/>
    <w:rsid w:val="003B5CB5"/>
    <w:rsid w:val="003E69FE"/>
    <w:rsid w:val="003F467B"/>
    <w:rsid w:val="00412C22"/>
    <w:rsid w:val="00417C7F"/>
    <w:rsid w:val="0042038A"/>
    <w:rsid w:val="0045754D"/>
    <w:rsid w:val="004642BD"/>
    <w:rsid w:val="00464303"/>
    <w:rsid w:val="0047105E"/>
    <w:rsid w:val="0048374C"/>
    <w:rsid w:val="0049263A"/>
    <w:rsid w:val="00497F5A"/>
    <w:rsid w:val="004A042A"/>
    <w:rsid w:val="004B05B9"/>
    <w:rsid w:val="004B06ED"/>
    <w:rsid w:val="004B1B57"/>
    <w:rsid w:val="004B3DAF"/>
    <w:rsid w:val="004C0122"/>
    <w:rsid w:val="004D0945"/>
    <w:rsid w:val="004D3088"/>
    <w:rsid w:val="004E1506"/>
    <w:rsid w:val="004F27C9"/>
    <w:rsid w:val="004F3A9F"/>
    <w:rsid w:val="00500619"/>
    <w:rsid w:val="00502E28"/>
    <w:rsid w:val="0050326D"/>
    <w:rsid w:val="00521CF2"/>
    <w:rsid w:val="00554E1F"/>
    <w:rsid w:val="00555439"/>
    <w:rsid w:val="005574A1"/>
    <w:rsid w:val="00586F5E"/>
    <w:rsid w:val="005877BE"/>
    <w:rsid w:val="00592B35"/>
    <w:rsid w:val="00593B3A"/>
    <w:rsid w:val="00597563"/>
    <w:rsid w:val="005C63E4"/>
    <w:rsid w:val="005D0C3C"/>
    <w:rsid w:val="005D27D3"/>
    <w:rsid w:val="005E2F40"/>
    <w:rsid w:val="00624858"/>
    <w:rsid w:val="00641647"/>
    <w:rsid w:val="00646F92"/>
    <w:rsid w:val="00650663"/>
    <w:rsid w:val="006527D3"/>
    <w:rsid w:val="0065433A"/>
    <w:rsid w:val="00656CE8"/>
    <w:rsid w:val="00657EB0"/>
    <w:rsid w:val="00663751"/>
    <w:rsid w:val="00665F3E"/>
    <w:rsid w:val="00680B41"/>
    <w:rsid w:val="0068332A"/>
    <w:rsid w:val="006A3A31"/>
    <w:rsid w:val="006D05E4"/>
    <w:rsid w:val="006D1B9A"/>
    <w:rsid w:val="006D783B"/>
    <w:rsid w:val="006E536F"/>
    <w:rsid w:val="00720551"/>
    <w:rsid w:val="00725292"/>
    <w:rsid w:val="00726445"/>
    <w:rsid w:val="00731968"/>
    <w:rsid w:val="0073568F"/>
    <w:rsid w:val="00761204"/>
    <w:rsid w:val="007757BC"/>
    <w:rsid w:val="00783836"/>
    <w:rsid w:val="00784ADD"/>
    <w:rsid w:val="007867DD"/>
    <w:rsid w:val="00795F68"/>
    <w:rsid w:val="007B2127"/>
    <w:rsid w:val="007B41E5"/>
    <w:rsid w:val="007D43D7"/>
    <w:rsid w:val="007D6CEA"/>
    <w:rsid w:val="007E1275"/>
    <w:rsid w:val="007E54C0"/>
    <w:rsid w:val="007E6112"/>
    <w:rsid w:val="007F2A93"/>
    <w:rsid w:val="00806074"/>
    <w:rsid w:val="008119AF"/>
    <w:rsid w:val="00815443"/>
    <w:rsid w:val="0082384A"/>
    <w:rsid w:val="00835B83"/>
    <w:rsid w:val="00855BB7"/>
    <w:rsid w:val="008676C9"/>
    <w:rsid w:val="00873A72"/>
    <w:rsid w:val="008A648D"/>
    <w:rsid w:val="008D3F64"/>
    <w:rsid w:val="008E4578"/>
    <w:rsid w:val="008E790D"/>
    <w:rsid w:val="008F1A8A"/>
    <w:rsid w:val="00910F69"/>
    <w:rsid w:val="00927CE7"/>
    <w:rsid w:val="009343F0"/>
    <w:rsid w:val="00946AB7"/>
    <w:rsid w:val="009544FD"/>
    <w:rsid w:val="00963CF0"/>
    <w:rsid w:val="009860ED"/>
    <w:rsid w:val="00990745"/>
    <w:rsid w:val="00996ACB"/>
    <w:rsid w:val="009A12FE"/>
    <w:rsid w:val="009A4006"/>
    <w:rsid w:val="009A7AE1"/>
    <w:rsid w:val="009B3336"/>
    <w:rsid w:val="009C13B5"/>
    <w:rsid w:val="009C3117"/>
    <w:rsid w:val="009C4AB4"/>
    <w:rsid w:val="009F1085"/>
    <w:rsid w:val="009F49B3"/>
    <w:rsid w:val="00A06498"/>
    <w:rsid w:val="00A2118F"/>
    <w:rsid w:val="00A2228C"/>
    <w:rsid w:val="00A3545F"/>
    <w:rsid w:val="00A42D5E"/>
    <w:rsid w:val="00A56AA0"/>
    <w:rsid w:val="00A619E3"/>
    <w:rsid w:val="00A64A26"/>
    <w:rsid w:val="00A66763"/>
    <w:rsid w:val="00A83409"/>
    <w:rsid w:val="00A84695"/>
    <w:rsid w:val="00A94790"/>
    <w:rsid w:val="00AA4ECC"/>
    <w:rsid w:val="00AB141C"/>
    <w:rsid w:val="00AB439C"/>
    <w:rsid w:val="00AB4D6F"/>
    <w:rsid w:val="00AB7B57"/>
    <w:rsid w:val="00AC2516"/>
    <w:rsid w:val="00AC2BA9"/>
    <w:rsid w:val="00AE2491"/>
    <w:rsid w:val="00AE42A9"/>
    <w:rsid w:val="00B02548"/>
    <w:rsid w:val="00B076B8"/>
    <w:rsid w:val="00B1546A"/>
    <w:rsid w:val="00B171E0"/>
    <w:rsid w:val="00B21DF0"/>
    <w:rsid w:val="00B37125"/>
    <w:rsid w:val="00B41AB5"/>
    <w:rsid w:val="00B41E2F"/>
    <w:rsid w:val="00B41EE6"/>
    <w:rsid w:val="00B5216C"/>
    <w:rsid w:val="00B87BD0"/>
    <w:rsid w:val="00B963B3"/>
    <w:rsid w:val="00BB4307"/>
    <w:rsid w:val="00BB471B"/>
    <w:rsid w:val="00BF0878"/>
    <w:rsid w:val="00C010B0"/>
    <w:rsid w:val="00C21997"/>
    <w:rsid w:val="00C25B30"/>
    <w:rsid w:val="00C276C5"/>
    <w:rsid w:val="00C27F53"/>
    <w:rsid w:val="00C334E9"/>
    <w:rsid w:val="00C428FC"/>
    <w:rsid w:val="00C50EE0"/>
    <w:rsid w:val="00C53D10"/>
    <w:rsid w:val="00C56E7B"/>
    <w:rsid w:val="00C60702"/>
    <w:rsid w:val="00C864ED"/>
    <w:rsid w:val="00C96C5E"/>
    <w:rsid w:val="00CA4178"/>
    <w:rsid w:val="00CA48EA"/>
    <w:rsid w:val="00CA5EDA"/>
    <w:rsid w:val="00CB0360"/>
    <w:rsid w:val="00CB113F"/>
    <w:rsid w:val="00CC2BA8"/>
    <w:rsid w:val="00CC2F65"/>
    <w:rsid w:val="00CC4F47"/>
    <w:rsid w:val="00CC5C33"/>
    <w:rsid w:val="00CF4F1D"/>
    <w:rsid w:val="00D11FCE"/>
    <w:rsid w:val="00D15871"/>
    <w:rsid w:val="00D167E1"/>
    <w:rsid w:val="00D16B0F"/>
    <w:rsid w:val="00D21BB9"/>
    <w:rsid w:val="00D30E41"/>
    <w:rsid w:val="00D42322"/>
    <w:rsid w:val="00D45125"/>
    <w:rsid w:val="00D504F3"/>
    <w:rsid w:val="00D51B84"/>
    <w:rsid w:val="00D6388F"/>
    <w:rsid w:val="00D82355"/>
    <w:rsid w:val="00DA3A80"/>
    <w:rsid w:val="00DD0655"/>
    <w:rsid w:val="00DD5DA6"/>
    <w:rsid w:val="00DE0DCA"/>
    <w:rsid w:val="00DE3428"/>
    <w:rsid w:val="00DE3ECF"/>
    <w:rsid w:val="00E12448"/>
    <w:rsid w:val="00E16B61"/>
    <w:rsid w:val="00E22258"/>
    <w:rsid w:val="00E2792F"/>
    <w:rsid w:val="00E30BDA"/>
    <w:rsid w:val="00E44EC2"/>
    <w:rsid w:val="00E47684"/>
    <w:rsid w:val="00E5194D"/>
    <w:rsid w:val="00E6136C"/>
    <w:rsid w:val="00E8265A"/>
    <w:rsid w:val="00E86047"/>
    <w:rsid w:val="00E9418F"/>
    <w:rsid w:val="00E96769"/>
    <w:rsid w:val="00EB0897"/>
    <w:rsid w:val="00EB25AA"/>
    <w:rsid w:val="00EB3EEE"/>
    <w:rsid w:val="00ED0C2A"/>
    <w:rsid w:val="00ED4CE6"/>
    <w:rsid w:val="00F006A0"/>
    <w:rsid w:val="00F01808"/>
    <w:rsid w:val="00F04A92"/>
    <w:rsid w:val="00F3482B"/>
    <w:rsid w:val="00F36909"/>
    <w:rsid w:val="00F446CF"/>
    <w:rsid w:val="00F62BE2"/>
    <w:rsid w:val="00F63707"/>
    <w:rsid w:val="00F67A50"/>
    <w:rsid w:val="00F765E5"/>
    <w:rsid w:val="00F80252"/>
    <w:rsid w:val="00F9021A"/>
    <w:rsid w:val="00FA1C52"/>
    <w:rsid w:val="00FB3B25"/>
    <w:rsid w:val="00FB5D05"/>
    <w:rsid w:val="00FC28A0"/>
    <w:rsid w:val="00FD5971"/>
    <w:rsid w:val="00FE6084"/>
    <w:rsid w:val="00FF2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2F"/>
    <w:pPr>
      <w:widowControl w:val="0"/>
      <w:jc w:val="both"/>
    </w:pPr>
    <w:rPr>
      <w:rFonts w:ascii="仿宋_GB2312" w:eastAsia="仿宋_GB231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uiPriority w:val="59"/>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2F"/>
    <w:pPr>
      <w:widowControl w:val="0"/>
      <w:jc w:val="both"/>
    </w:pPr>
    <w:rPr>
      <w:rFonts w:ascii="仿宋_GB2312" w:eastAsia="仿宋_GB231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uiPriority w:val="59"/>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wen\AppData\Roaming\Microsoft\Templates\&#33487;&#24220;&#2115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苏府办</Template>
  <TotalTime>16</TotalTime>
  <Pages>22</Pages>
  <Words>1988</Words>
  <Characters>11332</Characters>
  <Application>Microsoft Office Word</Application>
  <DocSecurity>0</DocSecurity>
  <Lines>94</Lines>
  <Paragraphs>26</Paragraphs>
  <ScaleCrop>false</ScaleCrop>
  <Company>jgys</Company>
  <LinksUpToDate>false</LinksUpToDate>
  <CharactersWithSpaces>13294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苏府办</dc:title>
  <dc:creator>王悦</dc:creator>
  <cp:lastModifiedBy>蒋曾荣</cp:lastModifiedBy>
  <cp:revision>3</cp:revision>
  <cp:lastPrinted>2021-12-21T01:54:00Z</cp:lastPrinted>
  <dcterms:created xsi:type="dcterms:W3CDTF">2021-12-21T01:41:00Z</dcterms:created>
  <dcterms:modified xsi:type="dcterms:W3CDTF">2021-12-22T00:59:00Z</dcterms:modified>
</cp:coreProperties>
</file>