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AAE" w:rsidRPr="00622AAE" w:rsidRDefault="00622AAE" w:rsidP="00622AAE">
      <w:pPr>
        <w:rPr>
          <w:rFonts w:ascii="黑体" w:eastAsia="黑体" w:hAnsi="黑体"/>
        </w:rPr>
      </w:pPr>
      <w:r w:rsidRPr="00622AAE">
        <w:rPr>
          <w:rFonts w:ascii="黑体" w:eastAsia="黑体" w:hAnsi="黑体"/>
        </w:rPr>
        <w:t>附件</w:t>
      </w:r>
      <w:r w:rsidRPr="00622AAE">
        <w:rPr>
          <w:rFonts w:ascii="黑体" w:eastAsia="黑体" w:hAnsi="黑体" w:hint="eastAsia"/>
        </w:rPr>
        <w:t>1</w:t>
      </w:r>
    </w:p>
    <w:p w:rsidR="00622AAE" w:rsidRPr="00622AAE" w:rsidRDefault="00622AAE" w:rsidP="00622AAE">
      <w:pPr>
        <w:jc w:val="center"/>
        <w:rPr>
          <w:rFonts w:ascii="方正小标宋_GBK" w:eastAsia="方正小标宋_GBK"/>
          <w:sz w:val="44"/>
          <w:szCs w:val="44"/>
        </w:rPr>
      </w:pPr>
      <w:r w:rsidRPr="00622AAE">
        <w:rPr>
          <w:rFonts w:ascii="方正小标宋_GBK" w:eastAsia="方正小标宋_GBK" w:hint="eastAsia"/>
          <w:sz w:val="44"/>
          <w:szCs w:val="44"/>
        </w:rPr>
        <w:t>苏州市新兴服务业高质量发展主要指标</w:t>
      </w:r>
    </w:p>
    <w:tbl>
      <w:tblPr>
        <w:tblW w:w="907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598"/>
        <w:gridCol w:w="1359"/>
        <w:gridCol w:w="2972"/>
        <w:gridCol w:w="972"/>
        <w:gridCol w:w="1057"/>
        <w:gridCol w:w="1057"/>
        <w:gridCol w:w="1057"/>
      </w:tblGrid>
      <w:tr w:rsidR="006D1B15" w:rsidRPr="006D1B15" w:rsidTr="006D1B15">
        <w:trPr>
          <w:tblHeader/>
          <w:jc w:val="center"/>
        </w:trPr>
        <w:tc>
          <w:tcPr>
            <w:tcW w:w="1957" w:type="dxa"/>
            <w:gridSpan w:val="2"/>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类型</w:t>
            </w:r>
          </w:p>
        </w:tc>
        <w:tc>
          <w:tcPr>
            <w:tcW w:w="2972" w:type="dxa"/>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指标（单位）</w:t>
            </w:r>
          </w:p>
        </w:tc>
        <w:tc>
          <w:tcPr>
            <w:tcW w:w="972" w:type="dxa"/>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2022年</w:t>
            </w:r>
          </w:p>
        </w:tc>
        <w:tc>
          <w:tcPr>
            <w:tcW w:w="1057" w:type="dxa"/>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2023年</w:t>
            </w:r>
          </w:p>
        </w:tc>
        <w:tc>
          <w:tcPr>
            <w:tcW w:w="1057" w:type="dxa"/>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2024年</w:t>
            </w:r>
          </w:p>
        </w:tc>
        <w:tc>
          <w:tcPr>
            <w:tcW w:w="1057" w:type="dxa"/>
            <w:noWrap/>
            <w:vAlign w:val="center"/>
          </w:tcPr>
          <w:p w:rsidR="00622AAE" w:rsidRPr="006D1B15" w:rsidRDefault="00622AAE" w:rsidP="006D1B15">
            <w:pPr>
              <w:spacing w:line="320" w:lineRule="exact"/>
              <w:jc w:val="center"/>
              <w:rPr>
                <w:rFonts w:ascii="黑体" w:eastAsia="黑体" w:hAnsi="黑体"/>
                <w:sz w:val="21"/>
                <w:szCs w:val="21"/>
              </w:rPr>
            </w:pPr>
            <w:r w:rsidRPr="006D1B15">
              <w:rPr>
                <w:rFonts w:ascii="黑体" w:eastAsia="黑体" w:hAnsi="黑体" w:hint="eastAsia"/>
                <w:sz w:val="21"/>
                <w:szCs w:val="21"/>
              </w:rPr>
              <w:t>2025年</w:t>
            </w:r>
          </w:p>
        </w:tc>
      </w:tr>
      <w:tr w:rsidR="00622AAE" w:rsidRPr="00622AAE" w:rsidTr="006D1B15">
        <w:trPr>
          <w:jc w:val="center"/>
        </w:trPr>
        <w:tc>
          <w:tcPr>
            <w:tcW w:w="1957" w:type="dxa"/>
            <w:gridSpan w:val="2"/>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总量指标</w:t>
            </w:r>
          </w:p>
        </w:tc>
        <w:tc>
          <w:tcPr>
            <w:tcW w:w="2972" w:type="dxa"/>
            <w:noWrap/>
            <w:vAlign w:val="center"/>
          </w:tcPr>
          <w:p w:rsidR="00622AAE" w:rsidRPr="00622AAE" w:rsidRDefault="00622AAE" w:rsidP="00622AAE">
            <w:pPr>
              <w:spacing w:line="320" w:lineRule="exact"/>
              <w:rPr>
                <w:sz w:val="21"/>
                <w:szCs w:val="21"/>
              </w:rPr>
            </w:pPr>
            <w:proofErr w:type="gramStart"/>
            <w:r w:rsidRPr="00622AAE">
              <w:rPr>
                <w:rFonts w:hint="eastAsia"/>
                <w:sz w:val="21"/>
                <w:szCs w:val="21"/>
              </w:rPr>
              <w:t>规</w:t>
            </w:r>
            <w:proofErr w:type="gramEnd"/>
            <w:r w:rsidRPr="00622AAE">
              <w:rPr>
                <w:rFonts w:hint="eastAsia"/>
                <w:sz w:val="21"/>
                <w:szCs w:val="21"/>
              </w:rPr>
              <w:t>上新兴服务业重点领域营收（亿元）</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6500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7800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9000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10000</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proofErr w:type="gramStart"/>
            <w:r w:rsidRPr="00622AAE">
              <w:rPr>
                <w:rFonts w:hint="eastAsia"/>
                <w:sz w:val="21"/>
                <w:szCs w:val="21"/>
              </w:rPr>
              <w:t>规</w:t>
            </w:r>
            <w:proofErr w:type="gramEnd"/>
            <w:r w:rsidRPr="00622AAE">
              <w:rPr>
                <w:rFonts w:hint="eastAsia"/>
                <w:sz w:val="21"/>
                <w:szCs w:val="21"/>
              </w:rPr>
              <w:t>上新兴服务业营</w:t>
            </w:r>
            <w:proofErr w:type="gramStart"/>
            <w:r w:rsidRPr="00622AAE">
              <w:rPr>
                <w:rFonts w:hint="eastAsia"/>
                <w:sz w:val="21"/>
                <w:szCs w:val="21"/>
              </w:rPr>
              <w:t>收重点</w:t>
            </w:r>
            <w:proofErr w:type="gramEnd"/>
            <w:r w:rsidRPr="00622AAE">
              <w:rPr>
                <w:rFonts w:hint="eastAsia"/>
                <w:sz w:val="21"/>
                <w:szCs w:val="21"/>
              </w:rPr>
              <w:t>领域增速（%）</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10以上</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服务业增加值增速（%）</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高于GDP增速</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高于GDP增速</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高于GDP增速</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高于GDP增速</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高技术服务业投资增速（%）</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20左右</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20左右</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20左右</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20左右</w:t>
            </w:r>
          </w:p>
        </w:tc>
      </w:tr>
      <w:tr w:rsidR="006D1B15" w:rsidRPr="00622AAE" w:rsidTr="006D1B15">
        <w:trPr>
          <w:jc w:val="center"/>
        </w:trPr>
        <w:tc>
          <w:tcPr>
            <w:tcW w:w="598" w:type="dxa"/>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重点方向</w:t>
            </w: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金融服务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集聚数字金融企业（家）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700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超1000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信息服务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累计集聚数字信息领域重点企业（家）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230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270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物流服务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累计省级物流示范载体（家）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科技服务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科技服务业收入（亿元）</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2150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2300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2500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知识产权服务机构营收（亿元）</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22</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23</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24</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25</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商务中介服务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律师事务所数（家）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430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470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在苏全国百强会计师事务所数（含分所）（家）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31</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32</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34</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35</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设计服务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每年新增市级以上工业设计中心（家）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proofErr w:type="gramStart"/>
            <w:r w:rsidRPr="00622AAE">
              <w:rPr>
                <w:rFonts w:hint="eastAsia"/>
                <w:sz w:val="21"/>
                <w:szCs w:val="21"/>
              </w:rPr>
              <w:t>规</w:t>
            </w:r>
            <w:proofErr w:type="gramEnd"/>
            <w:r w:rsidRPr="00622AAE">
              <w:rPr>
                <w:rFonts w:hint="eastAsia"/>
                <w:sz w:val="21"/>
                <w:szCs w:val="21"/>
              </w:rPr>
              <w:t>上专业设计类企业营收增速（%）</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12以上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12以上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12以上</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12以上</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pStyle w:val="3"/>
              <w:spacing w:line="320" w:lineRule="exact"/>
              <w:jc w:val="center"/>
              <w:rPr>
                <w:rFonts w:ascii="仿宋_GB2312" w:eastAsia="仿宋_GB2312" w:hAnsi="Times New Roman" w:cs="Times New Roman"/>
                <w:b w:val="0"/>
                <w:bCs w:val="0"/>
              </w:rPr>
            </w:pPr>
            <w:r w:rsidRPr="00622AAE">
              <w:rPr>
                <w:rFonts w:ascii="仿宋_GB2312" w:eastAsia="仿宋_GB2312" w:hAnsi="Times New Roman" w:cs="Times New Roman" w:hint="eastAsia"/>
                <w:b w:val="0"/>
                <w:bCs w:val="0"/>
              </w:rPr>
              <w:t>人力资源服务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累计建成省级人力资源服务产业园（家）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w:t>
            </w:r>
            <w:r w:rsidR="006D1B15">
              <w:rPr>
                <w:rFonts w:hint="eastAsia"/>
                <w:sz w:val="21"/>
                <w:szCs w:val="21"/>
              </w:rPr>
              <w:t>～</w:t>
            </w:r>
            <w:r w:rsidRPr="00622AAE">
              <w:rPr>
                <w:rFonts w:hint="eastAsia"/>
                <w:sz w:val="21"/>
                <w:szCs w:val="21"/>
              </w:rPr>
              <w:t>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w:t>
            </w:r>
            <w:r w:rsidR="006D1B15">
              <w:rPr>
                <w:rFonts w:hint="eastAsia"/>
                <w:sz w:val="21"/>
                <w:szCs w:val="21"/>
              </w:rPr>
              <w:t>～</w:t>
            </w:r>
            <w:r w:rsidRPr="00622AAE">
              <w:rPr>
                <w:rFonts w:hint="eastAsia"/>
                <w:sz w:val="21"/>
                <w:szCs w:val="21"/>
              </w:rPr>
              <w:t>6</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w:t>
            </w:r>
            <w:r w:rsidR="006D1B15">
              <w:rPr>
                <w:rFonts w:hint="eastAsia"/>
                <w:sz w:val="21"/>
                <w:szCs w:val="21"/>
              </w:rPr>
              <w:t>～</w:t>
            </w:r>
            <w:r w:rsidRPr="00622AAE">
              <w:rPr>
                <w:rFonts w:hint="eastAsia"/>
                <w:sz w:val="21"/>
                <w:szCs w:val="21"/>
              </w:rPr>
              <w:t>7</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5-8</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检验检测认证</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检验检测机构资质认定数（家）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650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700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750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800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pStyle w:val="3"/>
              <w:spacing w:line="320" w:lineRule="exact"/>
              <w:jc w:val="center"/>
              <w:rPr>
                <w:rFonts w:ascii="仿宋_GB2312" w:eastAsia="仿宋_GB2312" w:hAnsi="Times New Roman" w:cs="Times New Roman"/>
                <w:b w:val="0"/>
                <w:bCs w:val="0"/>
              </w:rPr>
            </w:pPr>
            <w:r w:rsidRPr="00622AAE">
              <w:rPr>
                <w:rFonts w:ascii="仿宋_GB2312" w:eastAsia="仿宋_GB2312" w:hAnsi="Times New Roman" w:cs="Times New Roman" w:hint="eastAsia"/>
                <w:b w:val="0"/>
                <w:bCs w:val="0"/>
              </w:rPr>
              <w:t>绿色低碳服务</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非化石能源占能源消费总量比重（%）</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11</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12</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13</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现代商贸</w:t>
            </w:r>
          </w:p>
        </w:tc>
        <w:tc>
          <w:tcPr>
            <w:tcW w:w="2972" w:type="dxa"/>
            <w:noWrap/>
          </w:tcPr>
          <w:p w:rsidR="00622AAE" w:rsidRPr="00622AAE" w:rsidRDefault="00622AAE" w:rsidP="00622AAE">
            <w:pPr>
              <w:spacing w:line="320" w:lineRule="exact"/>
              <w:rPr>
                <w:sz w:val="21"/>
                <w:szCs w:val="21"/>
              </w:rPr>
            </w:pPr>
            <w:r w:rsidRPr="00622AAE">
              <w:rPr>
                <w:rFonts w:hint="eastAsia"/>
                <w:sz w:val="21"/>
                <w:szCs w:val="21"/>
              </w:rPr>
              <w:t>引进各类品牌首店、旗舰店或</w:t>
            </w:r>
            <w:proofErr w:type="gramStart"/>
            <w:r w:rsidRPr="00622AAE">
              <w:rPr>
                <w:rFonts w:hint="eastAsia"/>
                <w:sz w:val="21"/>
                <w:szCs w:val="21"/>
              </w:rPr>
              <w:t>功能首店累计</w:t>
            </w:r>
            <w:proofErr w:type="gramEnd"/>
            <w:r w:rsidRPr="00622AAE">
              <w:rPr>
                <w:rFonts w:hint="eastAsia"/>
                <w:sz w:val="21"/>
                <w:szCs w:val="21"/>
              </w:rPr>
              <w:t>数（家）</w:t>
            </w:r>
          </w:p>
        </w:tc>
        <w:tc>
          <w:tcPr>
            <w:tcW w:w="972" w:type="dxa"/>
            <w:noWrap/>
          </w:tcPr>
          <w:p w:rsidR="00622AAE" w:rsidRPr="00622AAE" w:rsidRDefault="00622AAE" w:rsidP="006D1B15">
            <w:pPr>
              <w:spacing w:line="320" w:lineRule="exact"/>
              <w:jc w:val="center"/>
              <w:rPr>
                <w:sz w:val="21"/>
                <w:szCs w:val="21"/>
              </w:rPr>
            </w:pPr>
            <w:r w:rsidRPr="00622AAE">
              <w:rPr>
                <w:rFonts w:hint="eastAsia"/>
                <w:sz w:val="21"/>
                <w:szCs w:val="21"/>
              </w:rPr>
              <w:t>400</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600</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800</w:t>
            </w:r>
          </w:p>
        </w:tc>
        <w:tc>
          <w:tcPr>
            <w:tcW w:w="1057" w:type="dxa"/>
            <w:noWrap/>
          </w:tcPr>
          <w:p w:rsidR="00622AAE" w:rsidRPr="00622AAE" w:rsidRDefault="00622AAE" w:rsidP="006D1B15">
            <w:pPr>
              <w:spacing w:line="320" w:lineRule="exact"/>
              <w:jc w:val="center"/>
              <w:rPr>
                <w:sz w:val="21"/>
                <w:szCs w:val="21"/>
              </w:rPr>
            </w:pPr>
            <w:r w:rsidRPr="00622AAE">
              <w:rPr>
                <w:rFonts w:hint="eastAsia"/>
                <w:sz w:val="21"/>
                <w:szCs w:val="21"/>
              </w:rPr>
              <w:t>1000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文化消费</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数字文化产业营收增速（%）</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旅游康养</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旅游总收入（亿元）</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2500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2900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3300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3700</w:t>
            </w:r>
          </w:p>
        </w:tc>
      </w:tr>
      <w:tr w:rsidR="006D1B15" w:rsidRPr="00622AAE" w:rsidTr="006D1B15">
        <w:trPr>
          <w:jc w:val="center"/>
        </w:trPr>
        <w:tc>
          <w:tcPr>
            <w:tcW w:w="598" w:type="dxa"/>
            <w:vMerge/>
            <w:noWrap/>
            <w:vAlign w:val="center"/>
          </w:tcPr>
          <w:p w:rsidR="00622AAE" w:rsidRPr="00622AAE" w:rsidRDefault="00622AAE" w:rsidP="006D1B15">
            <w:pPr>
              <w:spacing w:line="320" w:lineRule="exact"/>
              <w:jc w:val="center"/>
              <w:rPr>
                <w:sz w:val="21"/>
                <w:szCs w:val="21"/>
              </w:rPr>
            </w:pPr>
          </w:p>
        </w:tc>
        <w:tc>
          <w:tcPr>
            <w:tcW w:w="1359" w:type="dxa"/>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养老机构总床位（张）</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55900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58900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61900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65000</w:t>
            </w:r>
          </w:p>
        </w:tc>
      </w:tr>
      <w:tr w:rsidR="00622AAE" w:rsidRPr="00622AAE" w:rsidTr="006D1B15">
        <w:trPr>
          <w:jc w:val="center"/>
        </w:trPr>
        <w:tc>
          <w:tcPr>
            <w:tcW w:w="1957" w:type="dxa"/>
            <w:gridSpan w:val="2"/>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lastRenderedPageBreak/>
              <w:t>创新企业</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累计省、市服务业领域领军企业（家）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80</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市级总部企业（家）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240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270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300</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累计省级两业融合发展标杆典型（家）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r>
      <w:tr w:rsidR="00622AAE" w:rsidRPr="00622AAE" w:rsidTr="006D1B15">
        <w:trPr>
          <w:jc w:val="center"/>
        </w:trPr>
        <w:tc>
          <w:tcPr>
            <w:tcW w:w="1957" w:type="dxa"/>
            <w:gridSpan w:val="2"/>
            <w:noWrap/>
            <w:vAlign w:val="center"/>
          </w:tcPr>
          <w:p w:rsidR="00622AAE" w:rsidRPr="00622AAE" w:rsidRDefault="00622AAE" w:rsidP="006D1B15">
            <w:pPr>
              <w:spacing w:line="320" w:lineRule="exact"/>
              <w:jc w:val="center"/>
              <w:rPr>
                <w:sz w:val="21"/>
                <w:szCs w:val="21"/>
              </w:rPr>
            </w:pPr>
            <w:r w:rsidRPr="00622AAE">
              <w:rPr>
                <w:rFonts w:hint="eastAsia"/>
                <w:sz w:val="21"/>
                <w:szCs w:val="21"/>
              </w:rPr>
              <w:t>创新人才</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年度入选市级以上双创人才（人）</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600</w:t>
            </w:r>
          </w:p>
        </w:tc>
      </w:tr>
      <w:tr w:rsidR="00622AAE" w:rsidRPr="00622AAE" w:rsidTr="006D1B15">
        <w:trPr>
          <w:jc w:val="center"/>
        </w:trPr>
        <w:tc>
          <w:tcPr>
            <w:tcW w:w="1957" w:type="dxa"/>
            <w:gridSpan w:val="2"/>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创新载体</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累计省级现代服务业高质量集聚发展示范区（家）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40</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累计提标升级新兴服务业创新集聚区（家）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15</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20</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累计国家市场监管重点实验室、技术创新中心（</w:t>
            </w:r>
            <w:proofErr w:type="gramStart"/>
            <w:r w:rsidRPr="00622AAE">
              <w:rPr>
                <w:rFonts w:hint="eastAsia"/>
                <w:sz w:val="21"/>
                <w:szCs w:val="21"/>
              </w:rPr>
              <w:t>个</w:t>
            </w:r>
            <w:proofErr w:type="gramEnd"/>
            <w:r w:rsidRPr="00622AAE">
              <w:rPr>
                <w:rFonts w:hint="eastAsia"/>
                <w:sz w:val="21"/>
                <w:szCs w:val="21"/>
              </w:rPr>
              <w:t>）</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w:t>
            </w:r>
          </w:p>
        </w:tc>
      </w:tr>
      <w:tr w:rsidR="00622AAE"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proofErr w:type="gramStart"/>
            <w:r w:rsidRPr="00622AAE">
              <w:rPr>
                <w:rFonts w:hint="eastAsia"/>
                <w:sz w:val="21"/>
                <w:szCs w:val="21"/>
              </w:rPr>
              <w:t>累计省</w:t>
            </w:r>
            <w:proofErr w:type="gramEnd"/>
            <w:r w:rsidRPr="00622AAE">
              <w:rPr>
                <w:rFonts w:hint="eastAsia"/>
                <w:sz w:val="21"/>
                <w:szCs w:val="21"/>
              </w:rPr>
              <w:t>市场监管重点实验室、技术创新中心（</w:t>
            </w:r>
            <w:proofErr w:type="gramStart"/>
            <w:r w:rsidRPr="00622AAE">
              <w:rPr>
                <w:rFonts w:hint="eastAsia"/>
                <w:sz w:val="21"/>
                <w:szCs w:val="21"/>
              </w:rPr>
              <w:t>个</w:t>
            </w:r>
            <w:proofErr w:type="gramEnd"/>
            <w:r w:rsidRPr="00622AAE">
              <w:rPr>
                <w:rFonts w:hint="eastAsia"/>
                <w:sz w:val="21"/>
                <w:szCs w:val="21"/>
              </w:rPr>
              <w:t>）</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3</w:t>
            </w:r>
          </w:p>
        </w:tc>
      </w:tr>
      <w:tr w:rsidR="00622AAE" w:rsidRPr="00622AAE" w:rsidTr="006D1B15">
        <w:trPr>
          <w:jc w:val="center"/>
        </w:trPr>
        <w:tc>
          <w:tcPr>
            <w:tcW w:w="1957" w:type="dxa"/>
            <w:gridSpan w:val="2"/>
            <w:vMerge w:val="restart"/>
            <w:noWrap/>
            <w:vAlign w:val="center"/>
          </w:tcPr>
          <w:p w:rsidR="00622AAE" w:rsidRPr="00622AAE" w:rsidRDefault="00622AAE" w:rsidP="006D1B15">
            <w:pPr>
              <w:spacing w:line="320" w:lineRule="exact"/>
              <w:jc w:val="center"/>
              <w:rPr>
                <w:sz w:val="21"/>
                <w:szCs w:val="21"/>
              </w:rPr>
            </w:pPr>
            <w:r w:rsidRPr="00622AAE">
              <w:rPr>
                <w:rFonts w:hint="eastAsia"/>
                <w:sz w:val="21"/>
                <w:szCs w:val="21"/>
              </w:rPr>
              <w:t>创新生态</w:t>
            </w: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年技术合同成交额（亿元）</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700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800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900</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1000</w:t>
            </w:r>
          </w:p>
        </w:tc>
      </w:tr>
      <w:tr w:rsidR="006D1B15" w:rsidRPr="00622AAE" w:rsidTr="006D1B15">
        <w:trPr>
          <w:jc w:val="center"/>
        </w:trPr>
        <w:tc>
          <w:tcPr>
            <w:tcW w:w="1957" w:type="dxa"/>
            <w:gridSpan w:val="2"/>
            <w:vMerge/>
            <w:noWrap/>
            <w:vAlign w:val="center"/>
          </w:tcPr>
          <w:p w:rsidR="00622AAE" w:rsidRPr="00622AAE" w:rsidRDefault="00622AAE" w:rsidP="006D1B15">
            <w:pPr>
              <w:spacing w:line="320" w:lineRule="exact"/>
              <w:jc w:val="center"/>
              <w:rPr>
                <w:sz w:val="21"/>
                <w:szCs w:val="21"/>
              </w:rPr>
            </w:pPr>
          </w:p>
        </w:tc>
        <w:tc>
          <w:tcPr>
            <w:tcW w:w="2972" w:type="dxa"/>
            <w:noWrap/>
            <w:vAlign w:val="center"/>
          </w:tcPr>
          <w:p w:rsidR="00622AAE" w:rsidRPr="00622AAE" w:rsidRDefault="00622AAE" w:rsidP="00622AAE">
            <w:pPr>
              <w:spacing w:line="320" w:lineRule="exact"/>
              <w:rPr>
                <w:sz w:val="21"/>
                <w:szCs w:val="21"/>
              </w:rPr>
            </w:pPr>
            <w:r w:rsidRPr="00622AAE">
              <w:rPr>
                <w:rFonts w:hint="eastAsia"/>
                <w:sz w:val="21"/>
                <w:szCs w:val="21"/>
              </w:rPr>
              <w:t>新增新兴服务业上市企业（家）</w:t>
            </w:r>
          </w:p>
        </w:tc>
        <w:tc>
          <w:tcPr>
            <w:tcW w:w="972"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w:t>
            </w:r>
            <w:r w:rsidR="006D1B15">
              <w:rPr>
                <w:rFonts w:hint="eastAsia"/>
                <w:sz w:val="21"/>
                <w:szCs w:val="21"/>
              </w:rPr>
              <w:t>～</w:t>
            </w:r>
            <w:r w:rsidRPr="00622AAE">
              <w:rPr>
                <w:rFonts w:hint="eastAsia"/>
                <w:sz w:val="21"/>
                <w:szCs w:val="21"/>
              </w:rPr>
              <w:t>3</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w:t>
            </w:r>
            <w:r w:rsidR="006D1B15">
              <w:rPr>
                <w:rFonts w:hint="eastAsia"/>
                <w:sz w:val="21"/>
                <w:szCs w:val="21"/>
              </w:rPr>
              <w:t>～</w:t>
            </w:r>
            <w:r w:rsidRPr="00622AAE">
              <w:rPr>
                <w:rFonts w:hint="eastAsia"/>
                <w:sz w:val="21"/>
                <w:szCs w:val="21"/>
              </w:rPr>
              <w:t>3</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w:t>
            </w:r>
            <w:r w:rsidR="006D1B15">
              <w:rPr>
                <w:rFonts w:hint="eastAsia"/>
                <w:sz w:val="21"/>
                <w:szCs w:val="21"/>
              </w:rPr>
              <w:t>～</w:t>
            </w:r>
            <w:r w:rsidRPr="00622AAE">
              <w:rPr>
                <w:rFonts w:hint="eastAsia"/>
                <w:sz w:val="21"/>
                <w:szCs w:val="21"/>
              </w:rPr>
              <w:t>3</w:t>
            </w:r>
          </w:p>
        </w:tc>
        <w:tc>
          <w:tcPr>
            <w:tcW w:w="1057" w:type="dxa"/>
            <w:noWrap/>
            <w:vAlign w:val="center"/>
          </w:tcPr>
          <w:p w:rsidR="00622AAE" w:rsidRPr="00622AAE" w:rsidRDefault="00622AAE" w:rsidP="006D1B15">
            <w:pPr>
              <w:spacing w:line="320" w:lineRule="exact"/>
              <w:jc w:val="center"/>
              <w:rPr>
                <w:sz w:val="21"/>
                <w:szCs w:val="21"/>
              </w:rPr>
            </w:pPr>
            <w:r w:rsidRPr="00622AAE">
              <w:rPr>
                <w:rFonts w:hint="eastAsia"/>
                <w:sz w:val="21"/>
                <w:szCs w:val="21"/>
              </w:rPr>
              <w:t>2</w:t>
            </w:r>
            <w:r w:rsidR="006D1B15">
              <w:rPr>
                <w:rFonts w:hint="eastAsia"/>
                <w:sz w:val="21"/>
                <w:szCs w:val="21"/>
              </w:rPr>
              <w:t>～</w:t>
            </w:r>
            <w:r w:rsidRPr="00622AAE">
              <w:rPr>
                <w:rFonts w:hint="eastAsia"/>
                <w:sz w:val="21"/>
                <w:szCs w:val="21"/>
              </w:rPr>
              <w:t>3</w:t>
            </w:r>
          </w:p>
        </w:tc>
      </w:tr>
    </w:tbl>
    <w:p w:rsidR="00622AAE" w:rsidRPr="00622AAE" w:rsidRDefault="00622AAE" w:rsidP="00622AAE"/>
    <w:p w:rsidR="00622AAE" w:rsidRDefault="00622AAE" w:rsidP="00622AAE"/>
    <w:p w:rsidR="00622AAE" w:rsidRDefault="00622AAE" w:rsidP="00622AAE"/>
    <w:p w:rsidR="006D1B15" w:rsidRDefault="006D1B15" w:rsidP="00622AAE"/>
    <w:p w:rsidR="006D1B15" w:rsidRDefault="006D1B15" w:rsidP="00622AAE"/>
    <w:p w:rsidR="006D1B15" w:rsidRDefault="006D1B15" w:rsidP="00622AAE"/>
    <w:p w:rsidR="006D1B15" w:rsidRDefault="006D1B15" w:rsidP="00622AAE"/>
    <w:p w:rsidR="006D1B15" w:rsidRDefault="006D1B15" w:rsidP="00622AAE"/>
    <w:p w:rsidR="006D1B15" w:rsidRDefault="006D1B15" w:rsidP="00622AAE"/>
    <w:p w:rsidR="006D1B15" w:rsidRDefault="006D1B15" w:rsidP="00622AAE"/>
    <w:p w:rsidR="006D1B15" w:rsidRDefault="006D1B15" w:rsidP="00622AAE"/>
    <w:p w:rsidR="006D1B15" w:rsidRDefault="006D1B15" w:rsidP="00622AAE">
      <w:pPr>
        <w:rPr>
          <w:rFonts w:ascii="黑体" w:eastAsia="黑体" w:hAnsi="黑体"/>
        </w:rPr>
        <w:sectPr w:rsidR="006D1B15" w:rsidSect="00E2792F">
          <w:footerReference w:type="even" r:id="rId8"/>
          <w:footerReference w:type="default" r:id="rId9"/>
          <w:footerReference w:type="first" r:id="rId10"/>
          <w:pgSz w:w="11906" w:h="16838" w:code="9"/>
          <w:pgMar w:top="2041" w:right="1474" w:bottom="1985" w:left="1588" w:header="851" w:footer="1520" w:gutter="0"/>
          <w:pgNumType w:start="1" w:chapStyle="1"/>
          <w:cols w:space="425"/>
          <w:docGrid w:type="linesAndChars" w:linePitch="582" w:charSpace="-849"/>
        </w:sectPr>
      </w:pPr>
    </w:p>
    <w:p w:rsidR="00622AAE" w:rsidRPr="00622AAE" w:rsidRDefault="00622AAE" w:rsidP="00622AAE">
      <w:pPr>
        <w:rPr>
          <w:rFonts w:ascii="黑体" w:eastAsia="黑体" w:hAnsi="黑体"/>
        </w:rPr>
      </w:pPr>
      <w:r w:rsidRPr="00622AAE">
        <w:rPr>
          <w:rFonts w:ascii="黑体" w:eastAsia="黑体" w:hAnsi="黑体" w:hint="eastAsia"/>
        </w:rPr>
        <w:lastRenderedPageBreak/>
        <w:t>附件2</w:t>
      </w:r>
    </w:p>
    <w:p w:rsidR="00622AAE" w:rsidRPr="00622AAE" w:rsidRDefault="00622AAE" w:rsidP="00DF6770">
      <w:pPr>
        <w:spacing w:afterLines="50" w:after="291" w:line="600" w:lineRule="exact"/>
        <w:jc w:val="center"/>
        <w:rPr>
          <w:rFonts w:ascii="方正小标宋_GBK" w:eastAsia="方正小标宋_GBK"/>
          <w:sz w:val="44"/>
          <w:szCs w:val="44"/>
        </w:rPr>
      </w:pPr>
      <w:r w:rsidRPr="00622AAE">
        <w:rPr>
          <w:rFonts w:ascii="方正小标宋_GBK" w:eastAsia="方正小标宋_GBK" w:hint="eastAsia"/>
          <w:sz w:val="44"/>
          <w:szCs w:val="44"/>
        </w:rPr>
        <w:t>苏州市2022年推动新兴服务业高质量发展重点工作清单</w:t>
      </w:r>
    </w:p>
    <w:tbl>
      <w:tblPr>
        <w:tblW w:w="13041" w:type="dxa"/>
        <w:jc w:val="center"/>
        <w:tblInd w:w="2"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543"/>
        <w:gridCol w:w="713"/>
        <w:gridCol w:w="970"/>
        <w:gridCol w:w="2972"/>
        <w:gridCol w:w="6306"/>
        <w:gridCol w:w="1537"/>
      </w:tblGrid>
      <w:tr w:rsidR="006D1B15" w:rsidRPr="006D1B15" w:rsidTr="00DF6770">
        <w:trPr>
          <w:tblHeader/>
          <w:jc w:val="center"/>
        </w:trPr>
        <w:tc>
          <w:tcPr>
            <w:tcW w:w="543" w:type="dxa"/>
            <w:tcMar>
              <w:top w:w="15" w:type="dxa"/>
              <w:left w:w="15" w:type="dxa"/>
              <w:right w:w="15" w:type="dxa"/>
            </w:tcMar>
            <w:vAlign w:val="center"/>
          </w:tcPr>
          <w:p w:rsidR="006D1B15" w:rsidRPr="006D1B15" w:rsidRDefault="006D1B15" w:rsidP="006D1B15">
            <w:pPr>
              <w:widowControl/>
              <w:spacing w:line="340" w:lineRule="exact"/>
              <w:jc w:val="center"/>
              <w:textAlignment w:val="center"/>
              <w:rPr>
                <w:rFonts w:ascii="黑体" w:eastAsia="黑体" w:hAnsi="黑体"/>
                <w:bCs/>
                <w:color w:val="000000"/>
                <w:sz w:val="21"/>
                <w:szCs w:val="21"/>
              </w:rPr>
            </w:pPr>
            <w:r w:rsidRPr="006D1B15">
              <w:rPr>
                <w:rFonts w:ascii="黑体" w:eastAsia="黑体" w:hAnsi="黑体" w:hint="eastAsia"/>
                <w:bCs/>
                <w:color w:val="000000"/>
                <w:sz w:val="21"/>
                <w:szCs w:val="21"/>
              </w:rPr>
              <w:t>序号</w:t>
            </w:r>
          </w:p>
        </w:tc>
        <w:tc>
          <w:tcPr>
            <w:tcW w:w="4655" w:type="dxa"/>
            <w:gridSpan w:val="3"/>
            <w:tcMar>
              <w:top w:w="15" w:type="dxa"/>
              <w:left w:w="15" w:type="dxa"/>
              <w:right w:w="15" w:type="dxa"/>
            </w:tcMar>
            <w:vAlign w:val="center"/>
          </w:tcPr>
          <w:p w:rsidR="006D1B15" w:rsidRPr="006D1B15" w:rsidRDefault="006D1B15" w:rsidP="006D1B15">
            <w:pPr>
              <w:widowControl/>
              <w:spacing w:line="340" w:lineRule="exact"/>
              <w:jc w:val="center"/>
              <w:textAlignment w:val="center"/>
              <w:rPr>
                <w:rFonts w:ascii="黑体" w:eastAsia="黑体" w:hAnsi="黑体"/>
                <w:bCs/>
                <w:color w:val="000000"/>
                <w:sz w:val="21"/>
                <w:szCs w:val="21"/>
              </w:rPr>
            </w:pPr>
            <w:r w:rsidRPr="006D1B15">
              <w:rPr>
                <w:rFonts w:ascii="黑体" w:eastAsia="黑体" w:hAnsi="黑体" w:hint="eastAsia"/>
                <w:bCs/>
                <w:color w:val="000000"/>
                <w:sz w:val="21"/>
                <w:szCs w:val="21"/>
              </w:rPr>
              <w:t>目标清单</w:t>
            </w:r>
          </w:p>
        </w:tc>
        <w:tc>
          <w:tcPr>
            <w:tcW w:w="6306" w:type="dxa"/>
            <w:tcMar>
              <w:top w:w="15" w:type="dxa"/>
              <w:left w:w="15" w:type="dxa"/>
              <w:right w:w="15" w:type="dxa"/>
            </w:tcMar>
            <w:vAlign w:val="center"/>
          </w:tcPr>
          <w:p w:rsidR="006D1B15" w:rsidRPr="006D1B15" w:rsidRDefault="006D1B15" w:rsidP="006D1B15">
            <w:pPr>
              <w:widowControl/>
              <w:spacing w:line="340" w:lineRule="exact"/>
              <w:jc w:val="center"/>
              <w:textAlignment w:val="center"/>
              <w:rPr>
                <w:rFonts w:ascii="黑体" w:eastAsia="黑体" w:hAnsi="黑体"/>
                <w:bCs/>
                <w:color w:val="000000"/>
                <w:sz w:val="21"/>
                <w:szCs w:val="21"/>
              </w:rPr>
            </w:pPr>
            <w:r w:rsidRPr="006D1B15">
              <w:rPr>
                <w:rFonts w:ascii="黑体" w:eastAsia="黑体" w:hAnsi="黑体" w:hint="eastAsia"/>
                <w:bCs/>
                <w:color w:val="000000"/>
                <w:sz w:val="21"/>
                <w:szCs w:val="21"/>
              </w:rPr>
              <w:t>任务清单</w:t>
            </w:r>
          </w:p>
        </w:tc>
        <w:tc>
          <w:tcPr>
            <w:tcW w:w="1537" w:type="dxa"/>
            <w:tcMar>
              <w:top w:w="15" w:type="dxa"/>
              <w:left w:w="15" w:type="dxa"/>
              <w:right w:w="15" w:type="dxa"/>
            </w:tcMar>
            <w:vAlign w:val="center"/>
          </w:tcPr>
          <w:p w:rsidR="006D1B15" w:rsidRPr="006D1B15" w:rsidRDefault="006D1B15" w:rsidP="006D1B15">
            <w:pPr>
              <w:widowControl/>
              <w:spacing w:line="340" w:lineRule="exact"/>
              <w:jc w:val="center"/>
              <w:textAlignment w:val="center"/>
              <w:rPr>
                <w:rFonts w:ascii="黑体" w:eastAsia="黑体" w:hAnsi="黑体"/>
                <w:bCs/>
                <w:color w:val="000000"/>
                <w:sz w:val="21"/>
                <w:szCs w:val="21"/>
              </w:rPr>
            </w:pPr>
            <w:r w:rsidRPr="006D1B15">
              <w:rPr>
                <w:rFonts w:ascii="黑体" w:eastAsia="黑体" w:hAnsi="黑体" w:hint="eastAsia"/>
                <w:bCs/>
                <w:color w:val="000000"/>
                <w:sz w:val="21"/>
                <w:szCs w:val="21"/>
              </w:rPr>
              <w:t>责任清单</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1</w:t>
            </w:r>
          </w:p>
        </w:tc>
        <w:tc>
          <w:tcPr>
            <w:tcW w:w="713" w:type="dxa"/>
            <w:vMerge w:val="restart"/>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数字赋能型服务业推进工程</w:t>
            </w: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推动金融服务数字化发展</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完善数字人民币发展布局，提升金融科技整体发展水平，充分释放数字征信潜能，优化绿色金融发展环境。集聚数字金融企业超300家。</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全市</w:t>
            </w:r>
            <w:proofErr w:type="gramStart"/>
            <w:r w:rsidRPr="006D1B15">
              <w:rPr>
                <w:rFonts w:hint="eastAsia"/>
                <w:color w:val="000000"/>
                <w:sz w:val="21"/>
                <w:szCs w:val="21"/>
              </w:rPr>
              <w:t>域全领域</w:t>
            </w:r>
            <w:proofErr w:type="gramEnd"/>
            <w:r w:rsidRPr="006D1B15">
              <w:rPr>
                <w:rFonts w:hint="eastAsia"/>
                <w:color w:val="000000"/>
                <w:sz w:val="21"/>
                <w:szCs w:val="21"/>
              </w:rPr>
              <w:t>推进数字人民币试点，全力拓展C</w:t>
            </w:r>
            <w:proofErr w:type="gramStart"/>
            <w:r w:rsidRPr="006D1B15">
              <w:rPr>
                <w:rFonts w:hint="eastAsia"/>
                <w:color w:val="000000"/>
                <w:sz w:val="21"/>
                <w:szCs w:val="21"/>
              </w:rPr>
              <w:t>端数字</w:t>
            </w:r>
            <w:proofErr w:type="gramEnd"/>
            <w:r w:rsidRPr="006D1B15">
              <w:rPr>
                <w:rFonts w:hint="eastAsia"/>
                <w:color w:val="000000"/>
                <w:sz w:val="21"/>
                <w:szCs w:val="21"/>
              </w:rPr>
              <w:t>人民币场景，全面提升B</w:t>
            </w:r>
            <w:proofErr w:type="gramStart"/>
            <w:r w:rsidRPr="006D1B15">
              <w:rPr>
                <w:rFonts w:hint="eastAsia"/>
                <w:color w:val="000000"/>
                <w:sz w:val="21"/>
                <w:szCs w:val="21"/>
              </w:rPr>
              <w:t>端数字</w:t>
            </w:r>
            <w:proofErr w:type="gramEnd"/>
            <w:r w:rsidRPr="006D1B15">
              <w:rPr>
                <w:rFonts w:hint="eastAsia"/>
                <w:color w:val="000000"/>
                <w:sz w:val="21"/>
                <w:szCs w:val="21"/>
              </w:rPr>
              <w:t>人民币结算量，全域推进G</w:t>
            </w:r>
            <w:proofErr w:type="gramStart"/>
            <w:r w:rsidRPr="006D1B15">
              <w:rPr>
                <w:rFonts w:hint="eastAsia"/>
                <w:color w:val="000000"/>
                <w:sz w:val="21"/>
                <w:szCs w:val="21"/>
              </w:rPr>
              <w:t>端数字</w:t>
            </w:r>
            <w:proofErr w:type="gramEnd"/>
            <w:r w:rsidRPr="006D1B15">
              <w:rPr>
                <w:rFonts w:hint="eastAsia"/>
                <w:color w:val="000000"/>
                <w:sz w:val="21"/>
                <w:szCs w:val="21"/>
              </w:rPr>
              <w:t>人民币应用。推动更多金融科技创新监管试点项目落地苏州，进一步集聚金融科技企业，搭建苏州金融科技生态圈。巩固苏州征信公司、企查查科技公司等持牌征信机构先发优势，打造全国领先的地方征信平台。举办好第二届</w:t>
            </w:r>
            <w:bookmarkStart w:id="0" w:name="_GoBack"/>
            <w:bookmarkEnd w:id="0"/>
            <w:r w:rsidRPr="006D1B15">
              <w:rPr>
                <w:rFonts w:hint="eastAsia"/>
                <w:color w:val="000000"/>
                <w:sz w:val="21"/>
                <w:szCs w:val="21"/>
              </w:rPr>
              <w:t>长三角数字金融产业创新周开幕式暨苏州市金融支持产业创新集群发展大会。</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rFonts w:hint="eastAsia"/>
                <w:color w:val="000000"/>
                <w:sz w:val="21"/>
                <w:szCs w:val="21"/>
              </w:rPr>
              <w:t>市发改委</w:t>
            </w:r>
            <w:proofErr w:type="gramEnd"/>
            <w:r w:rsidRPr="00DF6770">
              <w:rPr>
                <w:rFonts w:hint="eastAsia"/>
                <w:color w:val="000000"/>
                <w:sz w:val="21"/>
                <w:szCs w:val="21"/>
              </w:rPr>
              <w:t>、</w:t>
            </w:r>
            <w:r w:rsidRPr="00DF6770">
              <w:rPr>
                <w:color w:val="000000"/>
                <w:sz w:val="21"/>
                <w:szCs w:val="21"/>
              </w:rPr>
              <w:t>市财政局、</w:t>
            </w:r>
            <w:r w:rsidRPr="00DF6770">
              <w:rPr>
                <w:rFonts w:hint="eastAsia"/>
                <w:color w:val="000000"/>
                <w:sz w:val="21"/>
                <w:szCs w:val="21"/>
              </w:rPr>
              <w:t>市商务局、</w:t>
            </w:r>
            <w:r w:rsidRPr="00DF6770">
              <w:rPr>
                <w:color w:val="000000"/>
                <w:sz w:val="21"/>
                <w:szCs w:val="21"/>
              </w:rPr>
              <w:t>市金融监管局、人行苏州中支、</w:t>
            </w:r>
            <w:r>
              <w:rPr>
                <w:color w:val="000000"/>
                <w:sz w:val="21"/>
                <w:szCs w:val="21"/>
              </w:rPr>
              <w:t>苏州</w:t>
            </w:r>
            <w:r w:rsidRPr="00DF6770">
              <w:rPr>
                <w:color w:val="000000"/>
                <w:sz w:val="21"/>
                <w:szCs w:val="21"/>
              </w:rPr>
              <w:t>银保监分局按职责分工负责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2</w:t>
            </w:r>
          </w:p>
        </w:tc>
        <w:tc>
          <w:tcPr>
            <w:tcW w:w="713" w:type="dxa"/>
            <w:vMerge/>
            <w:tcMar>
              <w:top w:w="15" w:type="dxa"/>
              <w:left w:w="15" w:type="dxa"/>
              <w:right w:w="15" w:type="dxa"/>
            </w:tcMar>
            <w:vAlign w:val="center"/>
          </w:tcPr>
          <w:p w:rsidR="00DF6770" w:rsidRPr="006D1B15" w:rsidRDefault="00DF6770" w:rsidP="006D1B15">
            <w:pPr>
              <w:spacing w:line="34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推动信息服务智能化发展</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突破一批工业互联网关键共性技术和核心技术，培育苏州市智能网联汽车及通信行业生态，深化区块链技术和产业融合应用发展。累计集聚数字信息领域重点企业不少于200家。</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依托国家工业互联网大数据中心江苏分中心、国家区块链发展先导区、省级车联网先导区基础，加强在分布式计算与存储、加密算法、共识机制、智能合约</w:t>
            </w:r>
            <w:proofErr w:type="gramStart"/>
            <w:r w:rsidRPr="006D1B15">
              <w:rPr>
                <w:rFonts w:hint="eastAsia"/>
                <w:color w:val="000000"/>
                <w:sz w:val="21"/>
                <w:szCs w:val="21"/>
              </w:rPr>
              <w:t>及跨链技术</w:t>
            </w:r>
            <w:proofErr w:type="gramEnd"/>
            <w:r w:rsidRPr="006D1B15">
              <w:rPr>
                <w:rFonts w:hint="eastAsia"/>
                <w:color w:val="000000"/>
                <w:sz w:val="21"/>
                <w:szCs w:val="21"/>
              </w:rPr>
              <w:t>等关键领域的攻关力度，加快推进企业培育。做好交通运输部自动驾驶先导应用试点申报工作。充分发挥</w:t>
            </w:r>
            <w:proofErr w:type="gramStart"/>
            <w:r w:rsidRPr="006D1B15">
              <w:rPr>
                <w:rFonts w:hint="eastAsia"/>
                <w:color w:val="000000"/>
                <w:sz w:val="21"/>
                <w:szCs w:val="21"/>
              </w:rPr>
              <w:t>苏州商密保密</w:t>
            </w:r>
            <w:proofErr w:type="gramEnd"/>
            <w:r w:rsidRPr="006D1B15">
              <w:rPr>
                <w:rFonts w:hint="eastAsia"/>
                <w:color w:val="000000"/>
                <w:sz w:val="21"/>
                <w:szCs w:val="21"/>
              </w:rPr>
              <w:t>产业创新联盟和长三角（相城）信息安全产业园作用，推动建设量子科技长三角产业创新中心。加强信息技术服务关键技术研发，</w:t>
            </w:r>
            <w:proofErr w:type="gramStart"/>
            <w:r w:rsidRPr="006D1B15">
              <w:rPr>
                <w:rFonts w:hint="eastAsia"/>
                <w:color w:val="000000"/>
                <w:sz w:val="21"/>
                <w:szCs w:val="21"/>
              </w:rPr>
              <w:t>做宽信息</w:t>
            </w:r>
            <w:proofErr w:type="gramEnd"/>
            <w:r w:rsidRPr="006D1B15">
              <w:rPr>
                <w:rFonts w:hint="eastAsia"/>
                <w:color w:val="000000"/>
                <w:sz w:val="21"/>
                <w:szCs w:val="21"/>
              </w:rPr>
              <w:t>通信应用行业。</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市委机要保密局、</w:t>
            </w:r>
            <w:proofErr w:type="gramStart"/>
            <w:r w:rsidRPr="00DF6770">
              <w:rPr>
                <w:color w:val="000000"/>
                <w:sz w:val="21"/>
                <w:szCs w:val="21"/>
              </w:rPr>
              <w:t>市发改委</w:t>
            </w:r>
            <w:proofErr w:type="gramEnd"/>
            <w:r w:rsidRPr="00DF6770">
              <w:rPr>
                <w:color w:val="000000"/>
                <w:sz w:val="21"/>
                <w:szCs w:val="21"/>
              </w:rPr>
              <w:t>、市工信局、市交通局按职责分工负责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3</w:t>
            </w:r>
          </w:p>
        </w:tc>
        <w:tc>
          <w:tcPr>
            <w:tcW w:w="713" w:type="dxa"/>
            <w:vMerge/>
            <w:tcMar>
              <w:top w:w="15" w:type="dxa"/>
              <w:left w:w="15" w:type="dxa"/>
              <w:right w:w="15" w:type="dxa"/>
            </w:tcMar>
            <w:vAlign w:val="center"/>
          </w:tcPr>
          <w:p w:rsidR="00DF6770" w:rsidRPr="006D1B15" w:rsidRDefault="00DF6770" w:rsidP="006D1B15">
            <w:pPr>
              <w:spacing w:line="34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推动物流服务智慧化发展</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加强现代信息技术在物流领域的研发与应用，推进物流产业一体化、数字化发展，完善冷链物流、快递物流服务体系。累计建设省级物流示范载体5家。</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深入贯彻落实《江苏省省级重点物流基地和省级示范物流园区认定管理办法》，推进交邮融合，发挥交通资源优势，合作开发建设邮政快递分拣中心等基础设施，不断提升苏州多式联运中心功能。</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color w:val="000000"/>
                <w:sz w:val="21"/>
                <w:szCs w:val="21"/>
              </w:rPr>
              <w:t>市发改委</w:t>
            </w:r>
            <w:proofErr w:type="gramEnd"/>
            <w:r w:rsidRPr="00DF6770">
              <w:rPr>
                <w:color w:val="000000"/>
                <w:sz w:val="21"/>
                <w:szCs w:val="21"/>
              </w:rPr>
              <w:t>、市交通局、市商务局</w:t>
            </w:r>
            <w:r w:rsidRPr="00DF6770">
              <w:rPr>
                <w:rFonts w:hint="eastAsia"/>
                <w:color w:val="000000"/>
                <w:sz w:val="21"/>
                <w:szCs w:val="21"/>
              </w:rPr>
              <w:t>市、市市场监管</w:t>
            </w:r>
            <w:r w:rsidRPr="00DF6770">
              <w:rPr>
                <w:color w:val="000000"/>
                <w:sz w:val="21"/>
                <w:szCs w:val="21"/>
              </w:rPr>
              <w:t>、</w:t>
            </w:r>
            <w:r w:rsidRPr="00DF6770">
              <w:rPr>
                <w:rFonts w:hint="eastAsia"/>
                <w:color w:val="000000"/>
                <w:sz w:val="21"/>
                <w:szCs w:val="21"/>
              </w:rPr>
              <w:t>苏州海关、</w:t>
            </w:r>
            <w:proofErr w:type="gramStart"/>
            <w:r w:rsidRPr="00DF6770">
              <w:rPr>
                <w:color w:val="000000"/>
                <w:sz w:val="21"/>
                <w:szCs w:val="21"/>
              </w:rPr>
              <w:t>市邮管</w:t>
            </w:r>
            <w:proofErr w:type="gramEnd"/>
            <w:r w:rsidRPr="00DF6770">
              <w:rPr>
                <w:color w:val="000000"/>
                <w:sz w:val="21"/>
                <w:szCs w:val="21"/>
              </w:rPr>
              <w:t>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20" w:lineRule="exact"/>
              <w:jc w:val="center"/>
              <w:textAlignment w:val="center"/>
              <w:rPr>
                <w:bCs/>
                <w:color w:val="000000"/>
                <w:sz w:val="21"/>
                <w:szCs w:val="21"/>
              </w:rPr>
            </w:pPr>
            <w:r w:rsidRPr="006D1B15">
              <w:rPr>
                <w:rFonts w:hint="eastAsia"/>
                <w:bCs/>
                <w:color w:val="000000"/>
                <w:sz w:val="21"/>
                <w:szCs w:val="21"/>
              </w:rPr>
              <w:lastRenderedPageBreak/>
              <w:t>4</w:t>
            </w:r>
          </w:p>
        </w:tc>
        <w:tc>
          <w:tcPr>
            <w:tcW w:w="713" w:type="dxa"/>
            <w:vMerge w:val="restart"/>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知识驱动型服务业推进工程</w:t>
            </w:r>
          </w:p>
        </w:tc>
        <w:tc>
          <w:tcPr>
            <w:tcW w:w="970" w:type="dxa"/>
            <w:noWrap/>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提升科技服务支撑能力</w:t>
            </w:r>
          </w:p>
        </w:tc>
        <w:tc>
          <w:tcPr>
            <w:tcW w:w="2972"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积极培育市场化新型研发组织、研发中介和研发服务外包新业态，发展研发服务、技术服务、双创服务、知识产权服务。知识产权服务机构主营业务收入达22亿元。科技服务业收入达2000亿元。</w:t>
            </w:r>
          </w:p>
        </w:tc>
        <w:tc>
          <w:tcPr>
            <w:tcW w:w="6306" w:type="dxa"/>
            <w:tcMar>
              <w:top w:w="15" w:type="dxa"/>
              <w:left w:w="15" w:type="dxa"/>
              <w:right w:w="15" w:type="dxa"/>
            </w:tcMar>
            <w:vAlign w:val="center"/>
          </w:tcPr>
          <w:p w:rsidR="00DF6770" w:rsidRPr="00DF6770" w:rsidRDefault="00DF6770" w:rsidP="006D1B15">
            <w:pPr>
              <w:widowControl/>
              <w:spacing w:line="320" w:lineRule="exact"/>
              <w:textAlignment w:val="center"/>
              <w:rPr>
                <w:color w:val="000000"/>
                <w:spacing w:val="-2"/>
                <w:sz w:val="21"/>
                <w:szCs w:val="21"/>
              </w:rPr>
            </w:pPr>
            <w:r w:rsidRPr="00DF6770">
              <w:rPr>
                <w:rFonts w:hint="eastAsia"/>
                <w:color w:val="000000"/>
                <w:spacing w:val="-2"/>
                <w:sz w:val="21"/>
                <w:szCs w:val="21"/>
              </w:rPr>
              <w:t>组织开展市级新型研发机构新建项目申报工作，强化技术转移体系建设和政策扶持，建立技术合同认定登记季度监测通报机制，有效组织做好重点行业、重点单位、重点领域的技术合同认定登记工作，依托国家技术转移人才培养基地开展技术经纪人培训，引导科技创业孵化载体提升服务能力，进一步推进全市孵化载体建设。出台促进知识产权服务业高质量发展的政策意见，探索建立代理机构服务评价机制和信息公开制度。加大高端知识产权服务机构引进力度，支持本地机构</w:t>
            </w:r>
            <w:proofErr w:type="gramStart"/>
            <w:r w:rsidRPr="00DF6770">
              <w:rPr>
                <w:rFonts w:hint="eastAsia"/>
                <w:color w:val="000000"/>
                <w:spacing w:val="-2"/>
                <w:sz w:val="21"/>
                <w:szCs w:val="21"/>
              </w:rPr>
              <w:t>做优做</w:t>
            </w:r>
            <w:proofErr w:type="gramEnd"/>
            <w:r w:rsidRPr="00DF6770">
              <w:rPr>
                <w:rFonts w:hint="eastAsia"/>
                <w:color w:val="000000"/>
                <w:spacing w:val="-2"/>
                <w:sz w:val="21"/>
                <w:szCs w:val="21"/>
              </w:rPr>
              <w:t>强。继续推进“蓝天”专项整治行动，加强服务平台治理，严惩恶意囤积行为，依法对机构经营异常和严重失信行为进行信用监管。</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市科技局、</w:t>
            </w:r>
            <w:r w:rsidRPr="00DF6770">
              <w:rPr>
                <w:rFonts w:hint="eastAsia"/>
                <w:color w:val="000000"/>
                <w:sz w:val="21"/>
                <w:szCs w:val="21"/>
              </w:rPr>
              <w:t>市</w:t>
            </w:r>
            <w:proofErr w:type="gramStart"/>
            <w:r w:rsidRPr="00DF6770">
              <w:rPr>
                <w:rFonts w:hint="eastAsia"/>
                <w:color w:val="000000"/>
                <w:sz w:val="21"/>
                <w:szCs w:val="21"/>
              </w:rPr>
              <w:t>人社局</w:t>
            </w:r>
            <w:proofErr w:type="gramEnd"/>
            <w:r w:rsidRPr="00DF6770">
              <w:rPr>
                <w:rFonts w:hint="eastAsia"/>
                <w:color w:val="000000"/>
                <w:sz w:val="21"/>
                <w:szCs w:val="21"/>
              </w:rPr>
              <w:t>、</w:t>
            </w:r>
            <w:r w:rsidRPr="00DF6770">
              <w:rPr>
                <w:color w:val="000000"/>
                <w:sz w:val="21"/>
                <w:szCs w:val="21"/>
              </w:rPr>
              <w:t>市市场监管局按职责分工负责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20" w:lineRule="exact"/>
              <w:jc w:val="center"/>
              <w:textAlignment w:val="center"/>
              <w:rPr>
                <w:bCs/>
                <w:color w:val="000000"/>
                <w:sz w:val="21"/>
                <w:szCs w:val="21"/>
              </w:rPr>
            </w:pPr>
            <w:r w:rsidRPr="006D1B15">
              <w:rPr>
                <w:rFonts w:hint="eastAsia"/>
                <w:bCs/>
                <w:color w:val="000000"/>
                <w:sz w:val="21"/>
                <w:szCs w:val="21"/>
              </w:rPr>
              <w:t>5</w:t>
            </w:r>
          </w:p>
        </w:tc>
        <w:tc>
          <w:tcPr>
            <w:tcW w:w="713" w:type="dxa"/>
            <w:vMerge/>
            <w:tcMar>
              <w:top w:w="15" w:type="dxa"/>
              <w:left w:w="15" w:type="dxa"/>
              <w:right w:w="15" w:type="dxa"/>
            </w:tcMar>
            <w:vAlign w:val="center"/>
          </w:tcPr>
          <w:p w:rsidR="00DF6770" w:rsidRPr="006D1B15" w:rsidRDefault="00DF6770" w:rsidP="006D1B15">
            <w:pPr>
              <w:spacing w:line="32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提升商务中介服务专业水平</w:t>
            </w:r>
          </w:p>
        </w:tc>
        <w:tc>
          <w:tcPr>
            <w:tcW w:w="2972"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鼓励财务、法律、会展等商务中介服务发展，律师行业事务所数量达400家，在苏全国百强会计师事务所（含分所）达31家。</w:t>
            </w:r>
          </w:p>
        </w:tc>
        <w:tc>
          <w:tcPr>
            <w:tcW w:w="6306"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鼓励全国百强事务所总部落户苏州、培育我市优质大型会计师事务所、鼓励事务所规模化发展、扶持各县级市（区）建设地方特色会计服务集聚区等。鼓励国内优秀法律服务机构落户苏州或前来设立分支机构，探索苏州律师事务所与外国律师事务所合作的方式与机制。大力引进国际知名会展企业、境内外专业组展机构、国际品牌重要展会及其上下游配套企业。</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市司法局、市财政局、市商务局、市审计局、市市场监管局</w:t>
            </w:r>
            <w:r w:rsidRPr="00DF6770">
              <w:rPr>
                <w:rFonts w:hint="eastAsia"/>
                <w:color w:val="000000"/>
                <w:sz w:val="21"/>
                <w:szCs w:val="21"/>
              </w:rPr>
              <w:t>、</w:t>
            </w:r>
            <w:r w:rsidRPr="00DF6770">
              <w:rPr>
                <w:color w:val="000000"/>
                <w:sz w:val="21"/>
                <w:szCs w:val="21"/>
              </w:rPr>
              <w:t>市金融监管局按职责分工负责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20" w:lineRule="exact"/>
              <w:jc w:val="center"/>
              <w:textAlignment w:val="center"/>
              <w:rPr>
                <w:bCs/>
                <w:color w:val="000000"/>
                <w:sz w:val="21"/>
                <w:szCs w:val="21"/>
              </w:rPr>
            </w:pPr>
            <w:r w:rsidRPr="006D1B15">
              <w:rPr>
                <w:rFonts w:hint="eastAsia"/>
                <w:bCs/>
                <w:color w:val="000000"/>
                <w:sz w:val="21"/>
                <w:szCs w:val="21"/>
              </w:rPr>
              <w:t>6</w:t>
            </w:r>
          </w:p>
        </w:tc>
        <w:tc>
          <w:tcPr>
            <w:tcW w:w="713" w:type="dxa"/>
            <w:vMerge/>
            <w:tcMar>
              <w:top w:w="15" w:type="dxa"/>
              <w:left w:w="15" w:type="dxa"/>
              <w:right w:w="15" w:type="dxa"/>
            </w:tcMar>
            <w:vAlign w:val="center"/>
          </w:tcPr>
          <w:p w:rsidR="00DF6770" w:rsidRPr="006D1B15" w:rsidRDefault="00DF6770" w:rsidP="006D1B15">
            <w:pPr>
              <w:spacing w:line="32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提升设计服务品牌影响力</w:t>
            </w:r>
          </w:p>
        </w:tc>
        <w:tc>
          <w:tcPr>
            <w:tcW w:w="2972"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聚焦工业设计、规划设计、艺术设计领域发展设计服务。年度新增市级以上工业设计中心60家，</w:t>
            </w:r>
            <w:proofErr w:type="gramStart"/>
            <w:r w:rsidRPr="006D1B15">
              <w:rPr>
                <w:rFonts w:hint="eastAsia"/>
                <w:color w:val="000000"/>
                <w:sz w:val="21"/>
                <w:szCs w:val="21"/>
              </w:rPr>
              <w:t>规</w:t>
            </w:r>
            <w:proofErr w:type="gramEnd"/>
            <w:r w:rsidRPr="006D1B15">
              <w:rPr>
                <w:rFonts w:hint="eastAsia"/>
                <w:color w:val="000000"/>
                <w:sz w:val="21"/>
                <w:szCs w:val="21"/>
              </w:rPr>
              <w:t>上专业设计类企业营收增速保持在12%以上。</w:t>
            </w:r>
          </w:p>
        </w:tc>
        <w:tc>
          <w:tcPr>
            <w:tcW w:w="6306"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吸引国内外知名设计企业入驻，探索打造设计产业集聚园区。鼓励企业与知名院校开展合作办学，推行校企“双导师制”，培育设计理论教育与实践培训相结合的复合型人才。</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市教育局、市工信局、市资</w:t>
            </w:r>
            <w:proofErr w:type="gramStart"/>
            <w:r w:rsidRPr="00DF6770">
              <w:rPr>
                <w:color w:val="000000"/>
                <w:sz w:val="21"/>
                <w:szCs w:val="21"/>
              </w:rPr>
              <w:t>规</w:t>
            </w:r>
            <w:proofErr w:type="gramEnd"/>
            <w:r w:rsidRPr="00DF6770">
              <w:rPr>
                <w:color w:val="000000"/>
                <w:sz w:val="21"/>
                <w:szCs w:val="21"/>
              </w:rPr>
              <w:t>局</w:t>
            </w:r>
            <w:r w:rsidRPr="00DF6770">
              <w:rPr>
                <w:rFonts w:hint="eastAsia"/>
                <w:color w:val="000000"/>
                <w:sz w:val="21"/>
                <w:szCs w:val="21"/>
              </w:rPr>
              <w:t>、</w:t>
            </w:r>
            <w:r w:rsidRPr="00DF6770">
              <w:rPr>
                <w:color w:val="000000"/>
                <w:sz w:val="21"/>
                <w:szCs w:val="21"/>
              </w:rPr>
              <w:t>市住建局、</w:t>
            </w:r>
            <w:r w:rsidRPr="00DF6770">
              <w:rPr>
                <w:rFonts w:hint="eastAsia"/>
                <w:color w:val="000000"/>
                <w:sz w:val="21"/>
                <w:szCs w:val="21"/>
              </w:rPr>
              <w:t>市园林局、市交通局、</w:t>
            </w:r>
            <w:r w:rsidRPr="00DF6770">
              <w:rPr>
                <w:color w:val="000000"/>
                <w:sz w:val="21"/>
                <w:szCs w:val="21"/>
              </w:rPr>
              <w:t>市文</w:t>
            </w:r>
            <w:proofErr w:type="gramStart"/>
            <w:r w:rsidRPr="00DF6770">
              <w:rPr>
                <w:color w:val="000000"/>
                <w:sz w:val="21"/>
                <w:szCs w:val="21"/>
              </w:rPr>
              <w:t>广旅局按</w:t>
            </w:r>
            <w:proofErr w:type="gramEnd"/>
            <w:r w:rsidRPr="00DF6770">
              <w:rPr>
                <w:color w:val="000000"/>
                <w:sz w:val="21"/>
                <w:szCs w:val="21"/>
              </w:rPr>
              <w:t>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20" w:lineRule="exact"/>
              <w:jc w:val="center"/>
              <w:textAlignment w:val="center"/>
              <w:rPr>
                <w:bCs/>
                <w:color w:val="000000"/>
                <w:sz w:val="21"/>
                <w:szCs w:val="21"/>
              </w:rPr>
            </w:pPr>
            <w:r w:rsidRPr="006D1B15">
              <w:rPr>
                <w:rFonts w:hint="eastAsia"/>
                <w:bCs/>
                <w:color w:val="000000"/>
                <w:sz w:val="21"/>
                <w:szCs w:val="21"/>
              </w:rPr>
              <w:t>7</w:t>
            </w:r>
          </w:p>
        </w:tc>
        <w:tc>
          <w:tcPr>
            <w:tcW w:w="713" w:type="dxa"/>
            <w:vMerge/>
            <w:tcMar>
              <w:top w:w="15" w:type="dxa"/>
              <w:left w:w="15" w:type="dxa"/>
              <w:right w:w="15" w:type="dxa"/>
            </w:tcMar>
            <w:vAlign w:val="center"/>
          </w:tcPr>
          <w:p w:rsidR="00DF6770" w:rsidRPr="006D1B15" w:rsidRDefault="00DF6770" w:rsidP="006D1B15">
            <w:pPr>
              <w:spacing w:line="32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提升人力资源服务规模效应</w:t>
            </w:r>
          </w:p>
        </w:tc>
        <w:tc>
          <w:tcPr>
            <w:tcW w:w="2972"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加快发展人力资源服务贸易，做精做强人力资源服务品牌。累计建成省级人力资源服务产业园4</w:t>
            </w:r>
            <w:r>
              <w:rPr>
                <w:rFonts w:hint="eastAsia"/>
                <w:color w:val="000000"/>
                <w:sz w:val="21"/>
                <w:szCs w:val="21"/>
              </w:rPr>
              <w:t>～</w:t>
            </w:r>
            <w:r w:rsidRPr="006D1B15">
              <w:rPr>
                <w:rFonts w:hint="eastAsia"/>
                <w:color w:val="000000"/>
                <w:sz w:val="21"/>
                <w:szCs w:val="21"/>
              </w:rPr>
              <w:t>5家。</w:t>
            </w:r>
          </w:p>
        </w:tc>
        <w:tc>
          <w:tcPr>
            <w:tcW w:w="6306" w:type="dxa"/>
            <w:tcMar>
              <w:top w:w="15" w:type="dxa"/>
              <w:left w:w="15" w:type="dxa"/>
              <w:right w:w="15" w:type="dxa"/>
            </w:tcMar>
            <w:vAlign w:val="center"/>
          </w:tcPr>
          <w:p w:rsidR="00DF6770" w:rsidRPr="006D1B15" w:rsidRDefault="00DF6770" w:rsidP="006D1B15">
            <w:pPr>
              <w:widowControl/>
              <w:spacing w:line="320" w:lineRule="exact"/>
              <w:textAlignment w:val="center"/>
              <w:rPr>
                <w:color w:val="000000"/>
                <w:sz w:val="21"/>
                <w:szCs w:val="21"/>
              </w:rPr>
            </w:pPr>
            <w:r w:rsidRPr="006D1B15">
              <w:rPr>
                <w:rFonts w:hint="eastAsia"/>
                <w:color w:val="000000"/>
                <w:sz w:val="21"/>
                <w:szCs w:val="21"/>
              </w:rPr>
              <w:t>制定出台我市促进人力资源服务业高质量发展的若干政策措施，组织开展市级人力资源服务业骨干企业、杰出人物、品牌项目和诚信机构评选等活动，举办第二届中国苏州人力资源数字化创业大赛。支持苏州工业园区人力资源服务产业园申报建设省级人力资源服务产业园。</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市教育局、市</w:t>
            </w:r>
            <w:proofErr w:type="gramStart"/>
            <w:r w:rsidRPr="00DF6770">
              <w:rPr>
                <w:color w:val="000000"/>
                <w:sz w:val="21"/>
                <w:szCs w:val="21"/>
              </w:rPr>
              <w:t>人社局</w:t>
            </w:r>
            <w:proofErr w:type="gramEnd"/>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lastRenderedPageBreak/>
              <w:t>8</w:t>
            </w:r>
          </w:p>
        </w:tc>
        <w:tc>
          <w:tcPr>
            <w:tcW w:w="713" w:type="dxa"/>
            <w:vMerge/>
            <w:tcMar>
              <w:top w:w="15" w:type="dxa"/>
              <w:left w:w="15" w:type="dxa"/>
              <w:right w:w="15" w:type="dxa"/>
            </w:tcMar>
            <w:vAlign w:val="center"/>
          </w:tcPr>
          <w:p w:rsidR="00DF6770" w:rsidRPr="006D1B15" w:rsidRDefault="00DF6770" w:rsidP="006D1B15">
            <w:pPr>
              <w:spacing w:line="34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提升检验检测认证服务品质</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重点发展检测服务、认证服务，检验检测机构资质累计认定数650家。</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以工业机器人、纳米新材料等领域为重点，加快建设省机器人及智能加工装备质检中心、省纳米材料及</w:t>
            </w:r>
            <w:proofErr w:type="gramStart"/>
            <w:r w:rsidRPr="006D1B15">
              <w:rPr>
                <w:rFonts w:hint="eastAsia"/>
                <w:color w:val="000000"/>
                <w:sz w:val="21"/>
                <w:szCs w:val="21"/>
              </w:rPr>
              <w:t>微纳加工</w:t>
            </w:r>
            <w:proofErr w:type="gramEnd"/>
            <w:r w:rsidRPr="006D1B15">
              <w:rPr>
                <w:rFonts w:hint="eastAsia"/>
                <w:color w:val="000000"/>
                <w:sz w:val="21"/>
                <w:szCs w:val="21"/>
              </w:rPr>
              <w:t>产业计量测试中心，支持检验检测机构积极申报国家质检中心、国家产业计量中心，全方位满足产业链相关企业检验检测需求。</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市市场监管局</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9</w:t>
            </w:r>
          </w:p>
        </w:tc>
        <w:tc>
          <w:tcPr>
            <w:tcW w:w="713" w:type="dxa"/>
            <w:vMerge/>
            <w:tcMar>
              <w:top w:w="15" w:type="dxa"/>
              <w:left w:w="15" w:type="dxa"/>
              <w:right w:w="15" w:type="dxa"/>
            </w:tcMar>
            <w:vAlign w:val="center"/>
          </w:tcPr>
          <w:p w:rsidR="00DF6770" w:rsidRPr="006D1B15" w:rsidRDefault="00DF6770" w:rsidP="006D1B15">
            <w:pPr>
              <w:spacing w:line="34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拓宽绿色低碳服务业务领域</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发展合同能源管理、工业企业节能诊断服务等服务业，增强环保领域技术创新能力。非化石能源占能源消费总量比重达10%。</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发展合同能源管理、工业企业节能诊断服务、绿色制造咨询、认定和培训等绿色服务业。增强环保领域技术创新能力，积极发展环境咨询、生态环境修复、环境风险与损害评价、环境审计等新兴服务。</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w:t>
            </w:r>
            <w:r w:rsidRPr="00DF6770">
              <w:rPr>
                <w:rFonts w:hint="eastAsia"/>
                <w:color w:val="000000"/>
                <w:sz w:val="21"/>
                <w:szCs w:val="21"/>
              </w:rPr>
              <w:t>工信局、生态环境局</w:t>
            </w:r>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10</w:t>
            </w:r>
          </w:p>
        </w:tc>
        <w:tc>
          <w:tcPr>
            <w:tcW w:w="713" w:type="dxa"/>
            <w:vMerge w:val="restart"/>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消费导向型服务业推进工程</w:t>
            </w: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推进现代商贸业</w:t>
            </w:r>
            <w:proofErr w:type="gramStart"/>
            <w:r w:rsidRPr="006D1B15">
              <w:rPr>
                <w:rFonts w:hint="eastAsia"/>
                <w:color w:val="000000"/>
                <w:sz w:val="21"/>
                <w:szCs w:val="21"/>
              </w:rPr>
              <w:t>态模式</w:t>
            </w:r>
            <w:proofErr w:type="gramEnd"/>
            <w:r w:rsidRPr="006D1B15">
              <w:rPr>
                <w:rFonts w:hint="eastAsia"/>
                <w:color w:val="000000"/>
                <w:sz w:val="21"/>
                <w:szCs w:val="21"/>
              </w:rPr>
              <w:t>创新</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加快推广体验消费，大力发展线上商贸，探索新零售业态。引进各类品牌首店、旗舰店200家。</w:t>
            </w:r>
          </w:p>
        </w:tc>
        <w:tc>
          <w:tcPr>
            <w:tcW w:w="6306"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proofErr w:type="gramStart"/>
            <w:r w:rsidRPr="006D1B15">
              <w:rPr>
                <w:rFonts w:hint="eastAsia"/>
                <w:color w:val="000000"/>
                <w:sz w:val="21"/>
                <w:szCs w:val="21"/>
              </w:rPr>
              <w:t>筹备首店首发</w:t>
            </w:r>
            <w:proofErr w:type="gramEnd"/>
            <w:r w:rsidRPr="006D1B15">
              <w:rPr>
                <w:rFonts w:hint="eastAsia"/>
                <w:color w:val="000000"/>
                <w:sz w:val="21"/>
                <w:szCs w:val="21"/>
              </w:rPr>
              <w:t>大会，研究推进苏州市首发经济发展联盟成立事宜，加大对</w:t>
            </w:r>
            <w:proofErr w:type="gramStart"/>
            <w:r w:rsidRPr="006D1B15">
              <w:rPr>
                <w:rFonts w:hint="eastAsia"/>
                <w:color w:val="000000"/>
                <w:sz w:val="21"/>
                <w:szCs w:val="21"/>
              </w:rPr>
              <w:t>城市首店营商</w:t>
            </w:r>
            <w:proofErr w:type="gramEnd"/>
            <w:r w:rsidRPr="006D1B15">
              <w:rPr>
                <w:rFonts w:hint="eastAsia"/>
                <w:color w:val="000000"/>
                <w:sz w:val="21"/>
                <w:szCs w:val="21"/>
              </w:rPr>
              <w:t>环境的宣传推广力度，引导国际或国内知名品牌在苏举办全球或全国新品首发活动。开展“苏新消费·笑拼苏州”2022夏季购物节系列专题活动，突出消费数字化转型，加强数字人民币应用。深入打造“夜ZUI苏州”</w:t>
            </w:r>
            <w:proofErr w:type="gramStart"/>
            <w:r w:rsidRPr="006D1B15">
              <w:rPr>
                <w:rFonts w:hint="eastAsia"/>
                <w:color w:val="000000"/>
                <w:sz w:val="21"/>
                <w:szCs w:val="21"/>
              </w:rPr>
              <w:t>夜经济</w:t>
            </w:r>
            <w:proofErr w:type="gramEnd"/>
            <w:r w:rsidRPr="006D1B15">
              <w:rPr>
                <w:rFonts w:hint="eastAsia"/>
                <w:color w:val="000000"/>
                <w:sz w:val="21"/>
                <w:szCs w:val="21"/>
              </w:rPr>
              <w:t>品牌，扩大</w:t>
            </w:r>
            <w:proofErr w:type="gramStart"/>
            <w:r w:rsidRPr="006D1B15">
              <w:rPr>
                <w:rFonts w:hint="eastAsia"/>
                <w:color w:val="000000"/>
                <w:sz w:val="21"/>
                <w:szCs w:val="21"/>
              </w:rPr>
              <w:t>夜经济千</w:t>
            </w:r>
            <w:proofErr w:type="gramEnd"/>
            <w:r w:rsidRPr="006D1B15">
              <w:rPr>
                <w:rFonts w:hint="eastAsia"/>
                <w:color w:val="000000"/>
                <w:sz w:val="21"/>
                <w:szCs w:val="21"/>
              </w:rPr>
              <w:t>企联盟规模，挖掘消费潜力，丰富夜间消费场景、创新夜间消费供给。</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市商务局、市文</w:t>
            </w:r>
            <w:proofErr w:type="gramStart"/>
            <w:r w:rsidRPr="00DF6770">
              <w:rPr>
                <w:color w:val="000000"/>
                <w:sz w:val="21"/>
                <w:szCs w:val="21"/>
              </w:rPr>
              <w:t>广旅局按</w:t>
            </w:r>
            <w:proofErr w:type="gramEnd"/>
            <w:r w:rsidRPr="00DF6770">
              <w:rPr>
                <w:color w:val="000000"/>
                <w:sz w:val="21"/>
                <w:szCs w:val="21"/>
              </w:rPr>
              <w:t>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6D1B15">
            <w:pPr>
              <w:widowControl/>
              <w:spacing w:line="340" w:lineRule="exact"/>
              <w:jc w:val="center"/>
              <w:textAlignment w:val="center"/>
              <w:rPr>
                <w:bCs/>
                <w:color w:val="000000"/>
                <w:sz w:val="21"/>
                <w:szCs w:val="21"/>
              </w:rPr>
            </w:pPr>
            <w:r w:rsidRPr="006D1B15">
              <w:rPr>
                <w:rFonts w:hint="eastAsia"/>
                <w:bCs/>
                <w:color w:val="000000"/>
                <w:sz w:val="21"/>
                <w:szCs w:val="21"/>
              </w:rPr>
              <w:t>11</w:t>
            </w:r>
          </w:p>
        </w:tc>
        <w:tc>
          <w:tcPr>
            <w:tcW w:w="713" w:type="dxa"/>
            <w:vMerge/>
            <w:tcMar>
              <w:top w:w="15" w:type="dxa"/>
              <w:left w:w="15" w:type="dxa"/>
              <w:right w:w="15" w:type="dxa"/>
            </w:tcMar>
            <w:vAlign w:val="center"/>
          </w:tcPr>
          <w:p w:rsidR="00DF6770" w:rsidRPr="006D1B15" w:rsidRDefault="00DF6770" w:rsidP="006D1B15">
            <w:pPr>
              <w:spacing w:line="34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提升文化消费供给质量</w:t>
            </w:r>
          </w:p>
        </w:tc>
        <w:tc>
          <w:tcPr>
            <w:tcW w:w="2972" w:type="dxa"/>
            <w:tcMar>
              <w:top w:w="15" w:type="dxa"/>
              <w:left w:w="15" w:type="dxa"/>
              <w:right w:w="15" w:type="dxa"/>
            </w:tcMar>
            <w:vAlign w:val="cente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构建“1+N”现代文化产业体系，发展</w:t>
            </w:r>
            <w:proofErr w:type="gramStart"/>
            <w:r w:rsidRPr="006D1B15">
              <w:rPr>
                <w:rFonts w:hint="eastAsia"/>
                <w:color w:val="000000"/>
                <w:sz w:val="21"/>
                <w:szCs w:val="21"/>
              </w:rPr>
              <w:t>电竞动漫</w:t>
            </w:r>
            <w:proofErr w:type="gramEnd"/>
            <w:r w:rsidRPr="006D1B15">
              <w:rPr>
                <w:rFonts w:hint="eastAsia"/>
                <w:color w:val="000000"/>
                <w:sz w:val="21"/>
                <w:szCs w:val="21"/>
              </w:rPr>
              <w:t>、体育消费、影视娱乐产业，推进先进技术与丝绸等苏工苏作融合发展。数字文化营收增速为20%。</w:t>
            </w:r>
          </w:p>
        </w:tc>
        <w:tc>
          <w:tcPr>
            <w:tcW w:w="6306" w:type="dxa"/>
            <w:tcMar>
              <w:top w:w="15" w:type="dxa"/>
              <w:left w:w="15" w:type="dxa"/>
              <w:right w:w="15" w:type="dxa"/>
            </w:tcMar>
          </w:tcPr>
          <w:p w:rsidR="00DF6770" w:rsidRPr="006D1B15" w:rsidRDefault="00DF6770" w:rsidP="006D1B15">
            <w:pPr>
              <w:widowControl/>
              <w:spacing w:line="340" w:lineRule="exact"/>
              <w:textAlignment w:val="center"/>
              <w:rPr>
                <w:color w:val="000000"/>
                <w:sz w:val="21"/>
                <w:szCs w:val="21"/>
              </w:rPr>
            </w:pPr>
            <w:r w:rsidRPr="006D1B15">
              <w:rPr>
                <w:rFonts w:hint="eastAsia"/>
                <w:color w:val="000000"/>
                <w:sz w:val="21"/>
                <w:szCs w:val="21"/>
              </w:rPr>
              <w:t>加快国有文艺院团市场化进程，支持传统手工艺、传统艺术产业化传承发展。建立健全标杆型、领军型、成长型数字文化企业跨行业、跨部门定向培育联动机制，定向扶持一批成长型数字类、内容类文化企业，出台年度申报指南，明确扶持重点。落实对外文化贸易政策，加大国家文化出口重点企业扶持。加大数字内容生产、数字文化服务、创意设计服务等文化核心领域大项目招引力度。鼓励社会力量参与文化招商，重点引进大型央企、国企等头部文化企业和机构、平台型数字文化企业来苏设立区域总部或功能中心，招引成长性强的优质文化企业落户苏州。2022年新增、更新健身路径（室外健身器材）115套，建成1个省级运动促进健康中心。</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w:t>
            </w:r>
            <w:r w:rsidRPr="00DF6770">
              <w:rPr>
                <w:rFonts w:hint="eastAsia"/>
                <w:color w:val="000000"/>
                <w:sz w:val="21"/>
                <w:szCs w:val="21"/>
              </w:rPr>
              <w:t>商务局</w:t>
            </w:r>
            <w:r w:rsidRPr="00DF6770">
              <w:rPr>
                <w:color w:val="000000"/>
                <w:sz w:val="21"/>
                <w:szCs w:val="21"/>
              </w:rPr>
              <w:t>、市文广旅局、市体育局按职责分工负责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lastRenderedPageBreak/>
              <w:t>12</w:t>
            </w:r>
          </w:p>
        </w:tc>
        <w:tc>
          <w:tcPr>
            <w:tcW w:w="713" w:type="dxa"/>
            <w:vMerge/>
            <w:tcMar>
              <w:top w:w="15" w:type="dxa"/>
              <w:left w:w="15" w:type="dxa"/>
              <w:right w:w="15" w:type="dxa"/>
            </w:tcMar>
            <w:vAlign w:val="center"/>
          </w:tcPr>
          <w:p w:rsidR="00DF6770" w:rsidRPr="006D1B15" w:rsidRDefault="00DF6770" w:rsidP="00DB50AF">
            <w:pPr>
              <w:spacing w:line="370" w:lineRule="exact"/>
              <w:rPr>
                <w:color w:val="000000"/>
                <w:sz w:val="21"/>
                <w:szCs w:val="21"/>
              </w:rPr>
            </w:pPr>
          </w:p>
        </w:tc>
        <w:tc>
          <w:tcPr>
            <w:tcW w:w="970" w:type="dxa"/>
            <w:noWrap/>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促进旅游康养特色化精品化发展</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加快智慧旅游建设，推进老年医疗服务机构建设。旅游总收入2500亿元，养老机构总床位55900个。</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提升完善“君到苏州”</w:t>
            </w:r>
            <w:proofErr w:type="gramStart"/>
            <w:r w:rsidRPr="006D1B15">
              <w:rPr>
                <w:rFonts w:hint="eastAsia"/>
                <w:color w:val="000000"/>
                <w:sz w:val="21"/>
                <w:szCs w:val="21"/>
              </w:rPr>
              <w:t>文旅总</w:t>
            </w:r>
            <w:proofErr w:type="gramEnd"/>
            <w:r w:rsidRPr="006D1B15">
              <w:rPr>
                <w:rFonts w:hint="eastAsia"/>
                <w:color w:val="000000"/>
                <w:sz w:val="21"/>
                <w:szCs w:val="21"/>
              </w:rPr>
              <w:t>入口，更新上线2.0版本。启动智慧</w:t>
            </w:r>
            <w:proofErr w:type="gramStart"/>
            <w:r w:rsidRPr="006D1B15">
              <w:rPr>
                <w:rFonts w:hint="eastAsia"/>
                <w:color w:val="000000"/>
                <w:sz w:val="21"/>
                <w:szCs w:val="21"/>
              </w:rPr>
              <w:t>文旅数据</w:t>
            </w:r>
            <w:proofErr w:type="gramEnd"/>
            <w:r w:rsidRPr="006D1B15">
              <w:rPr>
                <w:rFonts w:hint="eastAsia"/>
                <w:color w:val="000000"/>
                <w:sz w:val="21"/>
                <w:szCs w:val="21"/>
              </w:rPr>
              <w:t>中心建设，建成假日应急指挥中心。制定《苏州数字景区管理服务技术导则（试行）》，试点数字景区建设。</w:t>
            </w:r>
            <w:proofErr w:type="gramStart"/>
            <w:r w:rsidRPr="006D1B15">
              <w:rPr>
                <w:rFonts w:hint="eastAsia"/>
                <w:color w:val="000000"/>
                <w:sz w:val="21"/>
                <w:szCs w:val="21"/>
              </w:rPr>
              <w:t>推进文旅场所</w:t>
            </w:r>
            <w:proofErr w:type="gramEnd"/>
            <w:r w:rsidRPr="006D1B15">
              <w:rPr>
                <w:rFonts w:hint="eastAsia"/>
                <w:color w:val="000000"/>
                <w:sz w:val="21"/>
                <w:szCs w:val="21"/>
              </w:rPr>
              <w:t>社保“一卡通”工程，完成39家重点景区及文博场所闸机改造。2022年新建养老机构总床位1200张。</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市民政局、市园林</w:t>
            </w:r>
            <w:r>
              <w:rPr>
                <w:color w:val="000000"/>
                <w:sz w:val="21"/>
                <w:szCs w:val="21"/>
              </w:rPr>
              <w:t>绿化</w:t>
            </w:r>
            <w:r w:rsidRPr="00DF6770">
              <w:rPr>
                <w:color w:val="000000"/>
                <w:sz w:val="21"/>
                <w:szCs w:val="21"/>
              </w:rPr>
              <w:t>局、市文广旅局、市</w:t>
            </w:r>
            <w:r>
              <w:rPr>
                <w:rFonts w:hint="eastAsia"/>
                <w:color w:val="000000"/>
                <w:sz w:val="21"/>
                <w:szCs w:val="21"/>
              </w:rPr>
              <w:t>卫生健康</w:t>
            </w:r>
            <w:r w:rsidRPr="00DF6770">
              <w:rPr>
                <w:rFonts w:hint="eastAsia"/>
                <w:color w:val="000000"/>
                <w:sz w:val="21"/>
                <w:szCs w:val="21"/>
              </w:rPr>
              <w:t>委</w:t>
            </w:r>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13</w:t>
            </w:r>
          </w:p>
        </w:tc>
        <w:tc>
          <w:tcPr>
            <w:tcW w:w="713" w:type="dxa"/>
            <w:vMerge w:val="restart"/>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新兴服务业创新企业培育工程</w:t>
            </w: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培育创新领军企业</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累计获评省、市服务业领域领军企业数量达20家。省级两业融合发展标杆典型5家。</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发挥平台对资源的集聚功能，创新平台经济发展业态，抓好大型平台外引内育，打造一批平台型创新领军企业，积极组织企业申报省级服务贸易重点企业。打造两业融合标杆，推动制造服务业发展，超前谋划制造业和服务业协同创新示范布局。积极打造国家级、省级工业互联网产业示范基地，培育国家级服务型制造示范企业、示范项目、示范平台。</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color w:val="000000"/>
                <w:sz w:val="21"/>
                <w:szCs w:val="21"/>
              </w:rPr>
              <w:t>市发改委</w:t>
            </w:r>
            <w:proofErr w:type="gramEnd"/>
            <w:r w:rsidRPr="00DF6770">
              <w:rPr>
                <w:color w:val="000000"/>
                <w:sz w:val="21"/>
                <w:szCs w:val="21"/>
              </w:rPr>
              <w:t>、市工信局、市商务局按职责分工负责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14</w:t>
            </w:r>
          </w:p>
        </w:tc>
        <w:tc>
          <w:tcPr>
            <w:tcW w:w="713" w:type="dxa"/>
            <w:vMerge/>
            <w:tcMar>
              <w:top w:w="15" w:type="dxa"/>
              <w:left w:w="15" w:type="dxa"/>
              <w:right w:w="15" w:type="dxa"/>
            </w:tcMar>
            <w:vAlign w:val="center"/>
          </w:tcPr>
          <w:p w:rsidR="00DF6770" w:rsidRPr="006D1B15" w:rsidRDefault="00DF6770" w:rsidP="00DB50AF">
            <w:pPr>
              <w:spacing w:line="370" w:lineRule="exact"/>
              <w:rPr>
                <w:color w:val="000000"/>
                <w:sz w:val="21"/>
                <w:szCs w:val="21"/>
              </w:rPr>
            </w:pP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打造高能级总部企业</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累计认定市级总部企业220家。</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聚焦重点优势产业总部，重点招引民营总部和</w:t>
            </w:r>
            <w:proofErr w:type="gramStart"/>
            <w:r w:rsidRPr="006D1B15">
              <w:rPr>
                <w:rFonts w:hint="eastAsia"/>
                <w:color w:val="000000"/>
                <w:sz w:val="21"/>
                <w:szCs w:val="21"/>
              </w:rPr>
              <w:t>央企</w:t>
            </w:r>
            <w:proofErr w:type="gramEnd"/>
            <w:r w:rsidRPr="006D1B15">
              <w:rPr>
                <w:rFonts w:hint="eastAsia"/>
                <w:color w:val="000000"/>
                <w:sz w:val="21"/>
                <w:szCs w:val="21"/>
              </w:rPr>
              <w:t>第二总部，整合中新、中日、中德、中越、中非、对台等资源，打造跨境总部特色高地。开展2022年度总部企业复核认定工作，发布全市总部经济发展情况。</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color w:val="000000"/>
                <w:sz w:val="21"/>
                <w:szCs w:val="21"/>
              </w:rPr>
              <w:t>市发改委</w:t>
            </w:r>
            <w:proofErr w:type="gramEnd"/>
            <w:r w:rsidRPr="00DF6770">
              <w:rPr>
                <w:color w:val="000000"/>
                <w:sz w:val="21"/>
                <w:szCs w:val="21"/>
              </w:rPr>
              <w:t>、市商务局按职责分工负责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15</w:t>
            </w:r>
          </w:p>
        </w:tc>
        <w:tc>
          <w:tcPr>
            <w:tcW w:w="713" w:type="dxa"/>
            <w:vMerge w:val="restart"/>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新兴服务业创新人才集聚工程</w:t>
            </w: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proofErr w:type="gramStart"/>
            <w:r w:rsidRPr="006D1B15">
              <w:rPr>
                <w:rFonts w:hint="eastAsia"/>
                <w:color w:val="000000"/>
                <w:sz w:val="21"/>
                <w:szCs w:val="21"/>
              </w:rPr>
              <w:t>着力引育高端</w:t>
            </w:r>
            <w:proofErr w:type="gramEnd"/>
            <w:r w:rsidRPr="006D1B15">
              <w:rPr>
                <w:rFonts w:hint="eastAsia"/>
                <w:color w:val="000000"/>
                <w:sz w:val="21"/>
                <w:szCs w:val="21"/>
              </w:rPr>
              <w:t>紧缺人才</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实施更加开放更加便利的人才引进政策，年度入选市级以上双创人才600人。</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全面了解服务业对紧缺人才的需求情况，加强对高校和职业院校在服务业紧缺专业设置及课程教学上的引导。通过各种渠道和平台，加强对应用型人才和技术技能人才成长故事的宣传，系统营造良好的人才成长环境，积极做好省双创人才的培育和申报工作。</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市委人才办</w:t>
            </w:r>
            <w:r>
              <w:rPr>
                <w:rFonts w:hint="eastAsia"/>
                <w:color w:val="000000"/>
                <w:sz w:val="21"/>
                <w:szCs w:val="21"/>
              </w:rPr>
              <w:t>、</w:t>
            </w:r>
            <w:proofErr w:type="gramStart"/>
            <w:r w:rsidRPr="00DF6770">
              <w:rPr>
                <w:color w:val="000000"/>
                <w:sz w:val="21"/>
                <w:szCs w:val="21"/>
              </w:rPr>
              <w:t>市发改委</w:t>
            </w:r>
            <w:proofErr w:type="gramEnd"/>
            <w:r w:rsidRPr="00DF6770">
              <w:rPr>
                <w:color w:val="000000"/>
                <w:sz w:val="21"/>
                <w:szCs w:val="21"/>
              </w:rPr>
              <w:t>、市教育局、市</w:t>
            </w:r>
            <w:proofErr w:type="gramStart"/>
            <w:r w:rsidRPr="00DF6770">
              <w:rPr>
                <w:color w:val="000000"/>
                <w:sz w:val="21"/>
                <w:szCs w:val="21"/>
              </w:rPr>
              <w:t>人社局</w:t>
            </w:r>
            <w:proofErr w:type="gramEnd"/>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16</w:t>
            </w:r>
          </w:p>
        </w:tc>
        <w:tc>
          <w:tcPr>
            <w:tcW w:w="713" w:type="dxa"/>
            <w:vMerge/>
            <w:tcMar>
              <w:top w:w="15" w:type="dxa"/>
              <w:left w:w="15" w:type="dxa"/>
              <w:right w:w="15" w:type="dxa"/>
            </w:tcMar>
            <w:vAlign w:val="center"/>
          </w:tcPr>
          <w:p w:rsidR="00DF6770" w:rsidRPr="006D1B15" w:rsidRDefault="00DF6770" w:rsidP="00DB50AF">
            <w:pPr>
              <w:spacing w:line="370" w:lineRule="exact"/>
              <w:rPr>
                <w:color w:val="000000"/>
                <w:sz w:val="21"/>
                <w:szCs w:val="21"/>
              </w:rPr>
            </w:pP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多层次培育新兴领域人才</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加快培养集聚一支数量充足、结构合理、素质优良的产业型人才队伍。</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紧密对接苏州新兴服务产业前沿及需求，支持有实力的骨干企业与高等院校和职业院校通过共建共管现代产业学院、企业学院等方式，深化产教融合、校企合作，提升人才培养与企业岗位需求的匹配度和适应性。</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市委人才办</w:t>
            </w:r>
            <w:r>
              <w:rPr>
                <w:rFonts w:hint="eastAsia"/>
                <w:color w:val="000000"/>
                <w:sz w:val="21"/>
                <w:szCs w:val="21"/>
              </w:rPr>
              <w:t>、</w:t>
            </w:r>
            <w:proofErr w:type="gramStart"/>
            <w:r w:rsidRPr="00DF6770">
              <w:rPr>
                <w:color w:val="000000"/>
                <w:sz w:val="21"/>
                <w:szCs w:val="21"/>
              </w:rPr>
              <w:t>市发改委</w:t>
            </w:r>
            <w:proofErr w:type="gramEnd"/>
            <w:r w:rsidRPr="00DF6770">
              <w:rPr>
                <w:color w:val="000000"/>
                <w:sz w:val="21"/>
                <w:szCs w:val="21"/>
              </w:rPr>
              <w:t>、市教育局、市</w:t>
            </w:r>
            <w:proofErr w:type="gramStart"/>
            <w:r w:rsidRPr="00DF6770">
              <w:rPr>
                <w:color w:val="000000"/>
                <w:sz w:val="21"/>
                <w:szCs w:val="21"/>
              </w:rPr>
              <w:t>人社局</w:t>
            </w:r>
            <w:proofErr w:type="gramEnd"/>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lastRenderedPageBreak/>
              <w:t>17</w:t>
            </w:r>
          </w:p>
        </w:tc>
        <w:tc>
          <w:tcPr>
            <w:tcW w:w="713" w:type="dxa"/>
            <w:vMerge w:val="restart"/>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新兴服务业创新载体推进工程</w:t>
            </w: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提升楼宇经济和集聚区发展质效</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累计打造省级现代服务业高质量集聚发展示范区10家，提标升级新兴服务业创新集聚区5家。支持培育一批特色楼宇、专业楼宇、亿元楼宇，试点打造一批头部型、集约型、高密度的科技“硅楼”。</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对楼宇经济开展专题调研，研究推进楼宇经济高质量发展相关举措，定期跟踪楼宇经济发展情况，对具有一定体量规模、产业服务功能和经济贡献度的优秀楼宇给予支持，持续推动楼宇经济业态结构优化和楼宇品质提升。</w:t>
            </w:r>
          </w:p>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进一步增强集聚区要素吸附能力、产业支撑能力和辐射带动能力，积极培育省级现代服务业高质量发展集聚示范区。</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color w:val="000000"/>
                <w:sz w:val="21"/>
                <w:szCs w:val="21"/>
              </w:rPr>
              <w:t>市发改委</w:t>
            </w:r>
            <w:proofErr w:type="gramEnd"/>
            <w:r w:rsidRPr="00DF6770">
              <w:rPr>
                <w:color w:val="000000"/>
                <w:sz w:val="21"/>
                <w:szCs w:val="21"/>
              </w:rPr>
              <w:t>、</w:t>
            </w:r>
            <w:r w:rsidRPr="00DF6770">
              <w:rPr>
                <w:rFonts w:hint="eastAsia"/>
                <w:color w:val="000000"/>
                <w:sz w:val="21"/>
                <w:szCs w:val="21"/>
              </w:rPr>
              <w:t>市科技局、</w:t>
            </w:r>
            <w:r w:rsidRPr="00DF6770">
              <w:rPr>
                <w:color w:val="000000"/>
                <w:sz w:val="21"/>
                <w:szCs w:val="21"/>
              </w:rPr>
              <w:t>市商务局按职责分工负责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18</w:t>
            </w:r>
          </w:p>
        </w:tc>
        <w:tc>
          <w:tcPr>
            <w:tcW w:w="713" w:type="dxa"/>
            <w:vMerge/>
            <w:tcMar>
              <w:top w:w="15" w:type="dxa"/>
              <w:left w:w="15" w:type="dxa"/>
              <w:right w:w="15" w:type="dxa"/>
            </w:tcMar>
            <w:vAlign w:val="center"/>
          </w:tcPr>
          <w:p w:rsidR="00DF6770" w:rsidRPr="006D1B15" w:rsidRDefault="00DF6770" w:rsidP="00DB50AF">
            <w:pPr>
              <w:spacing w:line="370" w:lineRule="exact"/>
              <w:rPr>
                <w:color w:val="000000"/>
                <w:sz w:val="21"/>
                <w:szCs w:val="21"/>
              </w:rPr>
            </w:pP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推动产业创新服务平台高质量发展</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proofErr w:type="gramStart"/>
            <w:r w:rsidRPr="006D1B15">
              <w:rPr>
                <w:rFonts w:hint="eastAsia"/>
                <w:color w:val="000000"/>
                <w:sz w:val="21"/>
                <w:szCs w:val="21"/>
              </w:rPr>
              <w:t>面向四</w:t>
            </w:r>
            <w:proofErr w:type="gramEnd"/>
            <w:r w:rsidRPr="006D1B15">
              <w:rPr>
                <w:rFonts w:hint="eastAsia"/>
                <w:color w:val="000000"/>
                <w:sz w:val="21"/>
                <w:szCs w:val="21"/>
              </w:rPr>
              <w:t>大产业集群和重点领域，打造一批产业服务创新平台、公共服务创新平台。鼓励企业建设工程研究中心、工程技术研究中心、企业技术中心等研发机构。累计建设省市场监管重点实验室、技术创新中心1个。</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sz w:val="21"/>
                <w:szCs w:val="21"/>
              </w:rPr>
            </w:pPr>
            <w:r w:rsidRPr="006D1B15">
              <w:rPr>
                <w:rFonts w:hint="eastAsia"/>
                <w:color w:val="000000"/>
                <w:sz w:val="21"/>
                <w:szCs w:val="21"/>
              </w:rPr>
              <w:t>打造服务经济新平台，强化研发设计、信息服务、金融服务、专业技术服务、展示交易等产业服务创新平台和公共服务平台建设。</w:t>
            </w:r>
            <w:r w:rsidRPr="006D1B15">
              <w:rPr>
                <w:rFonts w:hint="eastAsia"/>
                <w:sz w:val="21"/>
                <w:szCs w:val="21"/>
              </w:rPr>
              <w:t>加快推进先进技术成果长三角转化中心、量子科技长三角产业创新中心等一批重量级科技转化创新平台建设。鼓励龙头企业平台化转型，加快建设一批工程研究中心、工程技术研究中心、企业技术中心等研发创新平台。</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proofErr w:type="gramStart"/>
            <w:r w:rsidRPr="00DF6770">
              <w:rPr>
                <w:color w:val="000000"/>
                <w:sz w:val="21"/>
                <w:szCs w:val="21"/>
              </w:rPr>
              <w:t>市发改委</w:t>
            </w:r>
            <w:proofErr w:type="gramEnd"/>
            <w:r w:rsidRPr="00DF6770">
              <w:rPr>
                <w:color w:val="000000"/>
                <w:sz w:val="21"/>
                <w:szCs w:val="21"/>
              </w:rPr>
              <w:t>、市教育局、市科技局、市工信局、市市场监管局</w:t>
            </w:r>
            <w:r w:rsidRPr="00DF6770">
              <w:rPr>
                <w:rFonts w:hint="eastAsia"/>
                <w:color w:val="000000"/>
                <w:sz w:val="21"/>
                <w:szCs w:val="21"/>
              </w:rPr>
              <w:t>、市金融监管局</w:t>
            </w:r>
            <w:r w:rsidRPr="00DF6770">
              <w:rPr>
                <w:color w:val="000000"/>
                <w:sz w:val="21"/>
                <w:szCs w:val="21"/>
              </w:rPr>
              <w:t>按职责分工负责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70" w:lineRule="exact"/>
              <w:jc w:val="center"/>
              <w:textAlignment w:val="center"/>
              <w:rPr>
                <w:bCs/>
                <w:color w:val="000000"/>
                <w:sz w:val="21"/>
                <w:szCs w:val="21"/>
              </w:rPr>
            </w:pPr>
            <w:r w:rsidRPr="006D1B15">
              <w:rPr>
                <w:rFonts w:hint="eastAsia"/>
                <w:bCs/>
                <w:color w:val="000000"/>
                <w:sz w:val="21"/>
                <w:szCs w:val="21"/>
              </w:rPr>
              <w:t>19</w:t>
            </w:r>
          </w:p>
        </w:tc>
        <w:tc>
          <w:tcPr>
            <w:tcW w:w="713" w:type="dxa"/>
            <w:vMerge w:val="restart"/>
            <w:tcMar>
              <w:top w:w="15" w:type="dxa"/>
              <w:left w:w="15" w:type="dxa"/>
              <w:right w:w="15" w:type="dxa"/>
            </w:tcMar>
            <w:vAlign w:val="center"/>
          </w:tcPr>
          <w:p w:rsidR="00DF6770" w:rsidRPr="006D1B15" w:rsidRDefault="00DF6770" w:rsidP="00DB50AF">
            <w:pPr>
              <w:spacing w:line="370" w:lineRule="exact"/>
              <w:rPr>
                <w:color w:val="000000"/>
                <w:sz w:val="21"/>
                <w:szCs w:val="21"/>
              </w:rPr>
            </w:pPr>
            <w:r w:rsidRPr="006D1B15">
              <w:rPr>
                <w:rFonts w:hint="eastAsia"/>
                <w:color w:val="000000"/>
                <w:sz w:val="21"/>
                <w:szCs w:val="21"/>
              </w:rPr>
              <w:t>新兴服务业创新生态营造工程</w:t>
            </w:r>
          </w:p>
        </w:tc>
        <w:tc>
          <w:tcPr>
            <w:tcW w:w="970"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提升服务支撑能力</w:t>
            </w:r>
          </w:p>
        </w:tc>
        <w:tc>
          <w:tcPr>
            <w:tcW w:w="2972"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强化科技金融支撑，深入实施知识产权战略，有效支撑新兴服务业高质量发展。全市技术合同成交额达700亿元。新增服务业上市企业2</w:t>
            </w:r>
            <w:r>
              <w:rPr>
                <w:rFonts w:hint="eastAsia"/>
                <w:color w:val="000000"/>
                <w:sz w:val="21"/>
                <w:szCs w:val="21"/>
              </w:rPr>
              <w:t>～</w:t>
            </w:r>
            <w:r w:rsidRPr="006D1B15">
              <w:rPr>
                <w:rFonts w:hint="eastAsia"/>
                <w:color w:val="000000"/>
                <w:sz w:val="21"/>
                <w:szCs w:val="21"/>
              </w:rPr>
              <w:t>3家。</w:t>
            </w:r>
          </w:p>
        </w:tc>
        <w:tc>
          <w:tcPr>
            <w:tcW w:w="6306" w:type="dxa"/>
            <w:tcMar>
              <w:top w:w="15" w:type="dxa"/>
              <w:left w:w="15" w:type="dxa"/>
              <w:right w:w="15" w:type="dxa"/>
            </w:tcMar>
            <w:vAlign w:val="center"/>
          </w:tcPr>
          <w:p w:rsidR="00DF6770" w:rsidRPr="006D1B15" w:rsidRDefault="00DF6770" w:rsidP="00DB50AF">
            <w:pPr>
              <w:widowControl/>
              <w:spacing w:line="370" w:lineRule="exact"/>
              <w:textAlignment w:val="center"/>
              <w:rPr>
                <w:color w:val="000000"/>
                <w:sz w:val="21"/>
                <w:szCs w:val="21"/>
              </w:rPr>
            </w:pPr>
            <w:r w:rsidRPr="006D1B15">
              <w:rPr>
                <w:rFonts w:hint="eastAsia"/>
                <w:color w:val="000000"/>
                <w:sz w:val="21"/>
                <w:szCs w:val="21"/>
              </w:rPr>
              <w:t>聚焦科技金融服务领域，持续完善科技贷款政策框架，进一步扩大政策性科技投资受惠面，强化对优秀人才企业、创新载体的投资力度。聚焦要素配置工程，围绕关键技术攻关项目实施10项高价值专利培育计划项目，引导创新主体加强技术与专利“双研发”，加强海内外专利布局，培育一批具有核心竞争力的高价值专利组合。实施10项知识产权运营引导计划，引导更多的知识产权资源和苏州企业对接。开展知识产权金融入园惠企行动，扩大知识产权质押融资惠企覆盖面。完善知识产权保护网络体系，逐步形成市、区、乡镇三级知识产权保护服务体系。</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市科技局、市财政局、市市场监管局、市金融监管局、人行苏州</w:t>
            </w:r>
            <w:proofErr w:type="gramStart"/>
            <w:r w:rsidRPr="00DF6770">
              <w:rPr>
                <w:color w:val="000000"/>
                <w:sz w:val="21"/>
                <w:szCs w:val="21"/>
              </w:rPr>
              <w:t>中支按职责</w:t>
            </w:r>
            <w:proofErr w:type="gramEnd"/>
            <w:r w:rsidRPr="00DF6770">
              <w:rPr>
                <w:color w:val="000000"/>
                <w:sz w:val="21"/>
                <w:szCs w:val="21"/>
              </w:rPr>
              <w:t>分工负责</w:t>
            </w:r>
          </w:p>
        </w:tc>
      </w:tr>
      <w:tr w:rsidR="00DF6770" w:rsidRPr="006D1B15" w:rsidTr="00DF6770">
        <w:trPr>
          <w:jc w:val="center"/>
        </w:trPr>
        <w:tc>
          <w:tcPr>
            <w:tcW w:w="543" w:type="dxa"/>
            <w:tcMar>
              <w:top w:w="15" w:type="dxa"/>
              <w:left w:w="15" w:type="dxa"/>
              <w:right w:w="15" w:type="dxa"/>
            </w:tcMar>
            <w:vAlign w:val="center"/>
          </w:tcPr>
          <w:p w:rsidR="00DF6770" w:rsidRPr="006D1B15" w:rsidRDefault="00DF6770" w:rsidP="00DB50AF">
            <w:pPr>
              <w:widowControl/>
              <w:spacing w:line="360" w:lineRule="exact"/>
              <w:jc w:val="center"/>
              <w:textAlignment w:val="center"/>
              <w:rPr>
                <w:bCs/>
                <w:color w:val="000000"/>
                <w:sz w:val="21"/>
                <w:szCs w:val="21"/>
              </w:rPr>
            </w:pPr>
            <w:r w:rsidRPr="006D1B15">
              <w:rPr>
                <w:rFonts w:hint="eastAsia"/>
                <w:bCs/>
                <w:color w:val="000000"/>
                <w:sz w:val="21"/>
                <w:szCs w:val="21"/>
              </w:rPr>
              <w:lastRenderedPageBreak/>
              <w:t>20</w:t>
            </w:r>
          </w:p>
        </w:tc>
        <w:tc>
          <w:tcPr>
            <w:tcW w:w="713" w:type="dxa"/>
            <w:vMerge/>
            <w:tcMar>
              <w:top w:w="15" w:type="dxa"/>
              <w:left w:w="15" w:type="dxa"/>
              <w:right w:w="15" w:type="dxa"/>
            </w:tcMar>
            <w:vAlign w:val="center"/>
          </w:tcPr>
          <w:p w:rsidR="00DF6770" w:rsidRPr="006D1B15" w:rsidRDefault="00DF6770" w:rsidP="00DB50AF">
            <w:pPr>
              <w:spacing w:line="360" w:lineRule="exact"/>
              <w:rPr>
                <w:color w:val="000000"/>
                <w:sz w:val="21"/>
                <w:szCs w:val="21"/>
              </w:rPr>
            </w:pPr>
          </w:p>
        </w:tc>
        <w:tc>
          <w:tcPr>
            <w:tcW w:w="970" w:type="dxa"/>
            <w:tcMar>
              <w:top w:w="15" w:type="dxa"/>
              <w:left w:w="15" w:type="dxa"/>
              <w:right w:w="15" w:type="dxa"/>
            </w:tcMar>
            <w:vAlign w:val="center"/>
          </w:tcPr>
          <w:p w:rsidR="00DF6770" w:rsidRPr="006D1B15" w:rsidRDefault="00DF6770" w:rsidP="00DB50AF">
            <w:pPr>
              <w:widowControl/>
              <w:spacing w:line="360" w:lineRule="exact"/>
              <w:textAlignment w:val="center"/>
              <w:rPr>
                <w:color w:val="000000"/>
                <w:sz w:val="21"/>
                <w:szCs w:val="21"/>
              </w:rPr>
            </w:pPr>
            <w:r w:rsidRPr="006D1B15">
              <w:rPr>
                <w:rFonts w:hint="eastAsia"/>
                <w:color w:val="000000"/>
                <w:sz w:val="21"/>
                <w:szCs w:val="21"/>
              </w:rPr>
              <w:t>打造营商环境优势</w:t>
            </w:r>
          </w:p>
        </w:tc>
        <w:tc>
          <w:tcPr>
            <w:tcW w:w="2972" w:type="dxa"/>
            <w:tcMar>
              <w:top w:w="15" w:type="dxa"/>
              <w:left w:w="15" w:type="dxa"/>
              <w:right w:w="15" w:type="dxa"/>
            </w:tcMar>
            <w:vAlign w:val="center"/>
          </w:tcPr>
          <w:p w:rsidR="00DF6770" w:rsidRPr="006D1B15" w:rsidRDefault="00DF6770" w:rsidP="00DB50AF">
            <w:pPr>
              <w:widowControl/>
              <w:spacing w:line="360" w:lineRule="exact"/>
              <w:textAlignment w:val="center"/>
              <w:rPr>
                <w:color w:val="000000"/>
                <w:sz w:val="21"/>
                <w:szCs w:val="21"/>
              </w:rPr>
            </w:pPr>
            <w:r w:rsidRPr="006D1B15">
              <w:rPr>
                <w:rFonts w:hint="eastAsia"/>
                <w:color w:val="000000"/>
                <w:sz w:val="21"/>
                <w:szCs w:val="21"/>
              </w:rPr>
              <w:t>进一步完善法人服务总入口“苏商通”，持续优化营商环境。培育一批跨境、跨区域、辐射带动力强的细分服务业市场。</w:t>
            </w:r>
          </w:p>
        </w:tc>
        <w:tc>
          <w:tcPr>
            <w:tcW w:w="6306" w:type="dxa"/>
            <w:tcMar>
              <w:top w:w="15" w:type="dxa"/>
              <w:left w:w="15" w:type="dxa"/>
              <w:right w:w="15" w:type="dxa"/>
            </w:tcMar>
            <w:vAlign w:val="center"/>
          </w:tcPr>
          <w:p w:rsidR="00DF6770" w:rsidRPr="006D1B15" w:rsidRDefault="00DF6770" w:rsidP="00DB50AF">
            <w:pPr>
              <w:widowControl/>
              <w:spacing w:line="360" w:lineRule="exact"/>
              <w:textAlignment w:val="center"/>
              <w:rPr>
                <w:color w:val="000000"/>
                <w:sz w:val="21"/>
                <w:szCs w:val="21"/>
              </w:rPr>
            </w:pPr>
            <w:r w:rsidRPr="006D1B15">
              <w:rPr>
                <w:rFonts w:hint="eastAsia"/>
                <w:color w:val="000000"/>
                <w:sz w:val="21"/>
                <w:szCs w:val="21"/>
              </w:rPr>
              <w:t>集成新兴服务业相关政策和服务，让法人只进“一个入口”就能高效办理“一批事”，实现营商惠</w:t>
            </w:r>
            <w:proofErr w:type="gramStart"/>
            <w:r w:rsidRPr="006D1B15">
              <w:rPr>
                <w:rFonts w:hint="eastAsia"/>
                <w:color w:val="000000"/>
                <w:sz w:val="21"/>
                <w:szCs w:val="21"/>
              </w:rPr>
              <w:t>企</w:t>
            </w:r>
            <w:proofErr w:type="gramEnd"/>
            <w:r w:rsidRPr="006D1B15">
              <w:rPr>
                <w:rFonts w:hint="eastAsia"/>
                <w:color w:val="000000"/>
                <w:sz w:val="21"/>
                <w:szCs w:val="21"/>
              </w:rPr>
              <w:t>。打造“</w:t>
            </w:r>
            <w:proofErr w:type="gramStart"/>
            <w:r w:rsidRPr="006D1B15">
              <w:rPr>
                <w:rFonts w:hint="eastAsia"/>
                <w:color w:val="000000"/>
                <w:sz w:val="21"/>
                <w:szCs w:val="21"/>
              </w:rPr>
              <w:t>一</w:t>
            </w:r>
            <w:proofErr w:type="gramEnd"/>
            <w:r w:rsidRPr="006D1B15">
              <w:rPr>
                <w:rFonts w:hint="eastAsia"/>
                <w:color w:val="000000"/>
                <w:sz w:val="21"/>
                <w:szCs w:val="21"/>
              </w:rPr>
              <w:t>企一码</w:t>
            </w:r>
            <w:proofErr w:type="gramStart"/>
            <w:r w:rsidRPr="006D1B15">
              <w:rPr>
                <w:rFonts w:hint="eastAsia"/>
                <w:color w:val="000000"/>
                <w:sz w:val="21"/>
                <w:szCs w:val="21"/>
              </w:rPr>
              <w:t>一</w:t>
            </w:r>
            <w:proofErr w:type="gramEnd"/>
            <w:r w:rsidRPr="006D1B15">
              <w:rPr>
                <w:rFonts w:hint="eastAsia"/>
                <w:color w:val="000000"/>
                <w:sz w:val="21"/>
                <w:szCs w:val="21"/>
              </w:rPr>
              <w:t>库”，推广“苏商通”法人码应用，提供“码上授权”“扫码取号”“扫码亮证”等便捷服务。深化沪</w:t>
            </w:r>
            <w:proofErr w:type="gramStart"/>
            <w:r w:rsidRPr="006D1B15">
              <w:rPr>
                <w:rFonts w:hint="eastAsia"/>
                <w:color w:val="000000"/>
                <w:sz w:val="21"/>
                <w:szCs w:val="21"/>
              </w:rPr>
              <w:t>苏产业</w:t>
            </w:r>
            <w:proofErr w:type="gramEnd"/>
            <w:r w:rsidRPr="006D1B15">
              <w:rPr>
                <w:rFonts w:hint="eastAsia"/>
                <w:color w:val="000000"/>
                <w:sz w:val="21"/>
                <w:szCs w:val="21"/>
              </w:rPr>
              <w:t>协同，主动承接上海现代服务业溢出效应。认真检查梳理各项试点任务的推进情况，总结试点工作成效，把各项任务的推进落实与服务贸易创新发展有机结合，高质量完成全面深化试点任务。</w:t>
            </w:r>
          </w:p>
        </w:tc>
        <w:tc>
          <w:tcPr>
            <w:tcW w:w="1537" w:type="dxa"/>
            <w:tcMar>
              <w:top w:w="15" w:type="dxa"/>
              <w:left w:w="15" w:type="dxa"/>
              <w:right w:w="15" w:type="dxa"/>
            </w:tcMar>
            <w:vAlign w:val="center"/>
          </w:tcPr>
          <w:p w:rsidR="00DF6770" w:rsidRPr="00DF6770" w:rsidRDefault="00DF6770" w:rsidP="00DF6770">
            <w:pPr>
              <w:widowControl/>
              <w:spacing w:line="340" w:lineRule="exact"/>
              <w:textAlignment w:val="center"/>
              <w:rPr>
                <w:color w:val="000000"/>
                <w:sz w:val="21"/>
                <w:szCs w:val="21"/>
              </w:rPr>
            </w:pPr>
            <w:r w:rsidRPr="00DF6770">
              <w:rPr>
                <w:color w:val="000000"/>
                <w:sz w:val="21"/>
                <w:szCs w:val="21"/>
              </w:rPr>
              <w:t>市优化营商环境工作领导小组各成员单位按职责分工负责</w:t>
            </w:r>
          </w:p>
        </w:tc>
      </w:tr>
    </w:tbl>
    <w:p w:rsidR="00622AAE" w:rsidRPr="006D1B15" w:rsidRDefault="00622AAE" w:rsidP="00622AAE"/>
    <w:sectPr w:rsidR="00622AAE" w:rsidRPr="006D1B15" w:rsidSect="00EA33AE">
      <w:footerReference w:type="even" r:id="rId11"/>
      <w:type w:val="evenPage"/>
      <w:pgSz w:w="16838" w:h="11906" w:orient="landscape" w:code="9"/>
      <w:pgMar w:top="1588" w:right="2041" w:bottom="1474" w:left="1985" w:header="851" w:footer="1134" w:gutter="0"/>
      <w:pgNumType w:chapStyle="1"/>
      <w:cols w:space="425"/>
      <w:docGrid w:type="lines" w:linePitch="582"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A5F" w:rsidRDefault="00813A5F">
      <w:r>
        <w:separator/>
      </w:r>
    </w:p>
  </w:endnote>
  <w:endnote w:type="continuationSeparator" w:id="0">
    <w:p w:rsidR="00813A5F" w:rsidRDefault="0081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文鼎CS仿宋体">
    <w:altName w:val="宋体"/>
    <w:charset w:val="86"/>
    <w:family w:val="modern"/>
    <w:pitch w:val="default"/>
    <w:sig w:usb0="00000000" w:usb1="00000000" w:usb2="00000010" w:usb3="00000000" w:csb0="00040000" w:csb1="00000000"/>
  </w:font>
  <w:font w:name="汉鼎简大宋">
    <w:altName w:val="宋体"/>
    <w:charset w:val="86"/>
    <w:family w:val="modern"/>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Default="009C3117" w:rsidP="00E2792F">
    <w:pPr>
      <w:pStyle w:val="a3"/>
      <w:ind w:leftChars="100" w:left="320" w:rightChars="100" w:right="320"/>
    </w:pPr>
    <w:r w:rsidRPr="0050326D">
      <w:rPr>
        <w:rStyle w:val="a4"/>
        <w:rFonts w:eastAsia="宋体" w:hint="eastAsia"/>
        <w:sz w:val="28"/>
        <w:szCs w:val="28"/>
      </w:rPr>
      <w:t>—</w:t>
    </w:r>
    <w:r w:rsidRPr="0050326D">
      <w:rPr>
        <w:rStyle w:val="a4"/>
        <w:rFonts w:hint="eastAsia"/>
        <w:sz w:val="28"/>
        <w:szCs w:val="28"/>
      </w:rPr>
      <w:t xml:space="preserve"> </w:t>
    </w:r>
    <w:r w:rsidRPr="00A06498">
      <w:rPr>
        <w:rStyle w:val="a4"/>
        <w:rFonts w:ascii="宋体" w:eastAsia="宋体" w:hAnsi="宋体"/>
        <w:sz w:val="28"/>
        <w:szCs w:val="28"/>
      </w:rPr>
      <w:fldChar w:fldCharType="begin"/>
    </w:r>
    <w:r w:rsidRPr="00A06498">
      <w:rPr>
        <w:rStyle w:val="a4"/>
        <w:rFonts w:ascii="宋体" w:eastAsia="宋体" w:hAnsi="宋体"/>
        <w:sz w:val="28"/>
        <w:szCs w:val="28"/>
      </w:rPr>
      <w:instrText xml:space="preserve">PAGE  </w:instrText>
    </w:r>
    <w:r w:rsidRPr="00A06498">
      <w:rPr>
        <w:rStyle w:val="a4"/>
        <w:rFonts w:ascii="宋体" w:eastAsia="宋体" w:hAnsi="宋体"/>
        <w:sz w:val="28"/>
        <w:szCs w:val="28"/>
      </w:rPr>
      <w:fldChar w:fldCharType="separate"/>
    </w:r>
    <w:r w:rsidR="00EA33AE">
      <w:rPr>
        <w:rStyle w:val="a4"/>
        <w:rFonts w:ascii="宋体" w:eastAsia="宋体" w:hAnsi="宋体"/>
        <w:noProof/>
        <w:sz w:val="28"/>
        <w:szCs w:val="28"/>
      </w:rPr>
      <w:t>2</w:t>
    </w:r>
    <w:r w:rsidRPr="00A06498">
      <w:rPr>
        <w:rStyle w:val="a4"/>
        <w:rFonts w:ascii="宋体" w:eastAsia="宋体" w:hAnsi="宋体"/>
        <w:sz w:val="28"/>
        <w:szCs w:val="28"/>
      </w:rPr>
      <w:fldChar w:fldCharType="end"/>
    </w:r>
    <w:r w:rsidRPr="0050326D">
      <w:rPr>
        <w:rStyle w:val="a4"/>
        <w:rFonts w:hint="eastAsia"/>
        <w:sz w:val="28"/>
        <w:szCs w:val="28"/>
      </w:rPr>
      <w:t xml:space="preserve"> </w:t>
    </w:r>
    <w:r w:rsidRPr="0050326D">
      <w:rPr>
        <w:rStyle w:val="a4"/>
        <w:rFonts w:eastAsia="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Pr="0050326D" w:rsidRDefault="008D3F64" w:rsidP="00E2792F">
    <w:pPr>
      <w:pStyle w:val="a3"/>
      <w:ind w:leftChars="100" w:left="320" w:rightChars="100" w:right="320"/>
      <w:jc w:val="right"/>
      <w:rPr>
        <w:sz w:val="28"/>
        <w:szCs w:val="28"/>
      </w:rPr>
    </w:pPr>
    <w:r w:rsidRPr="0050326D">
      <w:rPr>
        <w:rStyle w:val="a4"/>
        <w:rFonts w:eastAsia="宋体" w:hint="eastAsia"/>
        <w:sz w:val="28"/>
        <w:szCs w:val="28"/>
      </w:rPr>
      <w:t>—</w:t>
    </w:r>
    <w:r w:rsidRPr="000C31BC">
      <w:rPr>
        <w:rStyle w:val="a4"/>
        <w:rFonts w:ascii="Times New Roman"/>
        <w:sz w:val="28"/>
        <w:szCs w:val="28"/>
      </w:rPr>
      <w:t xml:space="preserve"> </w:t>
    </w:r>
    <w:r w:rsidRPr="00A06498">
      <w:rPr>
        <w:rStyle w:val="a4"/>
        <w:rFonts w:ascii="宋体" w:eastAsia="宋体" w:hAnsi="宋体"/>
        <w:sz w:val="28"/>
        <w:szCs w:val="28"/>
      </w:rPr>
      <w:fldChar w:fldCharType="begin"/>
    </w:r>
    <w:r w:rsidRPr="00A06498">
      <w:rPr>
        <w:rStyle w:val="a4"/>
        <w:rFonts w:ascii="宋体" w:eastAsia="宋体" w:hAnsi="宋体"/>
        <w:sz w:val="28"/>
        <w:szCs w:val="28"/>
      </w:rPr>
      <w:instrText xml:space="preserve">PAGE  </w:instrText>
    </w:r>
    <w:r w:rsidRPr="00A06498">
      <w:rPr>
        <w:rStyle w:val="a4"/>
        <w:rFonts w:ascii="宋体" w:eastAsia="宋体" w:hAnsi="宋体"/>
        <w:sz w:val="28"/>
        <w:szCs w:val="28"/>
      </w:rPr>
      <w:fldChar w:fldCharType="separate"/>
    </w:r>
    <w:r w:rsidR="00EA33AE">
      <w:rPr>
        <w:rStyle w:val="a4"/>
        <w:rFonts w:ascii="宋体" w:eastAsia="宋体" w:hAnsi="宋体"/>
        <w:noProof/>
        <w:sz w:val="28"/>
        <w:szCs w:val="28"/>
      </w:rPr>
      <w:t>2</w:t>
    </w:r>
    <w:r w:rsidRPr="00A06498">
      <w:rPr>
        <w:rStyle w:val="a4"/>
        <w:rFonts w:ascii="宋体" w:eastAsia="宋体" w:hAnsi="宋体"/>
        <w:sz w:val="28"/>
        <w:szCs w:val="28"/>
      </w:rPr>
      <w:fldChar w:fldCharType="end"/>
    </w:r>
    <w:r w:rsidRPr="000C31BC">
      <w:rPr>
        <w:rStyle w:val="a4"/>
        <w:rFonts w:ascii="Times New Roman"/>
        <w:sz w:val="28"/>
        <w:szCs w:val="28"/>
      </w:rPr>
      <w:t xml:space="preserve"> </w:t>
    </w:r>
    <w:r w:rsidRPr="0050326D">
      <w:rPr>
        <w:rStyle w:val="a4"/>
        <w:rFonts w:eastAsia="宋体"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F64" w:rsidRDefault="008D3F64">
    <w:pPr>
      <w:pStyle w:val="a3"/>
      <w:jc w:val="center"/>
      <w:rPr>
        <w:sz w:val="32"/>
      </w:rPr>
    </w:pPr>
    <w:r>
      <w:rPr>
        <w:rStyle w:val="a4"/>
        <w:rFonts w:hint="eastAsia"/>
        <w:sz w:val="32"/>
      </w:rPr>
      <w:t xml:space="preserve">— </w:t>
    </w:r>
    <w:r>
      <w:rPr>
        <w:rStyle w:val="a4"/>
        <w:rFonts w:hint="eastAsia"/>
        <w:sz w:val="30"/>
      </w:rPr>
      <w:fldChar w:fldCharType="begin"/>
    </w:r>
    <w:r>
      <w:rPr>
        <w:rStyle w:val="a4"/>
        <w:rFonts w:hint="eastAsia"/>
        <w:sz w:val="30"/>
      </w:rPr>
      <w:instrText xml:space="preserve"> PAGE </w:instrText>
    </w:r>
    <w:r>
      <w:rPr>
        <w:rStyle w:val="a4"/>
        <w:rFonts w:hint="eastAsia"/>
        <w:sz w:val="30"/>
      </w:rPr>
      <w:fldChar w:fldCharType="separate"/>
    </w:r>
    <w:r>
      <w:rPr>
        <w:rStyle w:val="a4"/>
        <w:noProof/>
        <w:sz w:val="30"/>
      </w:rPr>
      <w:t>1</w:t>
    </w:r>
    <w:r>
      <w:rPr>
        <w:rStyle w:val="a4"/>
        <w:rFonts w:hint="eastAsia"/>
        <w:sz w:val="30"/>
      </w:rPr>
      <w:fldChar w:fldCharType="end"/>
    </w:r>
    <w:r>
      <w:rPr>
        <w:rStyle w:val="a4"/>
        <w:rFonts w:hint="eastAsia"/>
        <w:sz w:val="3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0AF" w:rsidRDefault="00DB50AF" w:rsidP="00DB50AF">
    <w:pPr>
      <w:pStyle w:val="a3"/>
      <w:ind w:leftChars="100" w:left="320" w:rightChars="100" w:right="320"/>
    </w:pPr>
    <w:r w:rsidRPr="0050326D">
      <w:rPr>
        <w:rStyle w:val="a4"/>
        <w:rFonts w:eastAsia="宋体" w:hint="eastAsia"/>
        <w:sz w:val="28"/>
        <w:szCs w:val="28"/>
      </w:rPr>
      <w:t>—</w:t>
    </w:r>
    <w:r w:rsidRPr="0050326D">
      <w:rPr>
        <w:rStyle w:val="a4"/>
        <w:rFonts w:hint="eastAsia"/>
        <w:sz w:val="28"/>
        <w:szCs w:val="28"/>
      </w:rPr>
      <w:t xml:space="preserve"> </w:t>
    </w:r>
    <w:r>
      <w:rPr>
        <w:rStyle w:val="a4"/>
        <w:rFonts w:ascii="宋体" w:eastAsia="宋体" w:hAnsi="宋体" w:hint="eastAsia"/>
        <w:sz w:val="28"/>
        <w:szCs w:val="28"/>
      </w:rPr>
      <w:t>30</w:t>
    </w:r>
    <w:r w:rsidRPr="0050326D">
      <w:rPr>
        <w:rStyle w:val="a4"/>
        <w:rFonts w:hint="eastAsia"/>
        <w:sz w:val="28"/>
        <w:szCs w:val="28"/>
      </w:rPr>
      <w:t xml:space="preserve"> </w:t>
    </w:r>
    <w:r w:rsidRPr="0050326D">
      <w:rPr>
        <w:rStyle w:val="a4"/>
        <w:rFonts w:eastAsia="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A5F" w:rsidRDefault="00813A5F">
      <w:r>
        <w:separator/>
      </w:r>
    </w:p>
  </w:footnote>
  <w:footnote w:type="continuationSeparator" w:id="0">
    <w:p w:rsidR="00813A5F" w:rsidRDefault="00813A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2"/>
      <w:numFmt w:val="chineseCounting"/>
      <w:suff w:val="nothing"/>
      <w:lvlText w:val="（%1）"/>
      <w:lvlJc w:val="left"/>
    </w:lvl>
  </w:abstractNum>
  <w:abstractNum w:abstractNumId="1">
    <w:nsid w:val="00503C2E"/>
    <w:multiLevelType w:val="hybridMultilevel"/>
    <w:tmpl w:val="F23454E2"/>
    <w:lvl w:ilvl="0" w:tplc="76AC3FC6">
      <w:start w:val="1"/>
      <w:numFmt w:val="japaneseCounting"/>
      <w:lvlText w:val="（%1）"/>
      <w:lvlJc w:val="left"/>
      <w:pPr>
        <w:tabs>
          <w:tab w:val="num" w:pos="1720"/>
        </w:tabs>
        <w:ind w:left="1720" w:hanging="108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nsid w:val="014D19ED"/>
    <w:multiLevelType w:val="hybridMultilevel"/>
    <w:tmpl w:val="984E71DC"/>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nsid w:val="068129EA"/>
    <w:multiLevelType w:val="hybridMultilevel"/>
    <w:tmpl w:val="27A682B6"/>
    <w:lvl w:ilvl="0" w:tplc="42948A04">
      <w:start w:val="1"/>
      <w:numFmt w:val="japaneseCounting"/>
      <w:lvlText w:val="%1、"/>
      <w:lvlJc w:val="left"/>
      <w:pPr>
        <w:tabs>
          <w:tab w:val="num" w:pos="1360"/>
        </w:tabs>
        <w:ind w:left="1360" w:hanging="720"/>
      </w:pPr>
      <w:rPr>
        <w:rFonts w:hint="eastAsia"/>
      </w:rPr>
    </w:lvl>
    <w:lvl w:ilvl="1" w:tplc="E7487484">
      <w:start w:val="3"/>
      <w:numFmt w:val="decimal"/>
      <w:lvlText w:val="%2、"/>
      <w:lvlJc w:val="left"/>
      <w:pPr>
        <w:tabs>
          <w:tab w:val="num" w:pos="1780"/>
        </w:tabs>
        <w:ind w:left="1780" w:hanging="720"/>
      </w:pPr>
      <w:rPr>
        <w:rFonts w:hint="default"/>
        <w:b/>
      </w:r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4">
    <w:nsid w:val="0D176257"/>
    <w:multiLevelType w:val="hybridMultilevel"/>
    <w:tmpl w:val="CD04A6B4"/>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nsid w:val="0F71130A"/>
    <w:multiLevelType w:val="hybridMultilevel"/>
    <w:tmpl w:val="A4A60806"/>
    <w:lvl w:ilvl="0" w:tplc="A4ACF834">
      <w:start w:val="1"/>
      <w:numFmt w:val="japaneseCounting"/>
      <w:lvlText w:val="%1、"/>
      <w:lvlJc w:val="left"/>
      <w:pPr>
        <w:tabs>
          <w:tab w:val="num" w:pos="720"/>
        </w:tabs>
        <w:ind w:left="720" w:hanging="720"/>
      </w:pPr>
      <w:rPr>
        <w:rFonts w:ascii="宋体" w:hAnsi="Arial" w:cs="Arial"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2491DD2"/>
    <w:multiLevelType w:val="hybridMultilevel"/>
    <w:tmpl w:val="4D3C63B2"/>
    <w:lvl w:ilvl="0" w:tplc="AD2600FE">
      <w:start w:val="1"/>
      <w:numFmt w:val="japaneseCounting"/>
      <w:lvlText w:val="%1、"/>
      <w:lvlJc w:val="left"/>
      <w:pPr>
        <w:tabs>
          <w:tab w:val="num" w:pos="1320"/>
        </w:tabs>
        <w:ind w:left="1320" w:hanging="720"/>
      </w:pPr>
      <w:rPr>
        <w:rFonts w:hint="default"/>
      </w:rPr>
    </w:lvl>
    <w:lvl w:ilvl="1" w:tplc="98E2A3CE">
      <w:start w:val="2"/>
      <w:numFmt w:val="decimal"/>
      <w:lvlText w:val="%2、"/>
      <w:lvlJc w:val="left"/>
      <w:pPr>
        <w:tabs>
          <w:tab w:val="num" w:pos="1740"/>
        </w:tabs>
        <w:ind w:left="1740" w:hanging="720"/>
      </w:pPr>
      <w:rPr>
        <w:rFonts w:hint="default"/>
      </w:rPr>
    </w:lvl>
    <w:lvl w:ilvl="2" w:tplc="0B447D40">
      <w:start w:val="1"/>
      <w:numFmt w:val="decimal"/>
      <w:lvlText w:val="（%3）"/>
      <w:lvlJc w:val="left"/>
      <w:pPr>
        <w:tabs>
          <w:tab w:val="num" w:pos="2790"/>
        </w:tabs>
        <w:ind w:left="2790" w:hanging="1350"/>
      </w:pPr>
      <w:rPr>
        <w:rFonts w:hint="default"/>
      </w:r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7">
    <w:nsid w:val="158D6D7F"/>
    <w:multiLevelType w:val="hybridMultilevel"/>
    <w:tmpl w:val="0096B6D4"/>
    <w:lvl w:ilvl="0" w:tplc="EF983FD4">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8">
    <w:nsid w:val="161E2CF4"/>
    <w:multiLevelType w:val="hybridMultilevel"/>
    <w:tmpl w:val="B080BE98"/>
    <w:lvl w:ilvl="0" w:tplc="58FC17DC">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9">
    <w:nsid w:val="17874082"/>
    <w:multiLevelType w:val="hybridMultilevel"/>
    <w:tmpl w:val="CB04CDCE"/>
    <w:lvl w:ilvl="0" w:tplc="11CE48E8">
      <w:start w:val="1"/>
      <w:numFmt w:val="japaneseCounting"/>
      <w:lvlText w:val="%1、"/>
      <w:lvlJc w:val="left"/>
      <w:pPr>
        <w:tabs>
          <w:tab w:val="num" w:pos="720"/>
        </w:tabs>
        <w:ind w:left="720" w:hanging="720"/>
      </w:pPr>
      <w:rPr>
        <w:rFonts w:hint="default"/>
      </w:rPr>
    </w:lvl>
    <w:lvl w:ilvl="1" w:tplc="02500702">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6316CEF"/>
    <w:multiLevelType w:val="hybridMultilevel"/>
    <w:tmpl w:val="A84E4F60"/>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26CF07E8"/>
    <w:multiLevelType w:val="hybridMultilevel"/>
    <w:tmpl w:val="D10C32CE"/>
    <w:lvl w:ilvl="0" w:tplc="B5C83FFA">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12">
    <w:nsid w:val="297D562E"/>
    <w:multiLevelType w:val="hybridMultilevel"/>
    <w:tmpl w:val="006ED382"/>
    <w:lvl w:ilvl="0" w:tplc="FA7E5074">
      <w:start w:val="2"/>
      <w:numFmt w:val="decimal"/>
      <w:lvlText w:val="%1、"/>
      <w:lvlJc w:val="left"/>
      <w:pPr>
        <w:tabs>
          <w:tab w:val="num" w:pos="720"/>
        </w:tabs>
        <w:ind w:left="720" w:hanging="720"/>
      </w:pPr>
      <w:rPr>
        <w:rFonts w:ascii="仿宋_GB2312" w:eastAsia="仿宋_GB2312"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AD97C14"/>
    <w:multiLevelType w:val="hybridMultilevel"/>
    <w:tmpl w:val="A6DCB3D0"/>
    <w:lvl w:ilvl="0" w:tplc="608EA036">
      <w:start w:val="1"/>
      <w:numFmt w:val="decimal"/>
      <w:lvlText w:val="%1、"/>
      <w:lvlJc w:val="left"/>
      <w:pPr>
        <w:tabs>
          <w:tab w:val="num" w:pos="1360"/>
        </w:tabs>
        <w:ind w:left="1360" w:hanging="720"/>
      </w:pPr>
      <w:rPr>
        <w:rFonts w:ascii="楷体_GB2312" w:eastAsia="楷体_GB2312" w:hint="default"/>
        <w:b/>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4">
    <w:nsid w:val="3909599E"/>
    <w:multiLevelType w:val="hybridMultilevel"/>
    <w:tmpl w:val="83EC657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nsid w:val="3A260C8E"/>
    <w:multiLevelType w:val="hybridMultilevel"/>
    <w:tmpl w:val="E24E619E"/>
    <w:lvl w:ilvl="0" w:tplc="F45ACEE0">
      <w:start w:val="2"/>
      <w:numFmt w:val="decimal"/>
      <w:lvlText w:val="%1、"/>
      <w:lvlJc w:val="left"/>
      <w:pPr>
        <w:tabs>
          <w:tab w:val="num" w:pos="1365"/>
        </w:tabs>
        <w:ind w:left="1365" w:hanging="720"/>
      </w:pPr>
      <w:rPr>
        <w:rFonts w:ascii="仿宋_GB2312" w:eastAsia="仿宋_GB2312"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6">
    <w:nsid w:val="3C110D77"/>
    <w:multiLevelType w:val="hybridMultilevel"/>
    <w:tmpl w:val="1E367AD6"/>
    <w:lvl w:ilvl="0" w:tplc="44FE127A">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7">
    <w:nsid w:val="438929EB"/>
    <w:multiLevelType w:val="hybridMultilevel"/>
    <w:tmpl w:val="CEC85C5C"/>
    <w:lvl w:ilvl="0" w:tplc="FFFFFFFF">
      <w:start w:val="8"/>
      <w:numFmt w:val="japaneseCounting"/>
      <w:lvlText w:val="第%1条"/>
      <w:lvlJc w:val="left"/>
      <w:pPr>
        <w:tabs>
          <w:tab w:val="num" w:pos="2550"/>
        </w:tabs>
        <w:ind w:left="2550" w:hanging="1920"/>
      </w:pPr>
      <w:rPr>
        <w:rFonts w:hint="eastAsia"/>
        <w:b/>
      </w:rPr>
    </w:lvl>
    <w:lvl w:ilvl="1" w:tplc="FFFFFFFF" w:tentative="1">
      <w:start w:val="1"/>
      <w:numFmt w:val="lowerLetter"/>
      <w:lvlText w:val="%2)"/>
      <w:lvlJc w:val="left"/>
      <w:pPr>
        <w:tabs>
          <w:tab w:val="num" w:pos="1470"/>
        </w:tabs>
        <w:ind w:left="1470" w:hanging="420"/>
      </w:pPr>
    </w:lvl>
    <w:lvl w:ilvl="2" w:tplc="FFFFFFFF" w:tentative="1">
      <w:start w:val="1"/>
      <w:numFmt w:val="lowerRoman"/>
      <w:lvlText w:val="%3."/>
      <w:lvlJc w:val="right"/>
      <w:pPr>
        <w:tabs>
          <w:tab w:val="num" w:pos="1890"/>
        </w:tabs>
        <w:ind w:left="1890" w:hanging="420"/>
      </w:pPr>
    </w:lvl>
    <w:lvl w:ilvl="3" w:tplc="FFFFFFFF" w:tentative="1">
      <w:start w:val="1"/>
      <w:numFmt w:val="decimal"/>
      <w:lvlText w:val="%4."/>
      <w:lvlJc w:val="left"/>
      <w:pPr>
        <w:tabs>
          <w:tab w:val="num" w:pos="2310"/>
        </w:tabs>
        <w:ind w:left="2310" w:hanging="420"/>
      </w:pPr>
    </w:lvl>
    <w:lvl w:ilvl="4" w:tplc="FFFFFFFF" w:tentative="1">
      <w:start w:val="1"/>
      <w:numFmt w:val="lowerLetter"/>
      <w:lvlText w:val="%5)"/>
      <w:lvlJc w:val="left"/>
      <w:pPr>
        <w:tabs>
          <w:tab w:val="num" w:pos="2730"/>
        </w:tabs>
        <w:ind w:left="2730" w:hanging="420"/>
      </w:pPr>
    </w:lvl>
    <w:lvl w:ilvl="5" w:tplc="FFFFFFFF" w:tentative="1">
      <w:start w:val="1"/>
      <w:numFmt w:val="lowerRoman"/>
      <w:lvlText w:val="%6."/>
      <w:lvlJc w:val="right"/>
      <w:pPr>
        <w:tabs>
          <w:tab w:val="num" w:pos="3150"/>
        </w:tabs>
        <w:ind w:left="3150" w:hanging="420"/>
      </w:pPr>
    </w:lvl>
    <w:lvl w:ilvl="6" w:tplc="FFFFFFFF" w:tentative="1">
      <w:start w:val="1"/>
      <w:numFmt w:val="decimal"/>
      <w:lvlText w:val="%7."/>
      <w:lvlJc w:val="left"/>
      <w:pPr>
        <w:tabs>
          <w:tab w:val="num" w:pos="3570"/>
        </w:tabs>
        <w:ind w:left="3570" w:hanging="420"/>
      </w:pPr>
    </w:lvl>
    <w:lvl w:ilvl="7" w:tplc="FFFFFFFF" w:tentative="1">
      <w:start w:val="1"/>
      <w:numFmt w:val="lowerLetter"/>
      <w:lvlText w:val="%8)"/>
      <w:lvlJc w:val="left"/>
      <w:pPr>
        <w:tabs>
          <w:tab w:val="num" w:pos="3990"/>
        </w:tabs>
        <w:ind w:left="3990" w:hanging="420"/>
      </w:pPr>
    </w:lvl>
    <w:lvl w:ilvl="8" w:tplc="FFFFFFFF" w:tentative="1">
      <w:start w:val="1"/>
      <w:numFmt w:val="lowerRoman"/>
      <w:lvlText w:val="%9."/>
      <w:lvlJc w:val="right"/>
      <w:pPr>
        <w:tabs>
          <w:tab w:val="num" w:pos="4410"/>
        </w:tabs>
        <w:ind w:left="4410" w:hanging="420"/>
      </w:pPr>
    </w:lvl>
  </w:abstractNum>
  <w:abstractNum w:abstractNumId="18">
    <w:nsid w:val="50C67BAD"/>
    <w:multiLevelType w:val="hybridMultilevel"/>
    <w:tmpl w:val="E64A5026"/>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nsid w:val="527231C0"/>
    <w:multiLevelType w:val="hybridMultilevel"/>
    <w:tmpl w:val="898AFB24"/>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0">
    <w:nsid w:val="548705BA"/>
    <w:multiLevelType w:val="hybridMultilevel"/>
    <w:tmpl w:val="9DEE5B0A"/>
    <w:lvl w:ilvl="0" w:tplc="FFFFFFFF">
      <w:start w:val="1"/>
      <w:numFmt w:val="japaneseCounting"/>
      <w:pStyle w:val="CharCharCharChar"/>
      <w:lvlText w:val="（%1）"/>
      <w:lvlJc w:val="left"/>
      <w:pPr>
        <w:tabs>
          <w:tab w:val="num" w:pos="1707"/>
        </w:tabs>
        <w:ind w:left="1707" w:hanging="1080"/>
      </w:pPr>
      <w:rPr>
        <w:rFonts w:hint="eastAsia"/>
      </w:rPr>
    </w:lvl>
    <w:lvl w:ilvl="1" w:tplc="FFFFFFFF" w:tentative="1">
      <w:start w:val="1"/>
      <w:numFmt w:val="lowerLetter"/>
      <w:lvlText w:val="%2)"/>
      <w:lvlJc w:val="left"/>
      <w:pPr>
        <w:tabs>
          <w:tab w:val="num" w:pos="1467"/>
        </w:tabs>
        <w:ind w:left="1467" w:hanging="420"/>
      </w:pPr>
    </w:lvl>
    <w:lvl w:ilvl="2" w:tplc="FFFFFFFF" w:tentative="1">
      <w:start w:val="1"/>
      <w:numFmt w:val="lowerRoman"/>
      <w:lvlText w:val="%3."/>
      <w:lvlJc w:val="right"/>
      <w:pPr>
        <w:tabs>
          <w:tab w:val="num" w:pos="1887"/>
        </w:tabs>
        <w:ind w:left="1887" w:hanging="420"/>
      </w:pPr>
    </w:lvl>
    <w:lvl w:ilvl="3" w:tplc="FFFFFFFF" w:tentative="1">
      <w:start w:val="1"/>
      <w:numFmt w:val="decimal"/>
      <w:lvlText w:val="%4."/>
      <w:lvlJc w:val="left"/>
      <w:pPr>
        <w:tabs>
          <w:tab w:val="num" w:pos="2307"/>
        </w:tabs>
        <w:ind w:left="2307" w:hanging="420"/>
      </w:pPr>
    </w:lvl>
    <w:lvl w:ilvl="4" w:tplc="FFFFFFFF" w:tentative="1">
      <w:start w:val="1"/>
      <w:numFmt w:val="lowerLetter"/>
      <w:lvlText w:val="%5)"/>
      <w:lvlJc w:val="left"/>
      <w:pPr>
        <w:tabs>
          <w:tab w:val="num" w:pos="2727"/>
        </w:tabs>
        <w:ind w:left="2727" w:hanging="420"/>
      </w:pPr>
    </w:lvl>
    <w:lvl w:ilvl="5" w:tplc="FFFFFFFF" w:tentative="1">
      <w:start w:val="1"/>
      <w:numFmt w:val="lowerRoman"/>
      <w:lvlText w:val="%6."/>
      <w:lvlJc w:val="right"/>
      <w:pPr>
        <w:tabs>
          <w:tab w:val="num" w:pos="3147"/>
        </w:tabs>
        <w:ind w:left="3147" w:hanging="420"/>
      </w:pPr>
    </w:lvl>
    <w:lvl w:ilvl="6" w:tplc="FFFFFFFF" w:tentative="1">
      <w:start w:val="1"/>
      <w:numFmt w:val="decimal"/>
      <w:lvlText w:val="%7."/>
      <w:lvlJc w:val="left"/>
      <w:pPr>
        <w:tabs>
          <w:tab w:val="num" w:pos="3567"/>
        </w:tabs>
        <w:ind w:left="3567" w:hanging="420"/>
      </w:pPr>
    </w:lvl>
    <w:lvl w:ilvl="7" w:tplc="FFFFFFFF" w:tentative="1">
      <w:start w:val="1"/>
      <w:numFmt w:val="lowerLetter"/>
      <w:lvlText w:val="%8)"/>
      <w:lvlJc w:val="left"/>
      <w:pPr>
        <w:tabs>
          <w:tab w:val="num" w:pos="3987"/>
        </w:tabs>
        <w:ind w:left="3987" w:hanging="420"/>
      </w:pPr>
    </w:lvl>
    <w:lvl w:ilvl="8" w:tplc="FFFFFFFF" w:tentative="1">
      <w:start w:val="1"/>
      <w:numFmt w:val="lowerRoman"/>
      <w:lvlText w:val="%9."/>
      <w:lvlJc w:val="right"/>
      <w:pPr>
        <w:tabs>
          <w:tab w:val="num" w:pos="4407"/>
        </w:tabs>
        <w:ind w:left="4407" w:hanging="420"/>
      </w:pPr>
    </w:lvl>
  </w:abstractNum>
  <w:abstractNum w:abstractNumId="21">
    <w:nsid w:val="58A14E29"/>
    <w:multiLevelType w:val="hybridMultilevel"/>
    <w:tmpl w:val="90FED428"/>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nsid w:val="5D3E5E21"/>
    <w:multiLevelType w:val="hybridMultilevel"/>
    <w:tmpl w:val="C308BAD0"/>
    <w:lvl w:ilvl="0" w:tplc="0B4CDBB2">
      <w:start w:val="1"/>
      <w:numFmt w:val="japaneseCounting"/>
      <w:lvlText w:val="%1、"/>
      <w:lvlJc w:val="left"/>
      <w:pPr>
        <w:tabs>
          <w:tab w:val="num" w:pos="1350"/>
        </w:tabs>
        <w:ind w:left="1350" w:hanging="720"/>
      </w:pPr>
      <w:rPr>
        <w:rFonts w:hint="eastAsia"/>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3">
    <w:nsid w:val="6BF14DC2"/>
    <w:multiLevelType w:val="hybridMultilevel"/>
    <w:tmpl w:val="980C880C"/>
    <w:lvl w:ilvl="0" w:tplc="237E25EE">
      <w:start w:val="1"/>
      <w:numFmt w:val="japaneseCounting"/>
      <w:lvlText w:val="%1、"/>
      <w:lvlJc w:val="left"/>
      <w:pPr>
        <w:tabs>
          <w:tab w:val="num" w:pos="1365"/>
        </w:tabs>
        <w:ind w:left="1365" w:hanging="720"/>
      </w:pPr>
      <w:rPr>
        <w:rFonts w:hint="default"/>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24">
    <w:nsid w:val="6E2B4329"/>
    <w:multiLevelType w:val="hybridMultilevel"/>
    <w:tmpl w:val="329E6794"/>
    <w:lvl w:ilvl="0" w:tplc="761EEFE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722D6DAA"/>
    <w:multiLevelType w:val="hybridMultilevel"/>
    <w:tmpl w:val="C24EAEB0"/>
    <w:lvl w:ilvl="0" w:tplc="6A64180C">
      <w:start w:val="2"/>
      <w:numFmt w:val="decimal"/>
      <w:lvlText w:val="%1、"/>
      <w:lvlJc w:val="left"/>
      <w:pPr>
        <w:tabs>
          <w:tab w:val="num" w:pos="1470"/>
        </w:tabs>
        <w:ind w:left="1470" w:hanging="720"/>
      </w:pPr>
      <w:rPr>
        <w:rFonts w:ascii="仿宋_GB2312" w:eastAsia="仿宋_GB2312" w:hint="default"/>
      </w:rPr>
    </w:lvl>
    <w:lvl w:ilvl="1" w:tplc="04090019" w:tentative="1">
      <w:start w:val="1"/>
      <w:numFmt w:val="lowerLetter"/>
      <w:lvlText w:val="%2)"/>
      <w:lvlJc w:val="left"/>
      <w:pPr>
        <w:tabs>
          <w:tab w:val="num" w:pos="1590"/>
        </w:tabs>
        <w:ind w:left="1590" w:hanging="420"/>
      </w:pPr>
    </w:lvl>
    <w:lvl w:ilvl="2" w:tplc="0409001B" w:tentative="1">
      <w:start w:val="1"/>
      <w:numFmt w:val="lowerRoman"/>
      <w:lvlText w:val="%3."/>
      <w:lvlJc w:val="righ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9" w:tentative="1">
      <w:start w:val="1"/>
      <w:numFmt w:val="lowerLetter"/>
      <w:lvlText w:val="%5)"/>
      <w:lvlJc w:val="left"/>
      <w:pPr>
        <w:tabs>
          <w:tab w:val="num" w:pos="2850"/>
        </w:tabs>
        <w:ind w:left="2850" w:hanging="420"/>
      </w:pPr>
    </w:lvl>
    <w:lvl w:ilvl="5" w:tplc="0409001B" w:tentative="1">
      <w:start w:val="1"/>
      <w:numFmt w:val="lowerRoman"/>
      <w:lvlText w:val="%6."/>
      <w:lvlJc w:val="righ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9" w:tentative="1">
      <w:start w:val="1"/>
      <w:numFmt w:val="lowerLetter"/>
      <w:lvlText w:val="%8)"/>
      <w:lvlJc w:val="left"/>
      <w:pPr>
        <w:tabs>
          <w:tab w:val="num" w:pos="4110"/>
        </w:tabs>
        <w:ind w:left="4110" w:hanging="420"/>
      </w:pPr>
    </w:lvl>
    <w:lvl w:ilvl="8" w:tplc="0409001B" w:tentative="1">
      <w:start w:val="1"/>
      <w:numFmt w:val="lowerRoman"/>
      <w:lvlText w:val="%9."/>
      <w:lvlJc w:val="right"/>
      <w:pPr>
        <w:tabs>
          <w:tab w:val="num" w:pos="4530"/>
        </w:tabs>
        <w:ind w:left="4530" w:hanging="420"/>
      </w:pPr>
    </w:lvl>
  </w:abstractNum>
  <w:abstractNum w:abstractNumId="26">
    <w:nsid w:val="765A1F94"/>
    <w:multiLevelType w:val="hybridMultilevel"/>
    <w:tmpl w:val="69D47C98"/>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nsid w:val="7B4B47E5"/>
    <w:multiLevelType w:val="hybridMultilevel"/>
    <w:tmpl w:val="AB4E624A"/>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nsid w:val="7CE243E7"/>
    <w:multiLevelType w:val="hybridMultilevel"/>
    <w:tmpl w:val="6A0E0F1A"/>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9">
    <w:nsid w:val="7F5B1979"/>
    <w:multiLevelType w:val="hybridMultilevel"/>
    <w:tmpl w:val="C72A3B2E"/>
    <w:lvl w:ilvl="0" w:tplc="5ECC3796">
      <w:start w:val="1"/>
      <w:numFmt w:val="decimal"/>
      <w:lvlText w:val="%1、"/>
      <w:lvlJc w:val="left"/>
      <w:pPr>
        <w:tabs>
          <w:tab w:val="num" w:pos="1843"/>
        </w:tabs>
        <w:ind w:left="1843" w:hanging="1155"/>
      </w:pPr>
      <w:rPr>
        <w:rFonts w:hint="eastAsia"/>
      </w:rPr>
    </w:lvl>
    <w:lvl w:ilvl="1" w:tplc="04090019" w:tentative="1">
      <w:start w:val="1"/>
      <w:numFmt w:val="lowerLetter"/>
      <w:lvlText w:val="%2)"/>
      <w:lvlJc w:val="left"/>
      <w:pPr>
        <w:tabs>
          <w:tab w:val="num" w:pos="1528"/>
        </w:tabs>
        <w:ind w:left="1528" w:hanging="420"/>
      </w:pPr>
    </w:lvl>
    <w:lvl w:ilvl="2" w:tplc="0409001B" w:tentative="1">
      <w:start w:val="1"/>
      <w:numFmt w:val="lowerRoman"/>
      <w:lvlText w:val="%3."/>
      <w:lvlJc w:val="right"/>
      <w:pPr>
        <w:tabs>
          <w:tab w:val="num" w:pos="1948"/>
        </w:tabs>
        <w:ind w:left="1948" w:hanging="420"/>
      </w:pPr>
    </w:lvl>
    <w:lvl w:ilvl="3" w:tplc="0409000F" w:tentative="1">
      <w:start w:val="1"/>
      <w:numFmt w:val="decimal"/>
      <w:lvlText w:val="%4."/>
      <w:lvlJc w:val="left"/>
      <w:pPr>
        <w:tabs>
          <w:tab w:val="num" w:pos="2368"/>
        </w:tabs>
        <w:ind w:left="2368" w:hanging="420"/>
      </w:pPr>
    </w:lvl>
    <w:lvl w:ilvl="4" w:tplc="04090019" w:tentative="1">
      <w:start w:val="1"/>
      <w:numFmt w:val="lowerLetter"/>
      <w:lvlText w:val="%5)"/>
      <w:lvlJc w:val="left"/>
      <w:pPr>
        <w:tabs>
          <w:tab w:val="num" w:pos="2788"/>
        </w:tabs>
        <w:ind w:left="2788" w:hanging="420"/>
      </w:pPr>
    </w:lvl>
    <w:lvl w:ilvl="5" w:tplc="0409001B" w:tentative="1">
      <w:start w:val="1"/>
      <w:numFmt w:val="lowerRoman"/>
      <w:lvlText w:val="%6."/>
      <w:lvlJc w:val="right"/>
      <w:pPr>
        <w:tabs>
          <w:tab w:val="num" w:pos="3208"/>
        </w:tabs>
        <w:ind w:left="3208" w:hanging="420"/>
      </w:pPr>
    </w:lvl>
    <w:lvl w:ilvl="6" w:tplc="0409000F" w:tentative="1">
      <w:start w:val="1"/>
      <w:numFmt w:val="decimal"/>
      <w:lvlText w:val="%7."/>
      <w:lvlJc w:val="left"/>
      <w:pPr>
        <w:tabs>
          <w:tab w:val="num" w:pos="3628"/>
        </w:tabs>
        <w:ind w:left="3628" w:hanging="420"/>
      </w:pPr>
    </w:lvl>
    <w:lvl w:ilvl="7" w:tplc="04090019" w:tentative="1">
      <w:start w:val="1"/>
      <w:numFmt w:val="lowerLetter"/>
      <w:lvlText w:val="%8)"/>
      <w:lvlJc w:val="left"/>
      <w:pPr>
        <w:tabs>
          <w:tab w:val="num" w:pos="4048"/>
        </w:tabs>
        <w:ind w:left="4048" w:hanging="420"/>
      </w:pPr>
    </w:lvl>
    <w:lvl w:ilvl="8" w:tplc="0409001B" w:tentative="1">
      <w:start w:val="1"/>
      <w:numFmt w:val="lowerRoman"/>
      <w:lvlText w:val="%9."/>
      <w:lvlJc w:val="right"/>
      <w:pPr>
        <w:tabs>
          <w:tab w:val="num" w:pos="4468"/>
        </w:tabs>
        <w:ind w:left="4468" w:hanging="420"/>
      </w:pPr>
    </w:lvl>
  </w:abstractNum>
  <w:num w:numId="1">
    <w:abstractNumId w:val="20"/>
  </w:num>
  <w:num w:numId="2">
    <w:abstractNumId w:val="17"/>
  </w:num>
  <w:num w:numId="3">
    <w:abstractNumId w:val="29"/>
  </w:num>
  <w:num w:numId="4">
    <w:abstractNumId w:val="2"/>
  </w:num>
  <w:num w:numId="5">
    <w:abstractNumId w:val="14"/>
  </w:num>
  <w:num w:numId="6">
    <w:abstractNumId w:val="10"/>
  </w:num>
  <w:num w:numId="7">
    <w:abstractNumId w:val="28"/>
  </w:num>
  <w:num w:numId="8">
    <w:abstractNumId w:val="21"/>
  </w:num>
  <w:num w:numId="9">
    <w:abstractNumId w:val="18"/>
  </w:num>
  <w:num w:numId="10">
    <w:abstractNumId w:val="26"/>
  </w:num>
  <w:num w:numId="11">
    <w:abstractNumId w:val="27"/>
  </w:num>
  <w:num w:numId="12">
    <w:abstractNumId w:val="19"/>
  </w:num>
  <w:num w:numId="13">
    <w:abstractNumId w:val="4"/>
  </w:num>
  <w:num w:numId="14">
    <w:abstractNumId w:val="22"/>
  </w:num>
  <w:num w:numId="15">
    <w:abstractNumId w:val="11"/>
  </w:num>
  <w:num w:numId="16">
    <w:abstractNumId w:val="8"/>
  </w:num>
  <w:num w:numId="17">
    <w:abstractNumId w:val="5"/>
  </w:num>
  <w:num w:numId="18">
    <w:abstractNumId w:val="16"/>
  </w:num>
  <w:num w:numId="19">
    <w:abstractNumId w:val="1"/>
  </w:num>
  <w:num w:numId="20">
    <w:abstractNumId w:val="15"/>
  </w:num>
  <w:num w:numId="21">
    <w:abstractNumId w:val="12"/>
  </w:num>
  <w:num w:numId="22">
    <w:abstractNumId w:val="25"/>
  </w:num>
  <w:num w:numId="23">
    <w:abstractNumId w:val="24"/>
  </w:num>
  <w:num w:numId="24">
    <w:abstractNumId w:val="3"/>
  </w:num>
  <w:num w:numId="25">
    <w:abstractNumId w:val="13"/>
  </w:num>
  <w:num w:numId="26">
    <w:abstractNumId w:val="6"/>
  </w:num>
  <w:num w:numId="27">
    <w:abstractNumId w:val="9"/>
  </w:num>
  <w:num w:numId="28">
    <w:abstractNumId w:val="0"/>
  </w:num>
  <w:num w:numId="29">
    <w:abstractNumId w:val="2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activeWritingStyle w:appName="MSWord" w:lang="zh-CN" w:vendorID="64" w:dllVersion="131077" w:nlCheck="1" w:checkStyle="1"/>
  <w:activeWritingStyle w:appName="MSWord" w:lang="en-US" w:vendorID="64" w:dllVersion="131077" w:nlCheck="1" w:checkStyle="1"/>
  <w:activeWritingStyle w:appName="MSWord" w:lang="en-US" w:vendorID="64" w:dllVersion="131078" w:nlCheck="1" w:checkStyle="1"/>
  <w:proofState w:spelling="clean" w:grammar="clean"/>
  <w:attachedTemplate r:id="rId1"/>
  <w:defaultTabStop w:val="420"/>
  <w:drawingGridHorizontalSpacing w:val="158"/>
  <w:drawingGridVerticalSpacing w:val="291"/>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AAE"/>
    <w:rsid w:val="000011EB"/>
    <w:rsid w:val="00004058"/>
    <w:rsid w:val="000043A3"/>
    <w:rsid w:val="00010BCB"/>
    <w:rsid w:val="00011BD7"/>
    <w:rsid w:val="0007710A"/>
    <w:rsid w:val="00077BA6"/>
    <w:rsid w:val="00092DBD"/>
    <w:rsid w:val="00094AB6"/>
    <w:rsid w:val="000A551C"/>
    <w:rsid w:val="000B0BA9"/>
    <w:rsid w:val="000B3FB9"/>
    <w:rsid w:val="000B5C8D"/>
    <w:rsid w:val="000B756E"/>
    <w:rsid w:val="000C31BC"/>
    <w:rsid w:val="000D0B49"/>
    <w:rsid w:val="000E150B"/>
    <w:rsid w:val="000E362A"/>
    <w:rsid w:val="00104C6F"/>
    <w:rsid w:val="001151A4"/>
    <w:rsid w:val="00117346"/>
    <w:rsid w:val="00117539"/>
    <w:rsid w:val="001279A8"/>
    <w:rsid w:val="0015474D"/>
    <w:rsid w:val="001649D8"/>
    <w:rsid w:val="001671E5"/>
    <w:rsid w:val="00171838"/>
    <w:rsid w:val="00177DED"/>
    <w:rsid w:val="001851DF"/>
    <w:rsid w:val="00185A6C"/>
    <w:rsid w:val="00193FB2"/>
    <w:rsid w:val="001A447F"/>
    <w:rsid w:val="001B11DF"/>
    <w:rsid w:val="001B70F3"/>
    <w:rsid w:val="001D307E"/>
    <w:rsid w:val="001D3A09"/>
    <w:rsid w:val="001E1E9A"/>
    <w:rsid w:val="00200649"/>
    <w:rsid w:val="00201C66"/>
    <w:rsid w:val="00250057"/>
    <w:rsid w:val="0025247C"/>
    <w:rsid w:val="00256EA2"/>
    <w:rsid w:val="002663BF"/>
    <w:rsid w:val="00293F64"/>
    <w:rsid w:val="002A5224"/>
    <w:rsid w:val="002B1523"/>
    <w:rsid w:val="002B6B7D"/>
    <w:rsid w:val="002C5D4A"/>
    <w:rsid w:val="002E547F"/>
    <w:rsid w:val="002F1F82"/>
    <w:rsid w:val="003037D6"/>
    <w:rsid w:val="0030655D"/>
    <w:rsid w:val="00330727"/>
    <w:rsid w:val="00330E10"/>
    <w:rsid w:val="003353D4"/>
    <w:rsid w:val="003465D2"/>
    <w:rsid w:val="003531D0"/>
    <w:rsid w:val="0035391D"/>
    <w:rsid w:val="00357934"/>
    <w:rsid w:val="0036428B"/>
    <w:rsid w:val="0037035F"/>
    <w:rsid w:val="00376849"/>
    <w:rsid w:val="00396EE3"/>
    <w:rsid w:val="003A1F1C"/>
    <w:rsid w:val="003A6744"/>
    <w:rsid w:val="003B5CB5"/>
    <w:rsid w:val="003E69FE"/>
    <w:rsid w:val="003F467B"/>
    <w:rsid w:val="00412C22"/>
    <w:rsid w:val="0042038A"/>
    <w:rsid w:val="004434A9"/>
    <w:rsid w:val="0045754D"/>
    <w:rsid w:val="004642BD"/>
    <w:rsid w:val="00464303"/>
    <w:rsid w:val="0047105E"/>
    <w:rsid w:val="0048374C"/>
    <w:rsid w:val="0049263A"/>
    <w:rsid w:val="00497F5A"/>
    <w:rsid w:val="004A042A"/>
    <w:rsid w:val="004B05B9"/>
    <w:rsid w:val="004B06ED"/>
    <w:rsid w:val="004B1B57"/>
    <w:rsid w:val="004B3DAF"/>
    <w:rsid w:val="004C0122"/>
    <w:rsid w:val="004D0945"/>
    <w:rsid w:val="004D3088"/>
    <w:rsid w:val="004E1506"/>
    <w:rsid w:val="004F3A9F"/>
    <w:rsid w:val="00500619"/>
    <w:rsid w:val="00502E28"/>
    <w:rsid w:val="0050326D"/>
    <w:rsid w:val="00521CF2"/>
    <w:rsid w:val="00554E1F"/>
    <w:rsid w:val="00555439"/>
    <w:rsid w:val="005574A1"/>
    <w:rsid w:val="00566340"/>
    <w:rsid w:val="00586F5E"/>
    <w:rsid w:val="005877BE"/>
    <w:rsid w:val="00592B35"/>
    <w:rsid w:val="00593B3A"/>
    <w:rsid w:val="00597563"/>
    <w:rsid w:val="005C63E4"/>
    <w:rsid w:val="005D0C3C"/>
    <w:rsid w:val="005D27D3"/>
    <w:rsid w:val="005E2F40"/>
    <w:rsid w:val="00622AAE"/>
    <w:rsid w:val="00624858"/>
    <w:rsid w:val="00641647"/>
    <w:rsid w:val="00646F92"/>
    <w:rsid w:val="00650663"/>
    <w:rsid w:val="006527D3"/>
    <w:rsid w:val="0065433A"/>
    <w:rsid w:val="00656CE8"/>
    <w:rsid w:val="00657EB0"/>
    <w:rsid w:val="00663751"/>
    <w:rsid w:val="00665F3E"/>
    <w:rsid w:val="00680B41"/>
    <w:rsid w:val="0068332A"/>
    <w:rsid w:val="006A3A31"/>
    <w:rsid w:val="006D05E4"/>
    <w:rsid w:val="006D1B15"/>
    <w:rsid w:val="006D1B9A"/>
    <w:rsid w:val="006D783B"/>
    <w:rsid w:val="006E536F"/>
    <w:rsid w:val="00720551"/>
    <w:rsid w:val="00725292"/>
    <w:rsid w:val="00726445"/>
    <w:rsid w:val="00731968"/>
    <w:rsid w:val="0073568F"/>
    <w:rsid w:val="00761204"/>
    <w:rsid w:val="00783836"/>
    <w:rsid w:val="00784ADD"/>
    <w:rsid w:val="007867DD"/>
    <w:rsid w:val="00795F68"/>
    <w:rsid w:val="007B2127"/>
    <w:rsid w:val="007B24A2"/>
    <w:rsid w:val="007B41E5"/>
    <w:rsid w:val="007D43D7"/>
    <w:rsid w:val="007D6CEA"/>
    <w:rsid w:val="007E1275"/>
    <w:rsid w:val="007E54C0"/>
    <w:rsid w:val="007E6112"/>
    <w:rsid w:val="007F2A93"/>
    <w:rsid w:val="00806074"/>
    <w:rsid w:val="008119AF"/>
    <w:rsid w:val="00813A5F"/>
    <w:rsid w:val="00815443"/>
    <w:rsid w:val="0082384A"/>
    <w:rsid w:val="00835B83"/>
    <w:rsid w:val="00855BB7"/>
    <w:rsid w:val="008676C9"/>
    <w:rsid w:val="00873A72"/>
    <w:rsid w:val="008A648D"/>
    <w:rsid w:val="008D3F64"/>
    <w:rsid w:val="008D5E84"/>
    <w:rsid w:val="008E4578"/>
    <w:rsid w:val="008E790D"/>
    <w:rsid w:val="008F1A8A"/>
    <w:rsid w:val="00910F69"/>
    <w:rsid w:val="00927CE7"/>
    <w:rsid w:val="009343F0"/>
    <w:rsid w:val="00946AB7"/>
    <w:rsid w:val="009544FD"/>
    <w:rsid w:val="00963CF0"/>
    <w:rsid w:val="009860ED"/>
    <w:rsid w:val="00990745"/>
    <w:rsid w:val="00996ACB"/>
    <w:rsid w:val="009A12FE"/>
    <w:rsid w:val="009A4006"/>
    <w:rsid w:val="009A7AE1"/>
    <w:rsid w:val="009B3336"/>
    <w:rsid w:val="009C13B5"/>
    <w:rsid w:val="009C3117"/>
    <w:rsid w:val="009C4AB4"/>
    <w:rsid w:val="009F1085"/>
    <w:rsid w:val="009F49B3"/>
    <w:rsid w:val="00A06498"/>
    <w:rsid w:val="00A2118F"/>
    <w:rsid w:val="00A2228C"/>
    <w:rsid w:val="00A3545F"/>
    <w:rsid w:val="00A42D5E"/>
    <w:rsid w:val="00A56AA0"/>
    <w:rsid w:val="00A619E3"/>
    <w:rsid w:val="00A64A26"/>
    <w:rsid w:val="00A66763"/>
    <w:rsid w:val="00A83409"/>
    <w:rsid w:val="00A84695"/>
    <w:rsid w:val="00A94790"/>
    <w:rsid w:val="00AA4ECC"/>
    <w:rsid w:val="00AB141C"/>
    <w:rsid w:val="00AB439C"/>
    <w:rsid w:val="00AB4D6F"/>
    <w:rsid w:val="00AB7B57"/>
    <w:rsid w:val="00AC2516"/>
    <w:rsid w:val="00AC2BA9"/>
    <w:rsid w:val="00AE2491"/>
    <w:rsid w:val="00AE42A9"/>
    <w:rsid w:val="00AF52B6"/>
    <w:rsid w:val="00B02548"/>
    <w:rsid w:val="00B076B8"/>
    <w:rsid w:val="00B1546A"/>
    <w:rsid w:val="00B171E0"/>
    <w:rsid w:val="00B21DF0"/>
    <w:rsid w:val="00B26C31"/>
    <w:rsid w:val="00B37125"/>
    <w:rsid w:val="00B41AB5"/>
    <w:rsid w:val="00B41E2F"/>
    <w:rsid w:val="00B41EE6"/>
    <w:rsid w:val="00B5216C"/>
    <w:rsid w:val="00B61C37"/>
    <w:rsid w:val="00B87BD0"/>
    <w:rsid w:val="00B963B3"/>
    <w:rsid w:val="00BB4307"/>
    <w:rsid w:val="00BB471B"/>
    <w:rsid w:val="00BF0878"/>
    <w:rsid w:val="00C010B0"/>
    <w:rsid w:val="00C21997"/>
    <w:rsid w:val="00C25B30"/>
    <w:rsid w:val="00C276C5"/>
    <w:rsid w:val="00C27F53"/>
    <w:rsid w:val="00C334E9"/>
    <w:rsid w:val="00C428FC"/>
    <w:rsid w:val="00C50EE0"/>
    <w:rsid w:val="00C53D10"/>
    <w:rsid w:val="00C56E7B"/>
    <w:rsid w:val="00C60702"/>
    <w:rsid w:val="00C864ED"/>
    <w:rsid w:val="00C96C5E"/>
    <w:rsid w:val="00CA4178"/>
    <w:rsid w:val="00CA48EA"/>
    <w:rsid w:val="00CA5EDA"/>
    <w:rsid w:val="00CB0360"/>
    <w:rsid w:val="00CB113F"/>
    <w:rsid w:val="00CC2BA8"/>
    <w:rsid w:val="00CC2F65"/>
    <w:rsid w:val="00CC4F47"/>
    <w:rsid w:val="00CC5C33"/>
    <w:rsid w:val="00CF4F1D"/>
    <w:rsid w:val="00D11FCE"/>
    <w:rsid w:val="00D15871"/>
    <w:rsid w:val="00D167E1"/>
    <w:rsid w:val="00D16B0F"/>
    <w:rsid w:val="00D21BB9"/>
    <w:rsid w:val="00D30E41"/>
    <w:rsid w:val="00D42322"/>
    <w:rsid w:val="00D45125"/>
    <w:rsid w:val="00D504F3"/>
    <w:rsid w:val="00D51B84"/>
    <w:rsid w:val="00D6388F"/>
    <w:rsid w:val="00D82355"/>
    <w:rsid w:val="00DA3A80"/>
    <w:rsid w:val="00DB50AF"/>
    <w:rsid w:val="00DD0655"/>
    <w:rsid w:val="00DD5DA6"/>
    <w:rsid w:val="00DE0DCA"/>
    <w:rsid w:val="00DE3428"/>
    <w:rsid w:val="00DE3ECF"/>
    <w:rsid w:val="00DF6770"/>
    <w:rsid w:val="00E12448"/>
    <w:rsid w:val="00E16B61"/>
    <w:rsid w:val="00E22258"/>
    <w:rsid w:val="00E2792F"/>
    <w:rsid w:val="00E30BDA"/>
    <w:rsid w:val="00E44EC2"/>
    <w:rsid w:val="00E47684"/>
    <w:rsid w:val="00E5194D"/>
    <w:rsid w:val="00E6136C"/>
    <w:rsid w:val="00E8265A"/>
    <w:rsid w:val="00E86047"/>
    <w:rsid w:val="00E9418F"/>
    <w:rsid w:val="00E96769"/>
    <w:rsid w:val="00EA33AE"/>
    <w:rsid w:val="00EB25AA"/>
    <w:rsid w:val="00EB3EEE"/>
    <w:rsid w:val="00ED0C2A"/>
    <w:rsid w:val="00ED4CE6"/>
    <w:rsid w:val="00F006A0"/>
    <w:rsid w:val="00F01808"/>
    <w:rsid w:val="00F04A92"/>
    <w:rsid w:val="00F3482B"/>
    <w:rsid w:val="00F36909"/>
    <w:rsid w:val="00F446CF"/>
    <w:rsid w:val="00F62BE2"/>
    <w:rsid w:val="00F63707"/>
    <w:rsid w:val="00F67A50"/>
    <w:rsid w:val="00F765E5"/>
    <w:rsid w:val="00F80252"/>
    <w:rsid w:val="00F9021A"/>
    <w:rsid w:val="00FA1C52"/>
    <w:rsid w:val="00FB3B25"/>
    <w:rsid w:val="00FB5D05"/>
    <w:rsid w:val="00FC28A0"/>
    <w:rsid w:val="00FD5971"/>
    <w:rsid w:val="00FE6084"/>
    <w:rsid w:val="00FF2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92F"/>
    <w:pPr>
      <w:widowControl w:val="0"/>
      <w:jc w:val="both"/>
    </w:pPr>
    <w:rPr>
      <w:rFonts w:ascii="仿宋_GB2312" w:eastAsia="仿宋_GB2312"/>
      <w:sz w:val="32"/>
      <w:szCs w:val="32"/>
    </w:rPr>
  </w:style>
  <w:style w:type="paragraph" w:styleId="3">
    <w:name w:val="heading 3"/>
    <w:basedOn w:val="a"/>
    <w:next w:val="a"/>
    <w:link w:val="3Char"/>
    <w:uiPriority w:val="99"/>
    <w:qFormat/>
    <w:rsid w:val="00622AAE"/>
    <w:pPr>
      <w:keepNext/>
      <w:keepLines/>
      <w:outlineLvl w:val="2"/>
    </w:pPr>
    <w:rPr>
      <w:rFonts w:ascii="Calibri" w:eastAsia="宋体" w:hAnsi="Calibri" w:cs="Calibr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Body Text Indent"/>
    <w:basedOn w:val="a"/>
    <w:pPr>
      <w:spacing w:line="580" w:lineRule="exact"/>
      <w:ind w:firstLineChars="200" w:firstLine="624"/>
    </w:pPr>
  </w:style>
  <w:style w:type="paragraph" w:styleId="a7">
    <w:name w:val="Date"/>
    <w:basedOn w:val="a"/>
    <w:next w:val="a"/>
    <w:pPr>
      <w:adjustRightInd w:val="0"/>
      <w:spacing w:line="312" w:lineRule="atLeast"/>
      <w:jc w:val="right"/>
      <w:textAlignment w:val="baseline"/>
    </w:pPr>
    <w:rPr>
      <w:rFonts w:eastAsia="宋体"/>
      <w:sz w:val="21"/>
      <w:szCs w:val="20"/>
    </w:rPr>
  </w:style>
  <w:style w:type="paragraph" w:styleId="2">
    <w:name w:val="Body Text Indent 2"/>
    <w:basedOn w:val="a"/>
    <w:semiHidden/>
    <w:pPr>
      <w:pBdr>
        <w:top w:val="single" w:sz="6" w:space="0" w:color="auto"/>
        <w:bottom w:val="single" w:sz="6" w:space="1" w:color="auto"/>
      </w:pBdr>
      <w:spacing w:line="554" w:lineRule="exact"/>
      <w:ind w:firstLineChars="100" w:firstLine="312"/>
    </w:pPr>
  </w:style>
  <w:style w:type="paragraph" w:styleId="30">
    <w:name w:val="Body Text Indent 3"/>
    <w:basedOn w:val="a"/>
    <w:semiHidden/>
    <w:pPr>
      <w:adjustRightInd w:val="0"/>
      <w:snapToGrid w:val="0"/>
      <w:spacing w:line="520" w:lineRule="atLeast"/>
      <w:ind w:firstLineChars="200" w:firstLine="640"/>
    </w:pPr>
    <w:rPr>
      <w:rFonts w:ascii="黑体" w:eastAsia="黑体"/>
    </w:rPr>
  </w:style>
  <w:style w:type="paragraph" w:styleId="a8">
    <w:name w:val="Normal (Web)"/>
    <w:basedOn w:val="a"/>
    <w:pPr>
      <w:widowControl/>
      <w:spacing w:before="100" w:beforeAutospacing="1" w:after="100" w:afterAutospacing="1"/>
      <w:jc w:val="left"/>
    </w:pPr>
    <w:rPr>
      <w:rFonts w:ascii="宋体" w:eastAsia="宋体" w:hAnsi="宋体"/>
      <w:sz w:val="21"/>
      <w:szCs w:val="21"/>
    </w:rPr>
  </w:style>
  <w:style w:type="character" w:styleId="a9">
    <w:name w:val="Strong"/>
    <w:basedOn w:val="a0"/>
    <w:qFormat/>
    <w:rPr>
      <w:rFonts w:ascii="Times New Roman" w:eastAsia="宋体"/>
      <w:b/>
      <w:i w:val="0"/>
      <w:strike w:val="0"/>
      <w:dstrike w:val="0"/>
      <w:noProof w:val="0"/>
      <w:color w:val="000000"/>
      <w:spacing w:val="0"/>
      <w:w w:val="100"/>
      <w:sz w:val="21"/>
      <w:u w:val="none" w:color="000000"/>
      <w:vertAlign w:val="baseline"/>
      <w:lang w:val="en-US" w:eastAsia="zh-CN"/>
    </w:rPr>
  </w:style>
  <w:style w:type="paragraph" w:styleId="aa">
    <w:name w:val="Balloon Text"/>
    <w:basedOn w:val="a"/>
    <w:semiHidden/>
    <w:rPr>
      <w:rFonts w:eastAsia="宋体"/>
      <w:sz w:val="18"/>
      <w:szCs w:val="18"/>
    </w:rPr>
  </w:style>
  <w:style w:type="character" w:customStyle="1" w:styleId="richtextmngstyle1">
    <w:name w:val="richtextmngstyle1"/>
    <w:basedOn w:val="a0"/>
    <w:rPr>
      <w:strike w:val="0"/>
      <w:dstrike w:val="0"/>
      <w:color w:val="000000"/>
      <w:spacing w:val="20"/>
      <w:sz w:val="28"/>
      <w:szCs w:val="28"/>
      <w:u w:val="none"/>
      <w:effect w:val="none"/>
    </w:rPr>
  </w:style>
  <w:style w:type="character" w:customStyle="1" w:styleId="unnamed21">
    <w:name w:val="unnamed21"/>
    <w:basedOn w:val="a0"/>
    <w:rPr>
      <w:strike w:val="0"/>
      <w:dstrike w:val="0"/>
      <w:sz w:val="24"/>
      <w:szCs w:val="24"/>
      <w:u w:val="none"/>
      <w:effect w:val="none"/>
    </w:rPr>
  </w:style>
  <w:style w:type="character" w:customStyle="1" w:styleId="10p1">
    <w:name w:val="10p1"/>
    <w:basedOn w:val="a0"/>
    <w:rPr>
      <w:sz w:val="21"/>
      <w:szCs w:val="21"/>
    </w:rPr>
  </w:style>
  <w:style w:type="paragraph" w:styleId="31">
    <w:name w:val="Body Text 3"/>
    <w:basedOn w:val="a"/>
    <w:semiHidden/>
    <w:pPr>
      <w:spacing w:line="560" w:lineRule="atLeast"/>
      <w:ind w:rightChars="-259" w:right="-544"/>
    </w:pPr>
    <w:rPr>
      <w:rFonts w:ascii="黑体" w:eastAsia="黑体"/>
      <w:sz w:val="24"/>
    </w:rPr>
  </w:style>
  <w:style w:type="paragraph" w:styleId="ab">
    <w:name w:val="Body Text"/>
    <w:basedOn w:val="a"/>
    <w:semiHidden/>
    <w:pPr>
      <w:adjustRightInd w:val="0"/>
      <w:snapToGrid w:val="0"/>
      <w:spacing w:line="480" w:lineRule="auto"/>
      <w:ind w:rightChars="310" w:right="706"/>
      <w:jc w:val="center"/>
    </w:pPr>
    <w:rPr>
      <w:rFonts w:ascii="宋体" w:eastAsia="宋体"/>
      <w:sz w:val="44"/>
      <w:szCs w:val="44"/>
    </w:rPr>
  </w:style>
  <w:style w:type="paragraph" w:styleId="20">
    <w:name w:val="Body Text 2"/>
    <w:basedOn w:val="a"/>
    <w:semiHidden/>
    <w:pPr>
      <w:spacing w:line="580" w:lineRule="exact"/>
      <w:jc w:val="center"/>
    </w:pPr>
    <w:rPr>
      <w:rFonts w:eastAsia="方正小标宋简体"/>
      <w:sz w:val="44"/>
    </w:rPr>
  </w:style>
  <w:style w:type="paragraph" w:customStyle="1" w:styleId="32">
    <w:name w:val="标题3"/>
    <w:basedOn w:val="a"/>
    <w:next w:val="a"/>
    <w:pPr>
      <w:autoSpaceDE w:val="0"/>
      <w:autoSpaceDN w:val="0"/>
      <w:snapToGrid w:val="0"/>
      <w:spacing w:line="590" w:lineRule="atLeast"/>
      <w:ind w:firstLine="624"/>
    </w:pPr>
    <w:rPr>
      <w:rFonts w:ascii="方正黑体_GBK" w:eastAsia="方正黑体_GBK"/>
      <w:snapToGrid w:val="0"/>
      <w:szCs w:val="20"/>
    </w:rPr>
  </w:style>
  <w:style w:type="paragraph" w:styleId="ac">
    <w:name w:val="Plain Text"/>
    <w:basedOn w:val="a"/>
    <w:rPr>
      <w:rFonts w:ascii="宋体" w:eastAsia="宋体" w:hAnsi="Courier New"/>
      <w:sz w:val="21"/>
      <w:szCs w:val="20"/>
    </w:rPr>
  </w:style>
  <w:style w:type="character" w:customStyle="1" w:styleId="Char0">
    <w:name w:val="纯文本 Char"/>
    <w:basedOn w:val="a0"/>
    <w:rPr>
      <w:rFonts w:ascii="宋体" w:hAnsi="Courier New"/>
      <w:kern w:val="2"/>
      <w:sz w:val="21"/>
    </w:rPr>
  </w:style>
  <w:style w:type="character" w:customStyle="1" w:styleId="p91">
    <w:name w:val="p91"/>
    <w:basedOn w:val="a0"/>
    <w:rPr>
      <w:b w:val="0"/>
      <w:bCs w:val="0"/>
      <w:strike w:val="0"/>
      <w:dstrike w:val="0"/>
      <w:color w:val="000000"/>
      <w:sz w:val="18"/>
      <w:szCs w:val="18"/>
      <w:u w:val="none"/>
      <w:effect w:val="none"/>
    </w:rPr>
  </w:style>
  <w:style w:type="paragraph" w:customStyle="1" w:styleId="CharCharCharChar">
    <w:name w:val="Char Char Char Char"/>
    <w:basedOn w:val="a"/>
    <w:autoRedefine/>
    <w:rsid w:val="00E16B61"/>
    <w:pPr>
      <w:numPr>
        <w:numId w:val="1"/>
      </w:numPr>
    </w:pPr>
    <w:rPr>
      <w:rFonts w:eastAsia="宋体"/>
      <w:sz w:val="24"/>
    </w:rPr>
  </w:style>
  <w:style w:type="paragraph" w:customStyle="1" w:styleId="Char2CharCharChar">
    <w:name w:val="Char2 Char Char Char"/>
    <w:basedOn w:val="a"/>
    <w:rsid w:val="0065433A"/>
    <w:rPr>
      <w:rFonts w:ascii="Tahoma" w:eastAsia="宋体" w:hAnsi="Tahoma"/>
      <w:sz w:val="24"/>
      <w:szCs w:val="20"/>
    </w:rPr>
  </w:style>
  <w:style w:type="paragraph" w:customStyle="1" w:styleId="Char1">
    <w:name w:val="Char1"/>
    <w:basedOn w:val="a"/>
    <w:rsid w:val="0047105E"/>
    <w:rPr>
      <w:rFonts w:eastAsia="宋体"/>
      <w:sz w:val="21"/>
    </w:rPr>
  </w:style>
  <w:style w:type="character" w:customStyle="1" w:styleId="Char">
    <w:name w:val="页眉 Char"/>
    <w:basedOn w:val="a0"/>
    <w:link w:val="a5"/>
    <w:rsid w:val="0047105E"/>
    <w:rPr>
      <w:rFonts w:eastAsia="文鼎CS仿宋体"/>
      <w:spacing w:val="-4"/>
      <w:kern w:val="2"/>
      <w:sz w:val="18"/>
      <w:szCs w:val="18"/>
    </w:rPr>
  </w:style>
  <w:style w:type="paragraph" w:customStyle="1" w:styleId="Web">
    <w:name w:val="普通 (Web)"/>
    <w:basedOn w:val="a"/>
    <w:rsid w:val="00CC5C33"/>
    <w:pPr>
      <w:widowControl/>
      <w:spacing w:before="100" w:beforeAutospacing="1" w:after="100" w:afterAutospacing="1"/>
      <w:jc w:val="left"/>
    </w:pPr>
    <w:rPr>
      <w:rFonts w:ascii="宋体" w:eastAsia="宋体" w:hAnsi="宋体"/>
      <w:sz w:val="24"/>
    </w:rPr>
  </w:style>
  <w:style w:type="table" w:styleId="ad">
    <w:name w:val="Table Grid"/>
    <w:basedOn w:val="a1"/>
    <w:uiPriority w:val="59"/>
    <w:rsid w:val="00AE24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标题1"/>
    <w:basedOn w:val="a"/>
    <w:next w:val="a"/>
    <w:rsid w:val="00171838"/>
    <w:pPr>
      <w:tabs>
        <w:tab w:val="left" w:pos="9193"/>
        <w:tab w:val="left" w:pos="9827"/>
      </w:tabs>
      <w:autoSpaceDE w:val="0"/>
      <w:autoSpaceDN w:val="0"/>
      <w:snapToGrid w:val="0"/>
      <w:spacing w:line="700" w:lineRule="atLeast"/>
      <w:jc w:val="center"/>
    </w:pPr>
    <w:rPr>
      <w:rFonts w:ascii="汉鼎简大宋" w:eastAsia="汉鼎简大宋"/>
      <w:sz w:val="44"/>
      <w:szCs w:val="20"/>
    </w:rPr>
  </w:style>
  <w:style w:type="paragraph" w:customStyle="1" w:styleId="CharCharCharCharCharCharChar">
    <w:name w:val="Char Char Char Char Char Char Char"/>
    <w:basedOn w:val="a"/>
    <w:rsid w:val="00C21997"/>
    <w:pPr>
      <w:widowControl/>
      <w:spacing w:after="160" w:line="240" w:lineRule="exact"/>
      <w:jc w:val="left"/>
    </w:pPr>
    <w:rPr>
      <w:rFonts w:eastAsia="宋体"/>
      <w:sz w:val="21"/>
      <w:szCs w:val="20"/>
    </w:rPr>
  </w:style>
  <w:style w:type="character" w:customStyle="1" w:styleId="3Char">
    <w:name w:val="标题 3 Char"/>
    <w:basedOn w:val="a0"/>
    <w:link w:val="3"/>
    <w:uiPriority w:val="99"/>
    <w:qFormat/>
    <w:rsid w:val="00622AAE"/>
    <w:rPr>
      <w:rFonts w:ascii="Calibri" w:hAnsi="Calibri" w:cs="Calibri"/>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792F"/>
    <w:pPr>
      <w:widowControl w:val="0"/>
      <w:jc w:val="both"/>
    </w:pPr>
    <w:rPr>
      <w:rFonts w:ascii="仿宋_GB2312" w:eastAsia="仿宋_GB2312"/>
      <w:sz w:val="32"/>
      <w:szCs w:val="32"/>
    </w:rPr>
  </w:style>
  <w:style w:type="paragraph" w:styleId="3">
    <w:name w:val="heading 3"/>
    <w:basedOn w:val="a"/>
    <w:next w:val="a"/>
    <w:link w:val="3Char"/>
    <w:uiPriority w:val="99"/>
    <w:qFormat/>
    <w:rsid w:val="00622AAE"/>
    <w:pPr>
      <w:keepNext/>
      <w:keepLines/>
      <w:outlineLvl w:val="2"/>
    </w:pPr>
    <w:rPr>
      <w:rFonts w:ascii="Calibri" w:eastAsia="宋体" w:hAnsi="Calibri" w:cs="Calibri"/>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page number"/>
    <w:basedOn w:val="a0"/>
  </w:style>
  <w:style w:type="paragraph" w:styleId="a5">
    <w:name w:val="header"/>
    <w:basedOn w:val="a"/>
    <w:link w:val="Char"/>
    <w:pPr>
      <w:pBdr>
        <w:bottom w:val="single" w:sz="6" w:space="1" w:color="auto"/>
      </w:pBdr>
      <w:tabs>
        <w:tab w:val="center" w:pos="4153"/>
        <w:tab w:val="right" w:pos="8306"/>
      </w:tabs>
      <w:snapToGrid w:val="0"/>
      <w:jc w:val="center"/>
    </w:pPr>
    <w:rPr>
      <w:sz w:val="18"/>
      <w:szCs w:val="18"/>
    </w:rPr>
  </w:style>
  <w:style w:type="paragraph" w:styleId="a6">
    <w:name w:val="Body Text Indent"/>
    <w:basedOn w:val="a"/>
    <w:pPr>
      <w:spacing w:line="580" w:lineRule="exact"/>
      <w:ind w:firstLineChars="200" w:firstLine="624"/>
    </w:pPr>
  </w:style>
  <w:style w:type="paragraph" w:styleId="a7">
    <w:name w:val="Date"/>
    <w:basedOn w:val="a"/>
    <w:next w:val="a"/>
    <w:pPr>
      <w:adjustRightInd w:val="0"/>
      <w:spacing w:line="312" w:lineRule="atLeast"/>
      <w:jc w:val="right"/>
      <w:textAlignment w:val="baseline"/>
    </w:pPr>
    <w:rPr>
      <w:rFonts w:eastAsia="宋体"/>
      <w:sz w:val="21"/>
      <w:szCs w:val="20"/>
    </w:rPr>
  </w:style>
  <w:style w:type="paragraph" w:styleId="2">
    <w:name w:val="Body Text Indent 2"/>
    <w:basedOn w:val="a"/>
    <w:semiHidden/>
    <w:pPr>
      <w:pBdr>
        <w:top w:val="single" w:sz="6" w:space="0" w:color="auto"/>
        <w:bottom w:val="single" w:sz="6" w:space="1" w:color="auto"/>
      </w:pBdr>
      <w:spacing w:line="554" w:lineRule="exact"/>
      <w:ind w:firstLineChars="100" w:firstLine="312"/>
    </w:pPr>
  </w:style>
  <w:style w:type="paragraph" w:styleId="30">
    <w:name w:val="Body Text Indent 3"/>
    <w:basedOn w:val="a"/>
    <w:semiHidden/>
    <w:pPr>
      <w:adjustRightInd w:val="0"/>
      <w:snapToGrid w:val="0"/>
      <w:spacing w:line="520" w:lineRule="atLeast"/>
      <w:ind w:firstLineChars="200" w:firstLine="640"/>
    </w:pPr>
    <w:rPr>
      <w:rFonts w:ascii="黑体" w:eastAsia="黑体"/>
    </w:rPr>
  </w:style>
  <w:style w:type="paragraph" w:styleId="a8">
    <w:name w:val="Normal (Web)"/>
    <w:basedOn w:val="a"/>
    <w:pPr>
      <w:widowControl/>
      <w:spacing w:before="100" w:beforeAutospacing="1" w:after="100" w:afterAutospacing="1"/>
      <w:jc w:val="left"/>
    </w:pPr>
    <w:rPr>
      <w:rFonts w:ascii="宋体" w:eastAsia="宋体" w:hAnsi="宋体"/>
      <w:sz w:val="21"/>
      <w:szCs w:val="21"/>
    </w:rPr>
  </w:style>
  <w:style w:type="character" w:styleId="a9">
    <w:name w:val="Strong"/>
    <w:basedOn w:val="a0"/>
    <w:qFormat/>
    <w:rPr>
      <w:rFonts w:ascii="Times New Roman" w:eastAsia="宋体"/>
      <w:b/>
      <w:i w:val="0"/>
      <w:strike w:val="0"/>
      <w:dstrike w:val="0"/>
      <w:noProof w:val="0"/>
      <w:color w:val="000000"/>
      <w:spacing w:val="0"/>
      <w:w w:val="100"/>
      <w:sz w:val="21"/>
      <w:u w:val="none" w:color="000000"/>
      <w:vertAlign w:val="baseline"/>
      <w:lang w:val="en-US" w:eastAsia="zh-CN"/>
    </w:rPr>
  </w:style>
  <w:style w:type="paragraph" w:styleId="aa">
    <w:name w:val="Balloon Text"/>
    <w:basedOn w:val="a"/>
    <w:semiHidden/>
    <w:rPr>
      <w:rFonts w:eastAsia="宋体"/>
      <w:sz w:val="18"/>
      <w:szCs w:val="18"/>
    </w:rPr>
  </w:style>
  <w:style w:type="character" w:customStyle="1" w:styleId="richtextmngstyle1">
    <w:name w:val="richtextmngstyle1"/>
    <w:basedOn w:val="a0"/>
    <w:rPr>
      <w:strike w:val="0"/>
      <w:dstrike w:val="0"/>
      <w:color w:val="000000"/>
      <w:spacing w:val="20"/>
      <w:sz w:val="28"/>
      <w:szCs w:val="28"/>
      <w:u w:val="none"/>
      <w:effect w:val="none"/>
    </w:rPr>
  </w:style>
  <w:style w:type="character" w:customStyle="1" w:styleId="unnamed21">
    <w:name w:val="unnamed21"/>
    <w:basedOn w:val="a0"/>
    <w:rPr>
      <w:strike w:val="0"/>
      <w:dstrike w:val="0"/>
      <w:sz w:val="24"/>
      <w:szCs w:val="24"/>
      <w:u w:val="none"/>
      <w:effect w:val="none"/>
    </w:rPr>
  </w:style>
  <w:style w:type="character" w:customStyle="1" w:styleId="10p1">
    <w:name w:val="10p1"/>
    <w:basedOn w:val="a0"/>
    <w:rPr>
      <w:sz w:val="21"/>
      <w:szCs w:val="21"/>
    </w:rPr>
  </w:style>
  <w:style w:type="paragraph" w:styleId="31">
    <w:name w:val="Body Text 3"/>
    <w:basedOn w:val="a"/>
    <w:semiHidden/>
    <w:pPr>
      <w:spacing w:line="560" w:lineRule="atLeast"/>
      <w:ind w:rightChars="-259" w:right="-544"/>
    </w:pPr>
    <w:rPr>
      <w:rFonts w:ascii="黑体" w:eastAsia="黑体"/>
      <w:sz w:val="24"/>
    </w:rPr>
  </w:style>
  <w:style w:type="paragraph" w:styleId="ab">
    <w:name w:val="Body Text"/>
    <w:basedOn w:val="a"/>
    <w:semiHidden/>
    <w:pPr>
      <w:adjustRightInd w:val="0"/>
      <w:snapToGrid w:val="0"/>
      <w:spacing w:line="480" w:lineRule="auto"/>
      <w:ind w:rightChars="310" w:right="706"/>
      <w:jc w:val="center"/>
    </w:pPr>
    <w:rPr>
      <w:rFonts w:ascii="宋体" w:eastAsia="宋体"/>
      <w:sz w:val="44"/>
      <w:szCs w:val="44"/>
    </w:rPr>
  </w:style>
  <w:style w:type="paragraph" w:styleId="20">
    <w:name w:val="Body Text 2"/>
    <w:basedOn w:val="a"/>
    <w:semiHidden/>
    <w:pPr>
      <w:spacing w:line="580" w:lineRule="exact"/>
      <w:jc w:val="center"/>
    </w:pPr>
    <w:rPr>
      <w:rFonts w:eastAsia="方正小标宋简体"/>
      <w:sz w:val="44"/>
    </w:rPr>
  </w:style>
  <w:style w:type="paragraph" w:customStyle="1" w:styleId="32">
    <w:name w:val="标题3"/>
    <w:basedOn w:val="a"/>
    <w:next w:val="a"/>
    <w:pPr>
      <w:autoSpaceDE w:val="0"/>
      <w:autoSpaceDN w:val="0"/>
      <w:snapToGrid w:val="0"/>
      <w:spacing w:line="590" w:lineRule="atLeast"/>
      <w:ind w:firstLine="624"/>
    </w:pPr>
    <w:rPr>
      <w:rFonts w:ascii="方正黑体_GBK" w:eastAsia="方正黑体_GBK"/>
      <w:snapToGrid w:val="0"/>
      <w:szCs w:val="20"/>
    </w:rPr>
  </w:style>
  <w:style w:type="paragraph" w:styleId="ac">
    <w:name w:val="Plain Text"/>
    <w:basedOn w:val="a"/>
    <w:rPr>
      <w:rFonts w:ascii="宋体" w:eastAsia="宋体" w:hAnsi="Courier New"/>
      <w:sz w:val="21"/>
      <w:szCs w:val="20"/>
    </w:rPr>
  </w:style>
  <w:style w:type="character" w:customStyle="1" w:styleId="Char0">
    <w:name w:val="纯文本 Char"/>
    <w:basedOn w:val="a0"/>
    <w:rPr>
      <w:rFonts w:ascii="宋体" w:hAnsi="Courier New"/>
      <w:kern w:val="2"/>
      <w:sz w:val="21"/>
    </w:rPr>
  </w:style>
  <w:style w:type="character" w:customStyle="1" w:styleId="p91">
    <w:name w:val="p91"/>
    <w:basedOn w:val="a0"/>
    <w:rPr>
      <w:b w:val="0"/>
      <w:bCs w:val="0"/>
      <w:strike w:val="0"/>
      <w:dstrike w:val="0"/>
      <w:color w:val="000000"/>
      <w:sz w:val="18"/>
      <w:szCs w:val="18"/>
      <w:u w:val="none"/>
      <w:effect w:val="none"/>
    </w:rPr>
  </w:style>
  <w:style w:type="paragraph" w:customStyle="1" w:styleId="CharCharCharChar">
    <w:name w:val="Char Char Char Char"/>
    <w:basedOn w:val="a"/>
    <w:autoRedefine/>
    <w:rsid w:val="00E16B61"/>
    <w:pPr>
      <w:numPr>
        <w:numId w:val="1"/>
      </w:numPr>
    </w:pPr>
    <w:rPr>
      <w:rFonts w:eastAsia="宋体"/>
      <w:sz w:val="24"/>
    </w:rPr>
  </w:style>
  <w:style w:type="paragraph" w:customStyle="1" w:styleId="Char2CharCharChar">
    <w:name w:val="Char2 Char Char Char"/>
    <w:basedOn w:val="a"/>
    <w:rsid w:val="0065433A"/>
    <w:rPr>
      <w:rFonts w:ascii="Tahoma" w:eastAsia="宋体" w:hAnsi="Tahoma"/>
      <w:sz w:val="24"/>
      <w:szCs w:val="20"/>
    </w:rPr>
  </w:style>
  <w:style w:type="paragraph" w:customStyle="1" w:styleId="Char1">
    <w:name w:val="Char1"/>
    <w:basedOn w:val="a"/>
    <w:rsid w:val="0047105E"/>
    <w:rPr>
      <w:rFonts w:eastAsia="宋体"/>
      <w:sz w:val="21"/>
    </w:rPr>
  </w:style>
  <w:style w:type="character" w:customStyle="1" w:styleId="Char">
    <w:name w:val="页眉 Char"/>
    <w:basedOn w:val="a0"/>
    <w:link w:val="a5"/>
    <w:rsid w:val="0047105E"/>
    <w:rPr>
      <w:rFonts w:eastAsia="文鼎CS仿宋体"/>
      <w:spacing w:val="-4"/>
      <w:kern w:val="2"/>
      <w:sz w:val="18"/>
      <w:szCs w:val="18"/>
    </w:rPr>
  </w:style>
  <w:style w:type="paragraph" w:customStyle="1" w:styleId="Web">
    <w:name w:val="普通 (Web)"/>
    <w:basedOn w:val="a"/>
    <w:rsid w:val="00CC5C33"/>
    <w:pPr>
      <w:widowControl/>
      <w:spacing w:before="100" w:beforeAutospacing="1" w:after="100" w:afterAutospacing="1"/>
      <w:jc w:val="left"/>
    </w:pPr>
    <w:rPr>
      <w:rFonts w:ascii="宋体" w:eastAsia="宋体" w:hAnsi="宋体"/>
      <w:sz w:val="24"/>
    </w:rPr>
  </w:style>
  <w:style w:type="table" w:styleId="ad">
    <w:name w:val="Table Grid"/>
    <w:basedOn w:val="a1"/>
    <w:uiPriority w:val="59"/>
    <w:rsid w:val="00AE24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标题1"/>
    <w:basedOn w:val="a"/>
    <w:next w:val="a"/>
    <w:rsid w:val="00171838"/>
    <w:pPr>
      <w:tabs>
        <w:tab w:val="left" w:pos="9193"/>
        <w:tab w:val="left" w:pos="9827"/>
      </w:tabs>
      <w:autoSpaceDE w:val="0"/>
      <w:autoSpaceDN w:val="0"/>
      <w:snapToGrid w:val="0"/>
      <w:spacing w:line="700" w:lineRule="atLeast"/>
      <w:jc w:val="center"/>
    </w:pPr>
    <w:rPr>
      <w:rFonts w:ascii="汉鼎简大宋" w:eastAsia="汉鼎简大宋"/>
      <w:sz w:val="44"/>
      <w:szCs w:val="20"/>
    </w:rPr>
  </w:style>
  <w:style w:type="paragraph" w:customStyle="1" w:styleId="CharCharCharCharCharCharChar">
    <w:name w:val="Char Char Char Char Char Char Char"/>
    <w:basedOn w:val="a"/>
    <w:rsid w:val="00C21997"/>
    <w:pPr>
      <w:widowControl/>
      <w:spacing w:after="160" w:line="240" w:lineRule="exact"/>
      <w:jc w:val="left"/>
    </w:pPr>
    <w:rPr>
      <w:rFonts w:eastAsia="宋体"/>
      <w:sz w:val="21"/>
      <w:szCs w:val="20"/>
    </w:rPr>
  </w:style>
  <w:style w:type="character" w:customStyle="1" w:styleId="3Char">
    <w:name w:val="标题 3 Char"/>
    <w:basedOn w:val="a0"/>
    <w:link w:val="3"/>
    <w:uiPriority w:val="99"/>
    <w:qFormat/>
    <w:rsid w:val="00622AAE"/>
    <w:rPr>
      <w:rFonts w:ascii="Calibri" w:hAnsi="Calibri" w:cs="Calibri"/>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wen\AppData\Roaming\Microsoft\Templates\&#33487;&#24220;&#2115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苏府办</Template>
  <TotalTime>34</TotalTime>
  <Pages>9</Pages>
  <Words>3200</Words>
  <Characters>3265</Characters>
  <Application>Microsoft Office Word</Application>
  <DocSecurity>0</DocSecurity>
  <Lines>141</Lines>
  <Paragraphs>58</Paragraphs>
  <ScaleCrop>false</ScaleCrop>
  <Company>jgys</Company>
  <LinksUpToDate>false</LinksUpToDate>
  <CharactersWithSpaces>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苏府办</dc:title>
  <dc:creator>王悦</dc:creator>
  <cp:lastModifiedBy>蒋曾荣</cp:lastModifiedBy>
  <cp:revision>7</cp:revision>
  <cp:lastPrinted>2013-07-12T06:11:00Z</cp:lastPrinted>
  <dcterms:created xsi:type="dcterms:W3CDTF">2022-08-17T01:39:00Z</dcterms:created>
  <dcterms:modified xsi:type="dcterms:W3CDTF">2022-08-19T02:49:00Z</dcterms:modified>
</cp:coreProperties>
</file>