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056" w:rsidRDefault="00B67056" w:rsidP="00B67056">
      <w:pPr>
        <w:rPr>
          <w:rFonts w:ascii="黑体" w:eastAsia="黑体" w:hAnsi="黑体"/>
        </w:rPr>
      </w:pPr>
      <w:r w:rsidRPr="00B67056">
        <w:rPr>
          <w:rFonts w:ascii="黑体" w:eastAsia="黑体" w:hAnsi="黑体" w:hint="eastAsia"/>
        </w:rPr>
        <w:t>附件</w:t>
      </w:r>
    </w:p>
    <w:p w:rsidR="00B67056" w:rsidRPr="00B67056" w:rsidRDefault="00B67056" w:rsidP="00B67056">
      <w:pPr>
        <w:rPr>
          <w:rFonts w:ascii="黑体" w:eastAsia="黑体" w:hAnsi="黑体"/>
        </w:rPr>
      </w:pPr>
    </w:p>
    <w:p w:rsidR="00677817" w:rsidRDefault="00B67056" w:rsidP="00B67056">
      <w:pPr>
        <w:spacing w:line="540" w:lineRule="exact"/>
        <w:jc w:val="center"/>
        <w:rPr>
          <w:rFonts w:ascii="方正小标宋_GBK" w:eastAsia="方正小标宋_GBK" w:hAnsi="宋体"/>
          <w:sz w:val="44"/>
          <w:szCs w:val="44"/>
        </w:rPr>
      </w:pPr>
      <w:r w:rsidRPr="00B67056">
        <w:rPr>
          <w:rFonts w:ascii="方正小标宋_GBK" w:eastAsia="方正小标宋_GBK" w:hAnsi="宋体" w:hint="eastAsia"/>
          <w:sz w:val="44"/>
          <w:szCs w:val="44"/>
        </w:rPr>
        <w:t>苏州市推进数字贸易加快发展</w:t>
      </w:r>
    </w:p>
    <w:p w:rsidR="00A06498" w:rsidRPr="00E96769" w:rsidRDefault="00B67056" w:rsidP="007D52E3">
      <w:pPr>
        <w:spacing w:line="540" w:lineRule="exact"/>
        <w:jc w:val="center"/>
      </w:pPr>
      <w:r w:rsidRPr="00B67056">
        <w:rPr>
          <w:rFonts w:ascii="方正小标宋_GBK" w:eastAsia="方正小标宋_GBK" w:hAnsi="宋体" w:hint="eastAsia"/>
          <w:sz w:val="44"/>
          <w:szCs w:val="44"/>
        </w:rPr>
        <w:t>若干措施任务清单</w:t>
      </w:r>
    </w:p>
    <w:tbl>
      <w:tblPr>
        <w:tblStyle w:val="ad"/>
        <w:tblpPr w:leftFromText="180" w:rightFromText="180" w:vertAnchor="text" w:horzAnchor="page" w:tblpXSpec="center" w:tblpY="348"/>
        <w:tblOverlap w:val="never"/>
        <w:tblW w:w="9881" w:type="dxa"/>
        <w:jc w:val="center"/>
        <w:tblLook w:val="04A0" w:firstRow="1" w:lastRow="0" w:firstColumn="1" w:lastColumn="0" w:noHBand="0" w:noVBand="1"/>
      </w:tblPr>
      <w:tblGrid>
        <w:gridCol w:w="1242"/>
        <w:gridCol w:w="709"/>
        <w:gridCol w:w="4853"/>
        <w:gridCol w:w="3077"/>
      </w:tblGrid>
      <w:tr w:rsidR="00677817" w:rsidRPr="00677817" w:rsidTr="007D52E3">
        <w:trPr>
          <w:trHeight w:val="90"/>
          <w:tblHeader/>
          <w:jc w:val="center"/>
        </w:trPr>
        <w:tc>
          <w:tcPr>
            <w:tcW w:w="1242" w:type="dxa"/>
            <w:vAlign w:val="center"/>
          </w:tcPr>
          <w:p w:rsidR="00677817" w:rsidRPr="007D52E3" w:rsidRDefault="00677817" w:rsidP="007D52E3">
            <w:pPr>
              <w:pStyle w:val="1"/>
              <w:spacing w:before="0" w:after="0" w:line="380" w:lineRule="exact"/>
              <w:jc w:val="center"/>
              <w:rPr>
                <w:rFonts w:ascii="黑体" w:eastAsia="黑体" w:hAnsi="黑体" w:cstheme="minorEastAsia"/>
                <w:b w:val="0"/>
                <w:sz w:val="21"/>
                <w:szCs w:val="21"/>
              </w:rPr>
            </w:pPr>
            <w:r w:rsidRPr="007D52E3">
              <w:rPr>
                <w:rFonts w:ascii="黑体" w:eastAsia="黑体" w:hAnsi="黑体" w:cstheme="minorEastAsia" w:hint="eastAsia"/>
                <w:b w:val="0"/>
                <w:sz w:val="21"/>
                <w:szCs w:val="21"/>
              </w:rPr>
              <w:t>重点任务</w:t>
            </w:r>
          </w:p>
        </w:tc>
        <w:tc>
          <w:tcPr>
            <w:tcW w:w="709" w:type="dxa"/>
            <w:vAlign w:val="center"/>
          </w:tcPr>
          <w:p w:rsidR="00677817" w:rsidRPr="007D52E3" w:rsidRDefault="00677817" w:rsidP="007D52E3">
            <w:pPr>
              <w:pStyle w:val="1"/>
              <w:spacing w:before="0" w:after="0" w:line="380" w:lineRule="exact"/>
              <w:jc w:val="center"/>
              <w:rPr>
                <w:rFonts w:ascii="黑体" w:eastAsia="黑体" w:hAnsi="黑体" w:cstheme="minorEastAsia"/>
                <w:b w:val="0"/>
                <w:sz w:val="21"/>
                <w:szCs w:val="21"/>
              </w:rPr>
            </w:pPr>
            <w:r w:rsidRPr="007D52E3">
              <w:rPr>
                <w:rFonts w:ascii="黑体" w:eastAsia="黑体" w:hAnsi="黑体" w:cstheme="minorEastAsia" w:hint="eastAsia"/>
                <w:b w:val="0"/>
                <w:sz w:val="21"/>
                <w:szCs w:val="21"/>
              </w:rPr>
              <w:t>序号</w:t>
            </w:r>
          </w:p>
        </w:tc>
        <w:tc>
          <w:tcPr>
            <w:tcW w:w="4853" w:type="dxa"/>
            <w:vAlign w:val="center"/>
          </w:tcPr>
          <w:p w:rsidR="00677817" w:rsidRPr="007D52E3" w:rsidRDefault="00677817" w:rsidP="007D52E3">
            <w:pPr>
              <w:pStyle w:val="1"/>
              <w:spacing w:before="0" w:after="0" w:line="380" w:lineRule="exact"/>
              <w:jc w:val="center"/>
              <w:rPr>
                <w:rFonts w:ascii="黑体" w:eastAsia="黑体" w:hAnsi="黑体" w:cstheme="minorEastAsia"/>
                <w:b w:val="0"/>
                <w:sz w:val="21"/>
                <w:szCs w:val="21"/>
              </w:rPr>
            </w:pPr>
            <w:r w:rsidRPr="007D52E3">
              <w:rPr>
                <w:rFonts w:ascii="黑体" w:eastAsia="黑体" w:hAnsi="黑体" w:cstheme="minorEastAsia" w:hint="eastAsia"/>
                <w:b w:val="0"/>
                <w:sz w:val="21"/>
                <w:szCs w:val="21"/>
              </w:rPr>
              <w:t>具体内容</w:t>
            </w:r>
          </w:p>
        </w:tc>
        <w:tc>
          <w:tcPr>
            <w:tcW w:w="3077" w:type="dxa"/>
            <w:vAlign w:val="center"/>
          </w:tcPr>
          <w:p w:rsidR="00677817" w:rsidRPr="007D52E3" w:rsidRDefault="00677817" w:rsidP="007D52E3">
            <w:pPr>
              <w:pStyle w:val="1"/>
              <w:spacing w:before="0" w:after="0" w:line="380" w:lineRule="exact"/>
              <w:jc w:val="center"/>
              <w:rPr>
                <w:rFonts w:ascii="黑体" w:eastAsia="黑体" w:hAnsi="黑体" w:cstheme="minorEastAsia"/>
                <w:b w:val="0"/>
                <w:sz w:val="21"/>
                <w:szCs w:val="21"/>
              </w:rPr>
            </w:pPr>
            <w:r w:rsidRPr="007D52E3">
              <w:rPr>
                <w:rFonts w:ascii="黑体" w:eastAsia="黑体" w:hAnsi="黑体" w:cstheme="minorEastAsia" w:hint="eastAsia"/>
                <w:b w:val="0"/>
                <w:sz w:val="21"/>
                <w:szCs w:val="21"/>
              </w:rPr>
              <w:t>责任单位</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bCs w:val="0"/>
                <w:sz w:val="21"/>
                <w:szCs w:val="21"/>
              </w:rPr>
            </w:pPr>
            <w:r w:rsidRPr="007D52E3">
              <w:rPr>
                <w:rFonts w:ascii="楷体_GB2312" w:eastAsia="楷体_GB2312" w:hAnsiTheme="minorEastAsia" w:cstheme="minorEastAsia" w:hint="eastAsia"/>
                <w:b w:val="0"/>
                <w:sz w:val="21"/>
                <w:szCs w:val="21"/>
              </w:rPr>
              <w:t>深化融合，完善数字贸易多元化产业链条</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加快服务外包数字化高端化发展</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促进服务外包与互联网、物联网、大数据、人工智能、区块链等信息技术有机融合，力争新一代信息技术服务外包发展有所突破。</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市发改委、市工信局、市商务局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鼓励研发、设计、维修、咨询、检验检测等领域服务贸易企业向“一站式解决方案提供商”转型，提升外包企业数字化服务能力。</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培育一批出口能力强、与制造业融合度高的数字服务示范企业。鼓励制造业企业与服务外包企业加强合作，应用总集成总承包、定制化服务及共享制造等服务型制造重点模式，拓宽发展空间，打造竞争新优势。</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市发改委、市工信局、市商务局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创新服务外包交付模式和服务模式，大力发展众包、云外包、平台分包等外包新模式新业态。</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大力推动数字技术贸易</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突出数字产业化方向，加快推进软件、通信、大数据、人工智能、云计算、区块链、工业互联网等技术的跨境贸易。</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市发改委、市科技局、市工信局、市商务局、市市场监管局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健全知识产权公共服务体系，促进知识产权国际合作，支持知识产权服务机构拓展服务范围，打造完整知识产权服务链条，增强国际知识产权服务资源整合能力。</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市市场监管局、市发改委、市商务局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建设完善数字技术贸易促进体系，支持关键技术进口、消化与创新。探索数字科技成果转化、交易的新模式新机制，支持将具有自主知识产权的创新成果转化为标准。支持在“一带一路”沿线国家和地区推广技术服务和标准。</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市市场监管局、市商务局、市发改委、市科技局、市工信局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lastRenderedPageBreak/>
              <w:t>培育数字内容服务新增长点</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8</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贯彻落实国家文化数字化战略，加快发展新型数字文化企业、文化业态、文化消费模式，形成以“数字创意产业”为核心的产业布局，努力建成全国数字文化产业高地。</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市委宣传部、市文广旅局、市商务局</w:t>
            </w:r>
          </w:p>
        </w:tc>
      </w:tr>
      <w:tr w:rsidR="00677817" w:rsidRPr="00677817" w:rsidTr="007D52E3">
        <w:trPr>
          <w:trHeight w:val="90"/>
          <w:jc w:val="center"/>
        </w:trPr>
        <w:tc>
          <w:tcPr>
            <w:tcW w:w="1242" w:type="dxa"/>
            <w:vMerge/>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9</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全面打响“江南文化”品牌，高标准、高水平打造“江南文化”特色传播体系。积极发展数字媒体、数字出版、网络视听、数字娱乐、动漫游戏等数字内容贸易。</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市文广旅局</w:t>
            </w:r>
          </w:p>
        </w:tc>
      </w:tr>
      <w:tr w:rsidR="00677817" w:rsidRPr="00677817" w:rsidTr="007D52E3">
        <w:trPr>
          <w:trHeight w:val="90"/>
          <w:jc w:val="center"/>
        </w:trPr>
        <w:tc>
          <w:tcPr>
            <w:tcW w:w="1242" w:type="dxa"/>
            <w:vMerge/>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10</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大力发展游戏直播、电子竞技、云游戏等新业态，鼓励举办大型国际电竞赛事。</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市体育局、市文广旅局</w:t>
            </w:r>
          </w:p>
        </w:tc>
      </w:tr>
      <w:tr w:rsidR="00677817" w:rsidRPr="00677817" w:rsidTr="007D52E3">
        <w:trPr>
          <w:trHeight w:val="90"/>
          <w:jc w:val="center"/>
        </w:trPr>
        <w:tc>
          <w:tcPr>
            <w:tcW w:w="1242" w:type="dxa"/>
            <w:vMerge/>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11</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加强数字版权保护和开发利用。</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市市场监管局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积极探索发展数据贸易</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规范数据处理活动，促进数据依法有序自由流动，加快培育数据要素市场，培育规范的数据交易平台和市场主体，开展数据确权、质量评估、数据资产定价等数据价值化研究。</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市商务局、市委网信办、市大数据局</w:t>
            </w:r>
          </w:p>
        </w:tc>
      </w:tr>
      <w:tr w:rsidR="00677817" w:rsidRPr="00677817" w:rsidTr="007D52E3">
        <w:trPr>
          <w:trHeight w:val="90"/>
          <w:jc w:val="center"/>
        </w:trPr>
        <w:tc>
          <w:tcPr>
            <w:tcW w:w="1242" w:type="dxa"/>
            <w:vMerge/>
            <w:vAlign w:val="center"/>
          </w:tcPr>
          <w:p w:rsidR="00677817" w:rsidRPr="00FE6891"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打造数据资产评估、登记结算、交易撮合、争议仲裁等市场运营体系，探索协议转让、挂牌等多种形式的数据交易模式。</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市商务局、市委网信办、市大数据局</w:t>
            </w:r>
          </w:p>
        </w:tc>
      </w:tr>
      <w:tr w:rsidR="00677817" w:rsidRPr="00677817" w:rsidTr="007D52E3">
        <w:trPr>
          <w:trHeight w:val="90"/>
          <w:jc w:val="center"/>
        </w:trPr>
        <w:tc>
          <w:tcPr>
            <w:tcW w:w="1242" w:type="dxa"/>
            <w:vMerge/>
            <w:vAlign w:val="center"/>
          </w:tcPr>
          <w:p w:rsidR="00677817" w:rsidRPr="00FE6891"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推动苏州大数据交易所创新发展，打造具有苏州特色的运营模式和商业模式，推进数字经济与实体经济有机融合。</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市大数据局、市商务局、市委网信办</w:t>
            </w:r>
          </w:p>
        </w:tc>
      </w:tr>
      <w:tr w:rsidR="00677817" w:rsidRPr="00677817" w:rsidTr="007D52E3">
        <w:trPr>
          <w:trHeight w:val="90"/>
          <w:jc w:val="center"/>
        </w:trPr>
        <w:tc>
          <w:tcPr>
            <w:tcW w:w="1242" w:type="dxa"/>
            <w:vMerge/>
            <w:vAlign w:val="center"/>
          </w:tcPr>
          <w:p w:rsidR="00677817" w:rsidRPr="00FE6891"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推动“服贸通”中新数据专线、“商贸通”中日国际数据通道拓展应用场景。</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市商务局、市委网信办、市大数据局</w:t>
            </w:r>
          </w:p>
        </w:tc>
      </w:tr>
      <w:tr w:rsidR="00677817" w:rsidRPr="00677817" w:rsidTr="007D52E3">
        <w:trPr>
          <w:trHeight w:val="90"/>
          <w:jc w:val="center"/>
        </w:trPr>
        <w:tc>
          <w:tcPr>
            <w:tcW w:w="1242" w:type="dxa"/>
            <w:vMerge w:val="restart"/>
            <w:vAlign w:val="center"/>
          </w:tcPr>
          <w:p w:rsidR="00677817" w:rsidRPr="00FE6891"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促进传统服务贸易数字化转型</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大力推进物联网核心技术及产品在物流、储运、供应链管理等领域示范应用，鼓励区块链技术在跨境支付、跨境结算领域的深度应用。拓展数字技术应用场景，支持旅游、运输、建筑、维护和维修、加工服务等传统服务贸易领域开展数字化改造，大力发展智慧物流、在线教育等新业态。</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市发改委、市教育局、市工信局、市住建局、市交通局、市商务局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仿宋_GB2312" w:cs="仿宋_GB2312"/>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依托数字贸易公共平台，整合数字化转型资源，全面提升传统服务贸易企业的数字化转型升级水平。</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市发改委、市教育局、市住建局、市交通局、市商务局</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bCs w:val="0"/>
                <w:sz w:val="21"/>
                <w:szCs w:val="21"/>
              </w:rPr>
            </w:pPr>
            <w:r w:rsidRPr="007D52E3">
              <w:rPr>
                <w:rFonts w:ascii="楷体_GB2312" w:eastAsia="楷体_GB2312" w:hAnsiTheme="minorEastAsia" w:cstheme="minorEastAsia" w:hint="eastAsia"/>
                <w:b w:val="0"/>
                <w:sz w:val="21"/>
                <w:szCs w:val="21"/>
              </w:rPr>
              <w:t>分类培育，壮大数字贸易多层次市场主体</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强化数字贸易头部</w:t>
            </w:r>
            <w:r w:rsidRPr="00677817">
              <w:rPr>
                <w:rFonts w:ascii="仿宋_GB2312" w:eastAsia="仿宋_GB2312" w:hAnsiTheme="minorEastAsia" w:cstheme="minorEastAsia" w:hint="eastAsia"/>
                <w:b w:val="0"/>
                <w:bCs w:val="0"/>
                <w:sz w:val="21"/>
                <w:szCs w:val="21"/>
              </w:rPr>
              <w:lastRenderedPageBreak/>
              <w:t>企业引进</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lastRenderedPageBreak/>
              <w:t>18</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面向数字贸易重点产业方向，编制产业招商地图，加强产业链招商，制定全市招引目标。</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市发改委、市科技局、市商务局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19</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加强数字贸易外资总部企业引进和认定，吸引跨国企业的研发中心、后台服务中心、财务结算中心等总部和功能性机构在苏州落地。</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市发改委、市科技局、市商务局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20</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支持数字贸易领军企业通过新设、并购、合作等方式做大做强，加快建设境外研发中心和营销网络，积极开拓新业务、新领域和新市场，带动服务、技术、标准输出，引导企业平台化、国际化发展。</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市发改委、市科技局、市商务局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加强数字贸易市场主体培育</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21</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遴选重点细分领域，培育一批外向度高、具有独特竞争优势、善于创新的中小型数字服务贸易企业。</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市发改委、市工信局、市商务局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仿宋_GB2312" w:cs="仿宋_GB2312"/>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扶持全球价值链中具有成为“独角兽”潜力的创新型企业，支持中小企业走“专精特新”发展道路。</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市发改委、市科技局、市工信局、市商务局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仿宋_GB2312" w:cs="仿宋_GB2312"/>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鼓励和支持数字贸易企业加强与头部企业协作，实施跨行业跨部门“借船出海”专项行动，积极参与数字贸易国际分工，融入全球价值链。</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w:t>
            </w:r>
          </w:p>
        </w:tc>
      </w:tr>
      <w:tr w:rsidR="00677817" w:rsidRPr="00677817" w:rsidTr="007D52E3">
        <w:trPr>
          <w:trHeight w:val="861"/>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仿宋_GB2312" w:cs="仿宋_GB2312"/>
                <w:sz w:val="21"/>
                <w:szCs w:val="21"/>
              </w:rPr>
            </w:pPr>
            <w:r w:rsidRPr="00677817">
              <w:rPr>
                <w:rFonts w:ascii="仿宋_GB2312" w:eastAsia="仿宋_GB2312" w:hAnsiTheme="minorEastAsia" w:cstheme="minorEastAsia" w:hint="eastAsia"/>
                <w:b w:val="0"/>
                <w:bCs w:val="0"/>
                <w:sz w:val="21"/>
                <w:szCs w:val="21"/>
              </w:rPr>
              <w:t>孵化数字贸易创新创业企业</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鼓励和支持数字贸易创新孵化基地建设，推动苏州创客育成中心孵化一批数字贸易创新创业项目和企业。</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市发改委、市教育局、市科技局、市人社局、市商务局</w:t>
            </w:r>
          </w:p>
        </w:tc>
      </w:tr>
      <w:tr w:rsidR="00677817" w:rsidRPr="00677817" w:rsidTr="007D52E3">
        <w:trPr>
          <w:trHeight w:val="1652"/>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仿宋_GB2312" w:cs="仿宋_GB2312"/>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支持大学生创新创业大赛等赛事活动，鼓励大学生创业孵化基地、高校实训基地、科技型企业等开辟数字贸易创客空间，形成项目初选、产业化发展、资本运作的全链条一体化数字贸易孵化促进体系。</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市发改委、市教育局、市科技局、市人社局、市商务局</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bCs w:val="0"/>
                <w:sz w:val="21"/>
                <w:szCs w:val="21"/>
              </w:rPr>
            </w:pPr>
            <w:r w:rsidRPr="007D52E3">
              <w:rPr>
                <w:rFonts w:ascii="楷体_GB2312" w:eastAsia="楷体_GB2312" w:hAnsiTheme="minorEastAsia" w:cstheme="minorEastAsia" w:hint="eastAsia"/>
                <w:b w:val="0"/>
                <w:sz w:val="21"/>
                <w:szCs w:val="21"/>
              </w:rPr>
              <w:t>统筹布局，建设数字贸易多要素促进平台</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仿宋_GB2312" w:cs="仿宋_GB2312"/>
                <w:sz w:val="21"/>
                <w:szCs w:val="21"/>
              </w:rPr>
            </w:pPr>
            <w:r w:rsidRPr="00677817">
              <w:rPr>
                <w:rFonts w:ascii="仿宋_GB2312" w:eastAsia="仿宋_GB2312" w:hAnsiTheme="minorEastAsia" w:cstheme="minorEastAsia" w:hint="eastAsia"/>
                <w:b w:val="0"/>
                <w:bCs w:val="0"/>
                <w:sz w:val="21"/>
                <w:szCs w:val="21"/>
              </w:rPr>
              <w:t>提升数字贸易载体能级</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加快苏州全面深化服务贸易创新发展试点城市和服务外包示范城市建设。</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市商务局、各县级市（区）人民政府（管委会）</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楷体_GB2312" w:cs="楷体_GB2312"/>
                <w:bCs w:val="0"/>
                <w:color w:val="000000"/>
                <w:sz w:val="21"/>
                <w:szCs w:val="21"/>
                <w:lang w:bidi="zh-TW"/>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进国家文化出口基地、国家人力资源服务出口基地、国家知识产权服务出口基地等3个国家级特色服务出口基地建设，提升基地服务能力和国际竞争力，支持苏州工业园区、高新区创建国家数字贸易特色服务出口基地。</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市商务局、市人社局、市文广旅局、市市场监管局、苏州工业园区管委会、苏州高新区管委会</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楷体_GB2312" w:cs="楷体_GB2312"/>
                <w:bCs w:val="0"/>
                <w:color w:val="000000"/>
                <w:sz w:val="21"/>
                <w:szCs w:val="21"/>
                <w:lang w:bidi="zh-TW"/>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28</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按照“信息集聚、要素集聚和资源集聚”的原则，在产业创新集群和新兴服务业细分领域，鼓励相关市场主体积极建设与运营数字贸易特色基地，支持申报省级数字贸易基地。</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市商务局、各县级市（区）人民政府（管委会）</w:t>
            </w:r>
          </w:p>
        </w:tc>
      </w:tr>
      <w:tr w:rsidR="00677817" w:rsidRPr="00677817" w:rsidTr="007D52E3">
        <w:trPr>
          <w:trHeight w:val="1976"/>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楷体_GB2312" w:cs="楷体_GB2312"/>
                <w:bCs w:val="0"/>
                <w:color w:val="000000"/>
                <w:sz w:val="21"/>
                <w:szCs w:val="21"/>
                <w:lang w:bidi="zh-TW"/>
              </w:rPr>
            </w:pPr>
            <w:r w:rsidRPr="00677817">
              <w:rPr>
                <w:rFonts w:ascii="仿宋_GB2312" w:eastAsia="仿宋_GB2312" w:hAnsiTheme="minorEastAsia" w:cstheme="minorEastAsia" w:hint="eastAsia"/>
                <w:b w:val="0"/>
                <w:bCs w:val="0"/>
                <w:sz w:val="21"/>
                <w:szCs w:val="21"/>
              </w:rPr>
              <w:lastRenderedPageBreak/>
              <w:t>建设数字化转型平台</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29</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实施制造业数字化转型专项行动，分行业、分阶段打造与产业发展实际相匹配的数字化改造推进行动。聚力打造“数智赋能”融合基础设施，加快融入“长三角工业互联网一体化发展示范区”建设，加速工业互联网全域赋能。</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市工信局、市发改委</w:t>
            </w:r>
          </w:p>
        </w:tc>
      </w:tr>
      <w:tr w:rsidR="00677817" w:rsidRPr="00677817" w:rsidTr="00677817">
        <w:trPr>
          <w:trHeight w:val="90"/>
          <w:jc w:val="center"/>
        </w:trPr>
        <w:tc>
          <w:tcPr>
            <w:tcW w:w="1242" w:type="dxa"/>
            <w:vMerge/>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30</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聚焦物联网、集成电路与新型显示等先进制造业集群领域，汇聚资源、创新机制，实施关键核心技术攻关行动。</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市工信局、市发改委</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推动数字贸易公共服务平台提档升级</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31</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积极对接区域全面经济关系协定（RCEP）、抢抓自贸区发展机遇，培育一批具有较强辐射和带动作用的数字贸易公共服务平台。</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市发改委、市商务局、市市场监管局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创新政府和运营主体双向赋能的平台建设运营合作模式，在国际供应链、专业翻译、法律咨询、技术创新、知识产权等领域开展数字贸易公共服务平台培育。</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市发改委、市商务局、市市场监管局</w:t>
            </w:r>
          </w:p>
        </w:tc>
      </w:tr>
      <w:tr w:rsidR="00677817" w:rsidRPr="00677817" w:rsidTr="007D52E3">
        <w:trPr>
          <w:trHeight w:val="839"/>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积极对接中国（江苏）国际贸易“单一窗口”数字贸易应用版块。</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市发改委、市商务局、市市场监管局</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sz w:val="21"/>
                <w:szCs w:val="21"/>
              </w:rPr>
            </w:pPr>
            <w:r w:rsidRPr="007D52E3">
              <w:rPr>
                <w:rFonts w:ascii="楷体_GB2312" w:eastAsia="楷体_GB2312" w:hAnsiTheme="minorEastAsia" w:cstheme="minorEastAsia" w:hint="eastAsia"/>
                <w:b w:val="0"/>
                <w:sz w:val="21"/>
                <w:szCs w:val="21"/>
              </w:rPr>
              <w:t>开放共赢，拓展数字贸易多渠道国际合作</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构建多元化国际市场格局</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围绕数字贸易重点领域，着力开拓欧美日及中国香港等数字贸易传统市场，鼓励企业通过并购、设立分支机构或研发中心等加强与发达国家和地区的深度合作。</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市商务局、市委网信办、市科技局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以“一带一路”交汇点建设为总揽，以高效落实区域全面经济关系协定（RCEP）为契机，加强与东盟国家在科技创新、文化、专业服务等领域，与非洲国家在网络通信、金融服务等领域合作，深耕当地市场。</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市商务局、市委网信办、市科技局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打造国际数字贸易会展品牌</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依托中新、中日、中德等重要国际合作平台，做强金鸡湖国际会展周、中德太仓职业教育合作等国际合作项目。</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市商务局、市贸促会、太仓市人民政府、相城区人民政府、苏州工业园区管委会</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鼓励“电博会”“创博会”“旅博会”等一批国际会展平台建设，提供国际化、专业化、便利化的数字内容、服务与产品的展示、对外交流和对接等服务。</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市商务局、市贸促会</w:t>
            </w:r>
          </w:p>
        </w:tc>
      </w:tr>
      <w:tr w:rsidR="00677817" w:rsidRPr="00677817" w:rsidTr="007D52E3">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38</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支持“太湖论坛”举办数字贸易相关国际高端会议、论坛，利用中新合作服务贸易创新论坛成为中国国际进口博览会虹桥国际经济论坛分论坛的契机，进一步扩大其影响力。</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市商务局、市贸促会、苏州工业园区管委会</w:t>
            </w:r>
          </w:p>
        </w:tc>
      </w:tr>
      <w:tr w:rsidR="00677817" w:rsidRPr="00677817" w:rsidTr="007D52E3">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39</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组织企业积极参加中国国际服务贸易交易会、中国（上海）国际技术进出口交易会等国家级展会，展示“苏州服务”形象。支持企业线上线下参加数字贸易领域国际合作交流活动，利用会展大数据等数字科技创新，提升展览设施和技术数字化水平，精准对接国际展览和采购需求。</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市商务局、市贸促会</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sz w:val="21"/>
                <w:szCs w:val="21"/>
              </w:rPr>
            </w:pPr>
            <w:r w:rsidRPr="007D52E3">
              <w:rPr>
                <w:rFonts w:ascii="楷体_GB2312" w:eastAsia="楷体_GB2312" w:hAnsiTheme="minorEastAsia" w:cstheme="minorEastAsia" w:hint="eastAsia"/>
                <w:b w:val="0"/>
                <w:sz w:val="21"/>
                <w:szCs w:val="21"/>
              </w:rPr>
              <w:t>对标国际，探索建立数字贸易多领域规则标准</w:t>
            </w:r>
          </w:p>
        </w:tc>
      </w:tr>
      <w:tr w:rsidR="00677817" w:rsidRPr="00677817" w:rsidTr="007D52E3">
        <w:trPr>
          <w:trHeight w:val="90"/>
          <w:jc w:val="center"/>
        </w:trPr>
        <w:tc>
          <w:tcPr>
            <w:tcW w:w="1242" w:type="dxa"/>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加快国际规则对接</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40</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对接区域全面经济关系协定（RCEP）、数字经济伙伴关系协定（DEPA）、全面与进步跨太平洋伙伴关系协定（CPTPP）等在数据交互、分级分类、业务互通、监管互认、服务共享等方面的数字贸易规则。发挥苏州工业园区中新合作平台作用，在DEPA框架下，争取苏州与新加坡的数字身份互认体系试点。支持数字贸易基地和重点企业参与各层次数字贸易、数据治理机制和区域性数字领域经贸合作。</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市商务局、市委网信办、市大数据局、市贸促会、苏州工业园区管委会</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探索数据跨境流动监管体系</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41</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发挥自贸试验区先行先试作用，支持苏州工业园区建设数据跨境传输公共服务平台，出台数据跨境流动管理办法，制定跨境数据流动安全保障和分类监管机制。</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苏州工业园区管委会、市商务局、市委网信办、市大数据局、市贸促会</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42</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探索商业数据跨境流动、跨境交易模式，构建数据跨境流通便利化体系，争取国家跨境数据流动安全管理试点。深化跨境数据保护规制合作，促进数字证书和电子签名的国际互认。</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市商务局、市委网信办、市大数据局、市贸促会、苏州工业园区管委会</w:t>
            </w:r>
          </w:p>
        </w:tc>
      </w:tr>
      <w:tr w:rsidR="00677817" w:rsidRPr="00677817" w:rsidTr="007D52E3">
        <w:trPr>
          <w:trHeight w:val="90"/>
          <w:jc w:val="center"/>
        </w:trPr>
        <w:tc>
          <w:tcPr>
            <w:tcW w:w="1242" w:type="dxa"/>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开展标准体系建设</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43</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参与数字贸易领域技术标准、服务标准、人才标准等多层次的产业数字化标准体系建设。依托行业协会、产业联盟和大中型骨干企业，积极推动数字贸易领域团体、行业和地方标准立项。支持重点企业和科研院所主导或参与数字贸易国际标准、国家标准、地方标准、行业标准等的制定和应用。</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市商务局、市市场监管局、市工信局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lastRenderedPageBreak/>
              <w:t>开展数字贸易前瞻研究</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44</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推动苏州市服务贸易创新发展专家组筹建数字贸易研究小组，为产业发展战略决策、专题研究等提供智力支持。</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市商务局、市委网信办、市市场监管局</w:t>
            </w:r>
          </w:p>
        </w:tc>
      </w:tr>
      <w:tr w:rsidR="00677817" w:rsidRPr="00677817" w:rsidTr="007D52E3">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imes New Roman" w:cs="Times New Roman"/>
                <w:bCs w:val="0"/>
                <w:color w:val="00000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45</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在苏高校等各类机构加强数字贸易研究，针对DEPA协定、数字贸易秩序规则变化趋势和对策、数字贸易企业跨境数据流动等课题开展前沿性研究探索；针对重点国家和重点行业，开展数字贸易相关法规、知识产权保护、统计、争端解决机制、新型规则影响等应用型研究。</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市商务局、市委网信办、市司法局、市市场监管局</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sz w:val="21"/>
                <w:szCs w:val="21"/>
              </w:rPr>
            </w:pPr>
            <w:r w:rsidRPr="007D52E3">
              <w:rPr>
                <w:rFonts w:ascii="楷体_GB2312" w:eastAsia="楷体_GB2312" w:hAnsiTheme="minorEastAsia" w:cstheme="minorEastAsia" w:hint="eastAsia"/>
                <w:b w:val="0"/>
                <w:sz w:val="21"/>
                <w:szCs w:val="21"/>
              </w:rPr>
              <w:t>优化环境，加强数字贸易多维度支撑</w:t>
            </w:r>
          </w:p>
        </w:tc>
      </w:tr>
      <w:tr w:rsidR="00677817" w:rsidRPr="00677817" w:rsidTr="007D52E3">
        <w:trPr>
          <w:trHeight w:val="1548"/>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加快信息基础设施建设</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46</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加强以5G网络为核心的下一代信息通信基础设施建设，实现5G基站大市范围全覆盖，推动 5G、IPv6等技术在工业互联网领域深入拓展，同时加快推动申报国家级骨干直联点，提升苏州网络架构地位。</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市工信局、市发改委、市资源规划局、市住建局、市大数据局、市通管办</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47</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构筑基于NB-</w:t>
            </w:r>
            <w:proofErr w:type="spellStart"/>
            <w:r w:rsidRPr="00677817">
              <w:rPr>
                <w:rFonts w:ascii="仿宋_GB2312" w:eastAsia="仿宋_GB2312" w:hAnsiTheme="minorEastAsia" w:cstheme="minorEastAsia" w:hint="eastAsia"/>
                <w:b w:val="0"/>
                <w:bCs w:val="0"/>
                <w:sz w:val="21"/>
                <w:szCs w:val="21"/>
              </w:rPr>
              <w:t>IoT</w:t>
            </w:r>
            <w:proofErr w:type="spellEnd"/>
            <w:r w:rsidRPr="00677817">
              <w:rPr>
                <w:rFonts w:ascii="仿宋_GB2312" w:eastAsia="仿宋_GB2312" w:hAnsiTheme="minorEastAsia" w:cstheme="minorEastAsia" w:hint="eastAsia"/>
                <w:b w:val="0"/>
                <w:bCs w:val="0"/>
                <w:sz w:val="21"/>
                <w:szCs w:val="21"/>
              </w:rPr>
              <w:t>等主流通讯技术的城市级全面感知网络，提升城市“触觉感知”“通信感知”能力。</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市工信局、市发改委、市资源规划局、市住建局、市大数据局、市通管办</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48</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支持国际互联网专线建设，加速数据中心等存储计算设施的建设和升级改造，帮助企业降低数字化升级成本。</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市工信局、市发改委、市资源规划局、市住建局、市大数据局、市通管办</w:t>
            </w:r>
          </w:p>
        </w:tc>
      </w:tr>
      <w:tr w:rsidR="00677817" w:rsidRPr="00677817" w:rsidTr="007D52E3">
        <w:trPr>
          <w:trHeight w:val="1928"/>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49</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优化新型绿色数据中心布局，启动长三角生态绿色一体化发展示范区数据中心集群起步区（吴江）建设，起步区内数据中心平均上架率不低于65%，起步区内数据中心电能利用效率指标控制在1.25以内，形成一批“东数西算”典型示范场景和应用。</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市发改委、市工信局、市资源规划局、市住建局、市大数据局、市通管办</w:t>
            </w:r>
          </w:p>
        </w:tc>
      </w:tr>
      <w:tr w:rsidR="00677817" w:rsidRPr="00677817" w:rsidTr="007D52E3">
        <w:trPr>
          <w:trHeight w:val="1276"/>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50</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推进新型城市基础设施试点工作，构建城市信息模型（CIM）基础平台和空天地一体化数据服务体系，推动传统基础设施数字化、智能化改造升级。</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市发改委、市资源规划局、市住建局、市大数据局、市通管办</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提升数字贸易便利化水平</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51</w:t>
            </w:r>
          </w:p>
        </w:tc>
        <w:tc>
          <w:tcPr>
            <w:tcW w:w="4853" w:type="dxa"/>
            <w:vAlign w:val="center"/>
          </w:tcPr>
          <w:p w:rsidR="00677817" w:rsidRPr="00677817" w:rsidRDefault="00677817" w:rsidP="007D52E3">
            <w:pPr>
              <w:pStyle w:val="1"/>
              <w:spacing w:before="0" w:after="0" w:line="380" w:lineRule="exac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统筹推进数字贸易便利化与扩大开放，促进要素流动型开放与制度型开放相结合、“边境上”准入与“边境后”监管相衔接，努力形成全球资源要素强大引力场，推动构建更高水平开放型经济新体制。</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w:t>
            </w:r>
          </w:p>
        </w:tc>
      </w:tr>
      <w:tr w:rsidR="00677817" w:rsidRPr="00677817" w:rsidTr="00677817">
        <w:trPr>
          <w:trHeight w:val="90"/>
          <w:jc w:val="center"/>
        </w:trPr>
        <w:tc>
          <w:tcPr>
            <w:tcW w:w="1242" w:type="dxa"/>
            <w:vMerge/>
          </w:tcPr>
          <w:p w:rsidR="00677817" w:rsidRPr="00677817" w:rsidRDefault="00677817" w:rsidP="00FE6891">
            <w:pPr>
              <w:pStyle w:val="1"/>
              <w:spacing w:before="0" w:after="0" w:line="380" w:lineRule="exact"/>
              <w:jc w:val="center"/>
              <w:rPr>
                <w:rFonts w:ascii="仿宋_GB2312" w:eastAsia="仿宋_GB2312" w:hAnsi="仿宋_GB2312" w:cs="仿宋_GB2312"/>
                <w:color w:val="00000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深化简政放权、放管结合、优化服务改革，破除负面清单之外隐性准入壁垒。优化审批流程，创新监管模式，减少服务进出口企业合规成本。</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w:t>
            </w:r>
          </w:p>
        </w:tc>
      </w:tr>
      <w:tr w:rsidR="00677817" w:rsidRPr="00677817" w:rsidTr="00677817">
        <w:trPr>
          <w:trHeight w:val="90"/>
          <w:jc w:val="center"/>
        </w:trPr>
        <w:tc>
          <w:tcPr>
            <w:tcW w:w="1242" w:type="dxa"/>
            <w:vMerge/>
          </w:tcPr>
          <w:p w:rsidR="00677817" w:rsidRPr="00677817" w:rsidRDefault="00677817" w:rsidP="00FE6891">
            <w:pPr>
              <w:pStyle w:val="1"/>
              <w:spacing w:before="0" w:after="0" w:line="380" w:lineRule="exact"/>
              <w:jc w:val="center"/>
              <w:rPr>
                <w:rFonts w:ascii="仿宋_GB2312" w:eastAsia="仿宋_GB2312" w:hAnsi="仿宋_GB2312" w:cs="仿宋_GB2312"/>
                <w:color w:val="00000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适应数字贸易企业发展需求，进一步优化外汇收支管理措施。</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人民银行苏州中心支行、市发改委、市商务局</w:t>
            </w:r>
          </w:p>
        </w:tc>
      </w:tr>
      <w:tr w:rsidR="00677817" w:rsidRPr="00677817" w:rsidTr="00677817">
        <w:trPr>
          <w:trHeight w:val="90"/>
          <w:jc w:val="center"/>
        </w:trPr>
        <w:tc>
          <w:tcPr>
            <w:tcW w:w="1242" w:type="dxa"/>
            <w:vMerge/>
          </w:tcPr>
          <w:p w:rsidR="00677817" w:rsidRPr="00677817" w:rsidRDefault="00677817" w:rsidP="00FE6891">
            <w:pPr>
              <w:pStyle w:val="1"/>
              <w:spacing w:before="0" w:after="0" w:line="380" w:lineRule="exact"/>
              <w:jc w:val="center"/>
              <w:rPr>
                <w:rFonts w:ascii="仿宋_GB2312" w:eastAsia="仿宋_GB2312" w:hAnsi="仿宋_GB2312" w:cs="仿宋_GB2312"/>
                <w:color w:val="00000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探索专业人才职业资格国际、国内互认，根据全省部署推行技能人才“一试三证”评价模式，开展国（境）外职业技能比照认定，为引进外籍高端人才提供签证、停居留及永久居留便利。</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市人社局、市发改委、市商务局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仿宋_GB2312" w:cs="仿宋_GB2312"/>
                <w:color w:val="000000"/>
                <w:sz w:val="21"/>
                <w:szCs w:val="21"/>
              </w:rPr>
            </w:pPr>
            <w:r w:rsidRPr="00677817">
              <w:rPr>
                <w:rFonts w:ascii="仿宋_GB2312" w:eastAsia="仿宋_GB2312" w:hAnsiTheme="minorEastAsia" w:cstheme="minorEastAsia" w:hint="eastAsia"/>
                <w:b w:val="0"/>
                <w:bCs w:val="0"/>
                <w:sz w:val="21"/>
                <w:szCs w:val="21"/>
              </w:rPr>
              <w:t>加强数字监管与安全治理</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严格落实国家网络安全审查、数据分类分级管理、数据出境安全评估等制度。对涉及关键数字技术、重要数据、大量个人信息等重要领域加强监管，提升数字安全监管能力和水平。</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市委网信办、市工信局、市通管办、市市场监管局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imes New Roman" w:cs="Times New Roman"/>
                <w:bCs w:val="0"/>
                <w:color w:val="00000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积极推进数据安全风险评估、认证等工作，推动相关配套产业发展，加强法律法规宣传解读，做好服务引导，为企业合法合规经营营造良好环境。</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市委网信办、市工信局、市通管办、市市场监管局</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打造数字贸易发展生态环境</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健全知识产权海外维权援助机制，支持国家海外知识产权纠纷应对指导中心苏州分中心建设，不断完善海外维权专家库、案例库及法律库，加强重大涉外知识产权案件跟踪研究，为“走出去”企业提供专业指导和服务。</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市市场监管局、市发改委、市商务局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58</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支持数字化服务机构面向市场主体提供数字化转型服务，推动企业数字化赋能计划，引导不同类型、不同发展阶段的企业科学推进“上云用数赋智”。</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市发改委、市工信局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59</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引导金融机构加大产品和服务创新，提升数字贸易企业融资便利度。</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市金融监管局、人民银行苏州中心支行、市发改委、市商务局</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60</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充分发挥服务贸易创新发展引导基金南方运营总部的作用，立足苏州、服务长三角，支持符合政策导向的数字贸易企业发展，扩大对数字贸易企业的专项扶持数额和对重点区域项目的扶持力度。</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市发改委、市商务局、市金融监管局、人民银行苏州中心支行</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61</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积极引进数字贸易发展所需的各类优秀人才，对国际型高端人才的住房、子女就学等配套服务按规定给予保障；建立数字贸易多元化人才培育机制，举办数字</w:t>
            </w:r>
            <w:r w:rsidRPr="00677817">
              <w:rPr>
                <w:rFonts w:ascii="仿宋_GB2312" w:eastAsia="仿宋_GB2312" w:hAnsiTheme="minorEastAsia" w:cstheme="minorEastAsia" w:hint="eastAsia"/>
                <w:b w:val="0"/>
                <w:bCs w:val="0"/>
                <w:sz w:val="21"/>
                <w:szCs w:val="21"/>
              </w:rPr>
              <w:lastRenderedPageBreak/>
              <w:t>贸易各领域的专业培训班，依托高校和企业探索设立数字贸易学院。</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lastRenderedPageBreak/>
              <w:t>市教育局、市科技局、市人社局、市发改委、市商务局</w:t>
            </w:r>
          </w:p>
        </w:tc>
      </w:tr>
      <w:tr w:rsidR="00677817" w:rsidRPr="00677817" w:rsidTr="005E6316">
        <w:trPr>
          <w:trHeight w:val="90"/>
          <w:jc w:val="center"/>
        </w:trPr>
        <w:tc>
          <w:tcPr>
            <w:tcW w:w="9881" w:type="dxa"/>
            <w:gridSpan w:val="4"/>
          </w:tcPr>
          <w:p w:rsidR="00677817" w:rsidRPr="007D52E3" w:rsidRDefault="00677817" w:rsidP="007D52E3">
            <w:pPr>
              <w:pStyle w:val="1"/>
              <w:spacing w:before="0" w:after="0" w:line="380" w:lineRule="exact"/>
              <w:jc w:val="center"/>
              <w:rPr>
                <w:rFonts w:ascii="楷体_GB2312" w:eastAsia="楷体_GB2312" w:hAnsiTheme="minorEastAsia" w:cstheme="minorEastAsia"/>
                <w:b w:val="0"/>
                <w:sz w:val="21"/>
                <w:szCs w:val="21"/>
              </w:rPr>
            </w:pPr>
            <w:r w:rsidRPr="007D52E3">
              <w:rPr>
                <w:rFonts w:ascii="楷体_GB2312" w:eastAsia="楷体_GB2312" w:hAnsiTheme="minorEastAsia" w:cstheme="minorEastAsia" w:hint="eastAsia"/>
                <w:b w:val="0"/>
                <w:sz w:val="21"/>
                <w:szCs w:val="21"/>
              </w:rPr>
              <w:lastRenderedPageBreak/>
              <w:t>保障措施</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强化组织保障</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62</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市服务贸易创新发展试点工作领导小组发挥统筹协调和决策功能，及时会商研究，推动解决地方和企业数字贸易发展的难点堵点，总结推广创新经验。</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市商务局，各有关部门</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63</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加强对方案实施的组织、协调和督导，强化任务分解，推进责任落实。</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市商务局，各有关部门</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64</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健全重点企业联系制度，多层次多形式开展数字贸易业务培训。</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市商务局，各有关部门</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65</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支持行业协会充分发挥桥梁纽带作用，组织开展行业统计、专题调研、重点企业联系、办会办展等活动，提升公共服务能力，营造数字贸易良好环境和氛围。</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市商务局，各有关部门</w:t>
            </w:r>
          </w:p>
        </w:tc>
      </w:tr>
      <w:tr w:rsidR="00677817" w:rsidRPr="00677817" w:rsidTr="007D52E3">
        <w:trPr>
          <w:trHeight w:val="90"/>
          <w:jc w:val="center"/>
        </w:trPr>
        <w:tc>
          <w:tcPr>
            <w:tcW w:w="1242" w:type="dxa"/>
            <w:vMerge w:val="restart"/>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加强政策引导</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66</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积极落实国家和地方各级产业支持和优惠政策，发挥相关专项资金支持引导作用，加强数字贸易领域的基础设施建设、软件投入、研发投入，支持参与数字贸易标准制定、开展规则研究、开拓海外市场等，研究制定适应数字贸易发展特点的创新政策。</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市商务局、市工信局、市财政局、市金融监管局、人民银行苏州中心支行、市税务局、市银保监分局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67</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引导政府性融资担保机构以及金融机构创新业务产品和服务模式，为数字贸易企业提供多元化融资支持和外汇收支专项服务。</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市金融监管局、人民银行苏州中心支行、市税务局、市银保监分局、市商务局</w:t>
            </w:r>
          </w:p>
        </w:tc>
      </w:tr>
      <w:tr w:rsidR="00677817" w:rsidRPr="00677817" w:rsidTr="007D52E3">
        <w:trPr>
          <w:trHeight w:val="90"/>
          <w:jc w:val="center"/>
        </w:trPr>
        <w:tc>
          <w:tcPr>
            <w:tcW w:w="1242" w:type="dxa"/>
            <w:vMerge/>
            <w:vAlign w:val="center"/>
          </w:tcPr>
          <w:p w:rsidR="00677817" w:rsidRPr="00677817" w:rsidRDefault="00677817" w:rsidP="00FE6891">
            <w:pPr>
              <w:pStyle w:val="1"/>
              <w:spacing w:before="0" w:after="0" w:line="380" w:lineRule="exact"/>
              <w:jc w:val="center"/>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68</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探索数字贸易出口信保新模式。</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出口信保公司、市商务局</w:t>
            </w:r>
          </w:p>
        </w:tc>
      </w:tr>
      <w:tr w:rsidR="00677817" w:rsidRPr="00677817" w:rsidTr="007D52E3">
        <w:trPr>
          <w:trHeight w:val="90"/>
          <w:jc w:val="center"/>
        </w:trPr>
        <w:tc>
          <w:tcPr>
            <w:tcW w:w="1242" w:type="dxa"/>
            <w:vMerge w:val="restart"/>
            <w:vAlign w:val="center"/>
          </w:tcPr>
          <w:p w:rsidR="00677817" w:rsidRPr="007D52E3" w:rsidRDefault="00677817" w:rsidP="00FE6891">
            <w:pPr>
              <w:pStyle w:val="1"/>
              <w:spacing w:before="0" w:after="0" w:line="380" w:lineRule="exact"/>
              <w:jc w:val="center"/>
              <w:rPr>
                <w:rFonts w:ascii="仿宋_GB2312" w:eastAsia="仿宋_GB2312" w:hAnsiTheme="minorEastAsia" w:cstheme="minorEastAsia"/>
                <w:b w:val="0"/>
                <w:bCs w:val="0"/>
                <w:kern w:val="32"/>
                <w:sz w:val="21"/>
                <w:szCs w:val="21"/>
              </w:rPr>
            </w:pPr>
            <w:r w:rsidRPr="007D52E3">
              <w:rPr>
                <w:rFonts w:ascii="仿宋_GB2312" w:eastAsia="仿宋_GB2312" w:hAnsiTheme="minorEastAsia" w:cstheme="minorEastAsia" w:hint="eastAsia"/>
                <w:b w:val="0"/>
                <w:bCs w:val="0"/>
                <w:kern w:val="32"/>
                <w:sz w:val="21"/>
                <w:szCs w:val="21"/>
              </w:rPr>
              <w:t>完善统计监测</w:t>
            </w: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69</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联合统计、外汇管理、海关等相关部门，积极探索开展数字贸易统计监测，建立数字贸易重点企业数据库，完善数据核查、退回和通报制度，提高填报数据质量。</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市商务局、市统计局、人民银行苏州中心支行、苏州海关</w:t>
            </w:r>
          </w:p>
        </w:tc>
      </w:tr>
      <w:tr w:rsidR="00677817" w:rsidRPr="00677817" w:rsidTr="00677817">
        <w:trPr>
          <w:trHeight w:val="90"/>
          <w:jc w:val="center"/>
        </w:trPr>
        <w:tc>
          <w:tcPr>
            <w:tcW w:w="1242" w:type="dxa"/>
            <w:vMerge/>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p>
        </w:tc>
        <w:tc>
          <w:tcPr>
            <w:tcW w:w="709" w:type="dxa"/>
            <w:vAlign w:val="center"/>
          </w:tcPr>
          <w:p w:rsidR="00677817" w:rsidRPr="00677817" w:rsidRDefault="00677817" w:rsidP="007D52E3">
            <w:pPr>
              <w:pStyle w:val="1"/>
              <w:spacing w:before="0" w:after="0" w:line="380" w:lineRule="exact"/>
              <w:jc w:val="center"/>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70</w:t>
            </w:r>
          </w:p>
        </w:tc>
        <w:tc>
          <w:tcPr>
            <w:tcW w:w="4853"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完善部门间数据共享机制，加强数字贸易统计数据分析，定期编制和发布苏州市数字贸易发展研究报告，为数字贸易发展成效评估提供数据支撑。</w:t>
            </w:r>
          </w:p>
        </w:tc>
        <w:tc>
          <w:tcPr>
            <w:tcW w:w="3077" w:type="dxa"/>
          </w:tcPr>
          <w:p w:rsidR="00677817" w:rsidRPr="00677817" w:rsidRDefault="00677817" w:rsidP="007D52E3">
            <w:pPr>
              <w:pStyle w:val="1"/>
              <w:spacing w:before="0" w:after="0" w:line="380" w:lineRule="exact"/>
              <w:jc w:val="left"/>
              <w:rPr>
                <w:rFonts w:ascii="仿宋_GB2312" w:eastAsia="仿宋_GB2312" w:hAnsiTheme="minorEastAsia" w:cstheme="minorEastAsia"/>
                <w:b w:val="0"/>
                <w:bCs w:val="0"/>
                <w:sz w:val="21"/>
                <w:szCs w:val="21"/>
              </w:rPr>
            </w:pPr>
            <w:r w:rsidRPr="00677817">
              <w:rPr>
                <w:rFonts w:ascii="仿宋_GB2312" w:eastAsia="仿宋_GB2312" w:hAnsiTheme="minorEastAsia" w:cstheme="minorEastAsia" w:hint="eastAsia"/>
                <w:b w:val="0"/>
                <w:bCs w:val="0"/>
                <w:sz w:val="21"/>
                <w:szCs w:val="21"/>
              </w:rPr>
              <w:t>市商务局、市统计局、人民银行苏州中心支行、苏州海关</w:t>
            </w:r>
          </w:p>
        </w:tc>
      </w:tr>
    </w:tbl>
    <w:p w:rsidR="006D1B9A" w:rsidRPr="008379CF" w:rsidRDefault="006D1B9A" w:rsidP="00D15871">
      <w:pPr>
        <w:spacing w:line="14" w:lineRule="exact"/>
      </w:pPr>
      <w:bookmarkStart w:id="0" w:name="_GoBack"/>
      <w:bookmarkEnd w:id="0"/>
    </w:p>
    <w:sectPr w:rsidR="006D1B9A" w:rsidRPr="008379CF" w:rsidSect="00E2792F">
      <w:footerReference w:type="even" r:id="rId9"/>
      <w:footerReference w:type="default" r:id="rId10"/>
      <w:footerReference w:type="first" r:id="rId11"/>
      <w:pgSz w:w="11906" w:h="16838" w:code="9"/>
      <w:pgMar w:top="2041" w:right="1474" w:bottom="1985" w:left="1588" w:header="851" w:footer="1520" w:gutter="0"/>
      <w:pgNumType w:start="1" w:chapStyle="1"/>
      <w:cols w:space="425"/>
      <w:docGrid w:type="linesAndChars" w:linePitch="582"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E48" w:rsidRDefault="00977E48">
      <w:r>
        <w:separator/>
      </w:r>
    </w:p>
  </w:endnote>
  <w:endnote w:type="continuationSeparator" w:id="0">
    <w:p w:rsidR="00977E48" w:rsidRDefault="0097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altName w:val="FangSong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文鼎CS仿宋体">
    <w:altName w:val="宋体"/>
    <w:charset w:val="86"/>
    <w:family w:val="modern"/>
    <w:pitch w:val="default"/>
    <w:sig w:usb0="00000001" w:usb1="080E0000" w:usb2="00000010" w:usb3="00000000" w:csb0="00040000" w:csb1="00000000"/>
  </w:font>
  <w:font w:name="汉鼎简大宋">
    <w:altName w:val="宋体"/>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Default="009C3117" w:rsidP="00E2792F">
    <w:pPr>
      <w:pStyle w:val="a3"/>
      <w:ind w:leftChars="100" w:left="320" w:rightChars="100" w:right="320"/>
    </w:pPr>
    <w:r w:rsidRPr="0050326D">
      <w:rPr>
        <w:rStyle w:val="a4"/>
        <w:rFonts w:eastAsia="宋体" w:hint="eastAsia"/>
        <w:sz w:val="28"/>
        <w:szCs w:val="28"/>
      </w:rPr>
      <w:t>—</w:t>
    </w:r>
    <w:r w:rsidRPr="0050326D">
      <w:rPr>
        <w:rStyle w:val="a4"/>
        <w:rFonts w:hint="eastAsia"/>
        <w:sz w:val="28"/>
        <w:szCs w:val="28"/>
      </w:rPr>
      <w:t xml:space="preserve"> </w:t>
    </w:r>
    <w:r w:rsidRPr="00A06498">
      <w:rPr>
        <w:rStyle w:val="a4"/>
        <w:rFonts w:ascii="宋体" w:eastAsia="宋体" w:hAnsi="宋体"/>
        <w:sz w:val="28"/>
        <w:szCs w:val="28"/>
      </w:rPr>
      <w:fldChar w:fldCharType="begin"/>
    </w:r>
    <w:r w:rsidRPr="00A06498">
      <w:rPr>
        <w:rStyle w:val="a4"/>
        <w:rFonts w:ascii="宋体" w:eastAsia="宋体" w:hAnsi="宋体"/>
        <w:sz w:val="28"/>
        <w:szCs w:val="28"/>
      </w:rPr>
      <w:instrText xml:space="preserve">PAGE  </w:instrText>
    </w:r>
    <w:r w:rsidRPr="00A06498">
      <w:rPr>
        <w:rStyle w:val="a4"/>
        <w:rFonts w:ascii="宋体" w:eastAsia="宋体" w:hAnsi="宋体"/>
        <w:sz w:val="28"/>
        <w:szCs w:val="28"/>
      </w:rPr>
      <w:fldChar w:fldCharType="separate"/>
    </w:r>
    <w:r w:rsidR="008379CF">
      <w:rPr>
        <w:rStyle w:val="a4"/>
        <w:rFonts w:ascii="宋体" w:eastAsia="宋体" w:hAnsi="宋体"/>
        <w:noProof/>
        <w:sz w:val="28"/>
        <w:szCs w:val="28"/>
      </w:rPr>
      <w:t>8</w:t>
    </w:r>
    <w:r w:rsidRPr="00A06498">
      <w:rPr>
        <w:rStyle w:val="a4"/>
        <w:rFonts w:ascii="宋体" w:eastAsia="宋体" w:hAnsi="宋体"/>
        <w:sz w:val="28"/>
        <w:szCs w:val="28"/>
      </w:rPr>
      <w:fldChar w:fldCharType="end"/>
    </w:r>
    <w:r w:rsidRPr="0050326D">
      <w:rPr>
        <w:rStyle w:val="a4"/>
        <w:rFonts w:hint="eastAsia"/>
        <w:sz w:val="28"/>
        <w:szCs w:val="28"/>
      </w:rPr>
      <w:t xml:space="preserve"> </w:t>
    </w:r>
    <w:r w:rsidRPr="0050326D">
      <w:rPr>
        <w:rStyle w:val="a4"/>
        <w:rFonts w:eastAsia="宋体" w:hint="eastAsia"/>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Pr="0050326D" w:rsidRDefault="008D3F64" w:rsidP="00E2792F">
    <w:pPr>
      <w:pStyle w:val="a3"/>
      <w:ind w:leftChars="100" w:left="320" w:rightChars="100" w:right="320"/>
      <w:jc w:val="right"/>
      <w:rPr>
        <w:sz w:val="28"/>
        <w:szCs w:val="28"/>
      </w:rPr>
    </w:pPr>
    <w:r w:rsidRPr="0050326D">
      <w:rPr>
        <w:rStyle w:val="a4"/>
        <w:rFonts w:eastAsia="宋体" w:hint="eastAsia"/>
        <w:sz w:val="28"/>
        <w:szCs w:val="28"/>
      </w:rPr>
      <w:t>—</w:t>
    </w:r>
    <w:r w:rsidRPr="000C31BC">
      <w:rPr>
        <w:rStyle w:val="a4"/>
        <w:rFonts w:ascii="Times New Roman"/>
        <w:sz w:val="28"/>
        <w:szCs w:val="28"/>
      </w:rPr>
      <w:t xml:space="preserve"> </w:t>
    </w:r>
    <w:r w:rsidRPr="00A06498">
      <w:rPr>
        <w:rStyle w:val="a4"/>
        <w:rFonts w:ascii="宋体" w:eastAsia="宋体" w:hAnsi="宋体"/>
        <w:sz w:val="28"/>
        <w:szCs w:val="28"/>
      </w:rPr>
      <w:fldChar w:fldCharType="begin"/>
    </w:r>
    <w:r w:rsidRPr="00A06498">
      <w:rPr>
        <w:rStyle w:val="a4"/>
        <w:rFonts w:ascii="宋体" w:eastAsia="宋体" w:hAnsi="宋体"/>
        <w:sz w:val="28"/>
        <w:szCs w:val="28"/>
      </w:rPr>
      <w:instrText xml:space="preserve">PAGE  </w:instrText>
    </w:r>
    <w:r w:rsidRPr="00A06498">
      <w:rPr>
        <w:rStyle w:val="a4"/>
        <w:rFonts w:ascii="宋体" w:eastAsia="宋体" w:hAnsi="宋体"/>
        <w:sz w:val="28"/>
        <w:szCs w:val="28"/>
      </w:rPr>
      <w:fldChar w:fldCharType="separate"/>
    </w:r>
    <w:r w:rsidR="008379CF">
      <w:rPr>
        <w:rStyle w:val="a4"/>
        <w:rFonts w:ascii="宋体" w:eastAsia="宋体" w:hAnsi="宋体"/>
        <w:noProof/>
        <w:sz w:val="28"/>
        <w:szCs w:val="28"/>
      </w:rPr>
      <w:t>7</w:t>
    </w:r>
    <w:r w:rsidRPr="00A06498">
      <w:rPr>
        <w:rStyle w:val="a4"/>
        <w:rFonts w:ascii="宋体" w:eastAsia="宋体" w:hAnsi="宋体"/>
        <w:sz w:val="28"/>
        <w:szCs w:val="28"/>
      </w:rPr>
      <w:fldChar w:fldCharType="end"/>
    </w:r>
    <w:r w:rsidRPr="000C31BC">
      <w:rPr>
        <w:rStyle w:val="a4"/>
        <w:rFonts w:ascii="Times New Roman"/>
        <w:sz w:val="28"/>
        <w:szCs w:val="28"/>
      </w:rPr>
      <w:t xml:space="preserve"> </w:t>
    </w:r>
    <w:r w:rsidRPr="0050326D">
      <w:rPr>
        <w:rStyle w:val="a4"/>
        <w:rFonts w:eastAsia="宋体" w:hint="eastAsia"/>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Default="008D3F64">
    <w:pPr>
      <w:pStyle w:val="a3"/>
      <w:jc w:val="center"/>
      <w:rPr>
        <w:sz w:val="32"/>
      </w:rPr>
    </w:pPr>
    <w:r>
      <w:rPr>
        <w:rStyle w:val="a4"/>
        <w:rFonts w:hint="eastAsia"/>
        <w:sz w:val="32"/>
      </w:rPr>
      <w:t xml:space="preserve">— </w:t>
    </w:r>
    <w:r>
      <w:rPr>
        <w:rStyle w:val="a4"/>
        <w:rFonts w:hint="eastAsia"/>
        <w:sz w:val="30"/>
      </w:rPr>
      <w:fldChar w:fldCharType="begin"/>
    </w:r>
    <w:r>
      <w:rPr>
        <w:rStyle w:val="a4"/>
        <w:rFonts w:hint="eastAsia"/>
        <w:sz w:val="30"/>
      </w:rPr>
      <w:instrText xml:space="preserve"> PAGE </w:instrText>
    </w:r>
    <w:r>
      <w:rPr>
        <w:rStyle w:val="a4"/>
        <w:rFonts w:hint="eastAsia"/>
        <w:sz w:val="30"/>
      </w:rPr>
      <w:fldChar w:fldCharType="separate"/>
    </w:r>
    <w:r>
      <w:rPr>
        <w:rStyle w:val="a4"/>
        <w:noProof/>
        <w:sz w:val="30"/>
      </w:rPr>
      <w:t>1</w:t>
    </w:r>
    <w:r>
      <w:rPr>
        <w:rStyle w:val="a4"/>
        <w:rFonts w:hint="eastAsia"/>
        <w:sz w:val="30"/>
      </w:rPr>
      <w:fldChar w:fldCharType="end"/>
    </w:r>
    <w:r>
      <w:rPr>
        <w:rStyle w:val="a4"/>
        <w:rFonts w:hint="eastAsia"/>
        <w:sz w:val="3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E48" w:rsidRDefault="00977E48">
      <w:r>
        <w:separator/>
      </w:r>
    </w:p>
  </w:footnote>
  <w:footnote w:type="continuationSeparator" w:id="0">
    <w:p w:rsidR="00977E48" w:rsidRDefault="00977E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lvl w:ilvl="0">
      <w:start w:val="2"/>
      <w:numFmt w:val="chineseCounting"/>
      <w:suff w:val="nothing"/>
      <w:lvlText w:val="（%1）"/>
      <w:lvlJc w:val="left"/>
    </w:lvl>
  </w:abstractNum>
  <w:abstractNum w:abstractNumId="1">
    <w:nsid w:val="00503C2E"/>
    <w:multiLevelType w:val="hybridMultilevel"/>
    <w:tmpl w:val="F23454E2"/>
    <w:lvl w:ilvl="0" w:tplc="76AC3FC6">
      <w:start w:val="1"/>
      <w:numFmt w:val="japaneseCounting"/>
      <w:lvlText w:val="（%1）"/>
      <w:lvlJc w:val="left"/>
      <w:pPr>
        <w:tabs>
          <w:tab w:val="num" w:pos="1720"/>
        </w:tabs>
        <w:ind w:left="1720" w:hanging="1080"/>
      </w:pPr>
      <w:rPr>
        <w:rFonts w:hint="eastAsia"/>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2">
    <w:nsid w:val="014D19ED"/>
    <w:multiLevelType w:val="hybridMultilevel"/>
    <w:tmpl w:val="984E71DC"/>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68129EA"/>
    <w:multiLevelType w:val="hybridMultilevel"/>
    <w:tmpl w:val="27A682B6"/>
    <w:lvl w:ilvl="0" w:tplc="42948A04">
      <w:start w:val="1"/>
      <w:numFmt w:val="japaneseCounting"/>
      <w:lvlText w:val="%1、"/>
      <w:lvlJc w:val="left"/>
      <w:pPr>
        <w:tabs>
          <w:tab w:val="num" w:pos="1360"/>
        </w:tabs>
        <w:ind w:left="1360" w:hanging="720"/>
      </w:pPr>
      <w:rPr>
        <w:rFonts w:hint="eastAsia"/>
      </w:rPr>
    </w:lvl>
    <w:lvl w:ilvl="1" w:tplc="E7487484">
      <w:start w:val="3"/>
      <w:numFmt w:val="decimal"/>
      <w:lvlText w:val="%2、"/>
      <w:lvlJc w:val="left"/>
      <w:pPr>
        <w:tabs>
          <w:tab w:val="num" w:pos="1780"/>
        </w:tabs>
        <w:ind w:left="1780" w:hanging="720"/>
      </w:pPr>
      <w:rPr>
        <w:rFonts w:hint="default"/>
        <w:b/>
      </w:r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4">
    <w:nsid w:val="0D176257"/>
    <w:multiLevelType w:val="hybridMultilevel"/>
    <w:tmpl w:val="CD04A6B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F71130A"/>
    <w:multiLevelType w:val="hybridMultilevel"/>
    <w:tmpl w:val="A4A60806"/>
    <w:lvl w:ilvl="0" w:tplc="A4ACF834">
      <w:start w:val="1"/>
      <w:numFmt w:val="japaneseCounting"/>
      <w:lvlText w:val="%1、"/>
      <w:lvlJc w:val="left"/>
      <w:pPr>
        <w:tabs>
          <w:tab w:val="num" w:pos="720"/>
        </w:tabs>
        <w:ind w:left="720" w:hanging="720"/>
      </w:pPr>
      <w:rPr>
        <w:rFonts w:ascii="宋体" w:hAnsi="Arial" w:cs="Arial"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2491DD2"/>
    <w:multiLevelType w:val="hybridMultilevel"/>
    <w:tmpl w:val="4D3C63B2"/>
    <w:lvl w:ilvl="0" w:tplc="AD2600FE">
      <w:start w:val="1"/>
      <w:numFmt w:val="japaneseCounting"/>
      <w:lvlText w:val="%1、"/>
      <w:lvlJc w:val="left"/>
      <w:pPr>
        <w:tabs>
          <w:tab w:val="num" w:pos="1320"/>
        </w:tabs>
        <w:ind w:left="1320" w:hanging="720"/>
      </w:pPr>
      <w:rPr>
        <w:rFonts w:hint="default"/>
      </w:rPr>
    </w:lvl>
    <w:lvl w:ilvl="1" w:tplc="98E2A3CE">
      <w:start w:val="2"/>
      <w:numFmt w:val="decimal"/>
      <w:lvlText w:val="%2、"/>
      <w:lvlJc w:val="left"/>
      <w:pPr>
        <w:tabs>
          <w:tab w:val="num" w:pos="1740"/>
        </w:tabs>
        <w:ind w:left="1740" w:hanging="720"/>
      </w:pPr>
      <w:rPr>
        <w:rFonts w:hint="default"/>
      </w:rPr>
    </w:lvl>
    <w:lvl w:ilvl="2" w:tplc="0B447D40">
      <w:start w:val="1"/>
      <w:numFmt w:val="decimal"/>
      <w:lvlText w:val="（%3）"/>
      <w:lvlJc w:val="left"/>
      <w:pPr>
        <w:tabs>
          <w:tab w:val="num" w:pos="2790"/>
        </w:tabs>
        <w:ind w:left="2790" w:hanging="1350"/>
      </w:pPr>
      <w:rPr>
        <w:rFonts w:hint="default"/>
      </w:r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7">
    <w:nsid w:val="158D6D7F"/>
    <w:multiLevelType w:val="hybridMultilevel"/>
    <w:tmpl w:val="0096B6D4"/>
    <w:lvl w:ilvl="0" w:tplc="EF983FD4">
      <w:start w:val="1"/>
      <w:numFmt w:val="japaneseCounting"/>
      <w:lvlText w:val="%1、"/>
      <w:lvlJc w:val="left"/>
      <w:pPr>
        <w:tabs>
          <w:tab w:val="num" w:pos="1360"/>
        </w:tabs>
        <w:ind w:left="1360" w:hanging="720"/>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8">
    <w:nsid w:val="161E2CF4"/>
    <w:multiLevelType w:val="hybridMultilevel"/>
    <w:tmpl w:val="B080BE98"/>
    <w:lvl w:ilvl="0" w:tplc="58FC17DC">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9">
    <w:nsid w:val="17874082"/>
    <w:multiLevelType w:val="hybridMultilevel"/>
    <w:tmpl w:val="CB04CDCE"/>
    <w:lvl w:ilvl="0" w:tplc="11CE48E8">
      <w:start w:val="1"/>
      <w:numFmt w:val="japaneseCounting"/>
      <w:lvlText w:val="%1、"/>
      <w:lvlJc w:val="left"/>
      <w:pPr>
        <w:tabs>
          <w:tab w:val="num" w:pos="720"/>
        </w:tabs>
        <w:ind w:left="720" w:hanging="720"/>
      </w:pPr>
      <w:rPr>
        <w:rFonts w:hint="default"/>
      </w:rPr>
    </w:lvl>
    <w:lvl w:ilvl="1" w:tplc="0250070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316CEF"/>
    <w:multiLevelType w:val="hybridMultilevel"/>
    <w:tmpl w:val="A84E4F6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6CF07E8"/>
    <w:multiLevelType w:val="hybridMultilevel"/>
    <w:tmpl w:val="D10C32CE"/>
    <w:lvl w:ilvl="0" w:tplc="B5C83FFA">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2">
    <w:nsid w:val="297D562E"/>
    <w:multiLevelType w:val="hybridMultilevel"/>
    <w:tmpl w:val="006ED382"/>
    <w:lvl w:ilvl="0" w:tplc="FA7E5074">
      <w:start w:val="2"/>
      <w:numFmt w:val="decimal"/>
      <w:lvlText w:val="%1、"/>
      <w:lvlJc w:val="left"/>
      <w:pPr>
        <w:tabs>
          <w:tab w:val="num" w:pos="720"/>
        </w:tabs>
        <w:ind w:left="720" w:hanging="720"/>
      </w:pPr>
      <w:rPr>
        <w:rFonts w:ascii="仿宋_GB2312" w:eastAsia="仿宋_GB2312"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AD97C14"/>
    <w:multiLevelType w:val="hybridMultilevel"/>
    <w:tmpl w:val="A6DCB3D0"/>
    <w:lvl w:ilvl="0" w:tplc="608EA036">
      <w:start w:val="1"/>
      <w:numFmt w:val="decimal"/>
      <w:lvlText w:val="%1、"/>
      <w:lvlJc w:val="left"/>
      <w:pPr>
        <w:tabs>
          <w:tab w:val="num" w:pos="1360"/>
        </w:tabs>
        <w:ind w:left="1360" w:hanging="720"/>
      </w:pPr>
      <w:rPr>
        <w:rFonts w:ascii="楷体_GB2312" w:eastAsia="楷体_GB2312" w:hint="default"/>
        <w:b/>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4">
    <w:nsid w:val="3909599E"/>
    <w:multiLevelType w:val="hybridMultilevel"/>
    <w:tmpl w:val="83EC6572"/>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3A260C8E"/>
    <w:multiLevelType w:val="hybridMultilevel"/>
    <w:tmpl w:val="E24E619E"/>
    <w:lvl w:ilvl="0" w:tplc="F45ACEE0">
      <w:start w:val="2"/>
      <w:numFmt w:val="decimal"/>
      <w:lvlText w:val="%1、"/>
      <w:lvlJc w:val="left"/>
      <w:pPr>
        <w:tabs>
          <w:tab w:val="num" w:pos="1365"/>
        </w:tabs>
        <w:ind w:left="1365" w:hanging="720"/>
      </w:pPr>
      <w:rPr>
        <w:rFonts w:ascii="仿宋_GB2312" w:eastAsia="仿宋_GB2312"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6">
    <w:nsid w:val="3C110D77"/>
    <w:multiLevelType w:val="hybridMultilevel"/>
    <w:tmpl w:val="1E367AD6"/>
    <w:lvl w:ilvl="0" w:tplc="44FE127A">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7">
    <w:nsid w:val="438929EB"/>
    <w:multiLevelType w:val="hybridMultilevel"/>
    <w:tmpl w:val="CEC85C5C"/>
    <w:lvl w:ilvl="0" w:tplc="FFFFFFFF">
      <w:start w:val="8"/>
      <w:numFmt w:val="japaneseCounting"/>
      <w:lvlText w:val="第%1条"/>
      <w:lvlJc w:val="left"/>
      <w:pPr>
        <w:tabs>
          <w:tab w:val="num" w:pos="2550"/>
        </w:tabs>
        <w:ind w:left="2550" w:hanging="1920"/>
      </w:pPr>
      <w:rPr>
        <w:rFonts w:hint="eastAsia"/>
        <w:b/>
      </w:rPr>
    </w:lvl>
    <w:lvl w:ilvl="1" w:tplc="FFFFFFFF" w:tentative="1">
      <w:start w:val="1"/>
      <w:numFmt w:val="lowerLetter"/>
      <w:lvlText w:val="%2)"/>
      <w:lvlJc w:val="left"/>
      <w:pPr>
        <w:tabs>
          <w:tab w:val="num" w:pos="1470"/>
        </w:tabs>
        <w:ind w:left="1470" w:hanging="420"/>
      </w:pPr>
    </w:lvl>
    <w:lvl w:ilvl="2" w:tplc="FFFFFFFF" w:tentative="1">
      <w:start w:val="1"/>
      <w:numFmt w:val="lowerRoman"/>
      <w:lvlText w:val="%3."/>
      <w:lvlJc w:val="right"/>
      <w:pPr>
        <w:tabs>
          <w:tab w:val="num" w:pos="1890"/>
        </w:tabs>
        <w:ind w:left="1890" w:hanging="420"/>
      </w:pPr>
    </w:lvl>
    <w:lvl w:ilvl="3" w:tplc="FFFFFFFF" w:tentative="1">
      <w:start w:val="1"/>
      <w:numFmt w:val="decimal"/>
      <w:lvlText w:val="%4."/>
      <w:lvlJc w:val="left"/>
      <w:pPr>
        <w:tabs>
          <w:tab w:val="num" w:pos="2310"/>
        </w:tabs>
        <w:ind w:left="2310" w:hanging="420"/>
      </w:pPr>
    </w:lvl>
    <w:lvl w:ilvl="4" w:tplc="FFFFFFFF" w:tentative="1">
      <w:start w:val="1"/>
      <w:numFmt w:val="lowerLetter"/>
      <w:lvlText w:val="%5)"/>
      <w:lvlJc w:val="left"/>
      <w:pPr>
        <w:tabs>
          <w:tab w:val="num" w:pos="2730"/>
        </w:tabs>
        <w:ind w:left="2730" w:hanging="420"/>
      </w:pPr>
    </w:lvl>
    <w:lvl w:ilvl="5" w:tplc="FFFFFFFF" w:tentative="1">
      <w:start w:val="1"/>
      <w:numFmt w:val="lowerRoman"/>
      <w:lvlText w:val="%6."/>
      <w:lvlJc w:val="right"/>
      <w:pPr>
        <w:tabs>
          <w:tab w:val="num" w:pos="3150"/>
        </w:tabs>
        <w:ind w:left="3150" w:hanging="420"/>
      </w:pPr>
    </w:lvl>
    <w:lvl w:ilvl="6" w:tplc="FFFFFFFF" w:tentative="1">
      <w:start w:val="1"/>
      <w:numFmt w:val="decimal"/>
      <w:lvlText w:val="%7."/>
      <w:lvlJc w:val="left"/>
      <w:pPr>
        <w:tabs>
          <w:tab w:val="num" w:pos="3570"/>
        </w:tabs>
        <w:ind w:left="3570" w:hanging="420"/>
      </w:pPr>
    </w:lvl>
    <w:lvl w:ilvl="7" w:tplc="FFFFFFFF" w:tentative="1">
      <w:start w:val="1"/>
      <w:numFmt w:val="lowerLetter"/>
      <w:lvlText w:val="%8)"/>
      <w:lvlJc w:val="left"/>
      <w:pPr>
        <w:tabs>
          <w:tab w:val="num" w:pos="3990"/>
        </w:tabs>
        <w:ind w:left="3990" w:hanging="420"/>
      </w:pPr>
    </w:lvl>
    <w:lvl w:ilvl="8" w:tplc="FFFFFFFF" w:tentative="1">
      <w:start w:val="1"/>
      <w:numFmt w:val="lowerRoman"/>
      <w:lvlText w:val="%9."/>
      <w:lvlJc w:val="right"/>
      <w:pPr>
        <w:tabs>
          <w:tab w:val="num" w:pos="4410"/>
        </w:tabs>
        <w:ind w:left="4410" w:hanging="420"/>
      </w:pPr>
    </w:lvl>
  </w:abstractNum>
  <w:abstractNum w:abstractNumId="18">
    <w:nsid w:val="50C67BAD"/>
    <w:multiLevelType w:val="hybridMultilevel"/>
    <w:tmpl w:val="E64A5026"/>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527231C0"/>
    <w:multiLevelType w:val="hybridMultilevel"/>
    <w:tmpl w:val="898AFB2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548705BA"/>
    <w:multiLevelType w:val="hybridMultilevel"/>
    <w:tmpl w:val="9DEE5B0A"/>
    <w:lvl w:ilvl="0" w:tplc="FFFFFFFF">
      <w:start w:val="1"/>
      <w:numFmt w:val="japaneseCounting"/>
      <w:pStyle w:val="CharCharCharChar"/>
      <w:lvlText w:val="（%1）"/>
      <w:lvlJc w:val="left"/>
      <w:pPr>
        <w:tabs>
          <w:tab w:val="num" w:pos="1707"/>
        </w:tabs>
        <w:ind w:left="1707" w:hanging="1080"/>
      </w:pPr>
      <w:rPr>
        <w:rFonts w:hint="eastAsia"/>
      </w:rPr>
    </w:lvl>
    <w:lvl w:ilvl="1" w:tplc="FFFFFFFF" w:tentative="1">
      <w:start w:val="1"/>
      <w:numFmt w:val="lowerLetter"/>
      <w:lvlText w:val="%2)"/>
      <w:lvlJc w:val="left"/>
      <w:pPr>
        <w:tabs>
          <w:tab w:val="num" w:pos="1467"/>
        </w:tabs>
        <w:ind w:left="1467" w:hanging="420"/>
      </w:pPr>
    </w:lvl>
    <w:lvl w:ilvl="2" w:tplc="FFFFFFFF" w:tentative="1">
      <w:start w:val="1"/>
      <w:numFmt w:val="lowerRoman"/>
      <w:lvlText w:val="%3."/>
      <w:lvlJc w:val="right"/>
      <w:pPr>
        <w:tabs>
          <w:tab w:val="num" w:pos="1887"/>
        </w:tabs>
        <w:ind w:left="1887" w:hanging="420"/>
      </w:pPr>
    </w:lvl>
    <w:lvl w:ilvl="3" w:tplc="FFFFFFFF" w:tentative="1">
      <w:start w:val="1"/>
      <w:numFmt w:val="decimal"/>
      <w:lvlText w:val="%4."/>
      <w:lvlJc w:val="left"/>
      <w:pPr>
        <w:tabs>
          <w:tab w:val="num" w:pos="2307"/>
        </w:tabs>
        <w:ind w:left="2307" w:hanging="420"/>
      </w:pPr>
    </w:lvl>
    <w:lvl w:ilvl="4" w:tplc="FFFFFFFF" w:tentative="1">
      <w:start w:val="1"/>
      <w:numFmt w:val="lowerLetter"/>
      <w:lvlText w:val="%5)"/>
      <w:lvlJc w:val="left"/>
      <w:pPr>
        <w:tabs>
          <w:tab w:val="num" w:pos="2727"/>
        </w:tabs>
        <w:ind w:left="2727" w:hanging="420"/>
      </w:pPr>
    </w:lvl>
    <w:lvl w:ilvl="5" w:tplc="FFFFFFFF" w:tentative="1">
      <w:start w:val="1"/>
      <w:numFmt w:val="lowerRoman"/>
      <w:lvlText w:val="%6."/>
      <w:lvlJc w:val="right"/>
      <w:pPr>
        <w:tabs>
          <w:tab w:val="num" w:pos="3147"/>
        </w:tabs>
        <w:ind w:left="3147" w:hanging="420"/>
      </w:pPr>
    </w:lvl>
    <w:lvl w:ilvl="6" w:tplc="FFFFFFFF" w:tentative="1">
      <w:start w:val="1"/>
      <w:numFmt w:val="decimal"/>
      <w:lvlText w:val="%7."/>
      <w:lvlJc w:val="left"/>
      <w:pPr>
        <w:tabs>
          <w:tab w:val="num" w:pos="3567"/>
        </w:tabs>
        <w:ind w:left="3567" w:hanging="420"/>
      </w:pPr>
    </w:lvl>
    <w:lvl w:ilvl="7" w:tplc="FFFFFFFF" w:tentative="1">
      <w:start w:val="1"/>
      <w:numFmt w:val="lowerLetter"/>
      <w:lvlText w:val="%8)"/>
      <w:lvlJc w:val="left"/>
      <w:pPr>
        <w:tabs>
          <w:tab w:val="num" w:pos="3987"/>
        </w:tabs>
        <w:ind w:left="3987" w:hanging="420"/>
      </w:pPr>
    </w:lvl>
    <w:lvl w:ilvl="8" w:tplc="FFFFFFFF" w:tentative="1">
      <w:start w:val="1"/>
      <w:numFmt w:val="lowerRoman"/>
      <w:lvlText w:val="%9."/>
      <w:lvlJc w:val="right"/>
      <w:pPr>
        <w:tabs>
          <w:tab w:val="num" w:pos="4407"/>
        </w:tabs>
        <w:ind w:left="4407" w:hanging="420"/>
      </w:pPr>
    </w:lvl>
  </w:abstractNum>
  <w:abstractNum w:abstractNumId="21">
    <w:nsid w:val="58A14E29"/>
    <w:multiLevelType w:val="hybridMultilevel"/>
    <w:tmpl w:val="90FED42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5D3E5E21"/>
    <w:multiLevelType w:val="hybridMultilevel"/>
    <w:tmpl w:val="C308BAD0"/>
    <w:lvl w:ilvl="0" w:tplc="0B4CDBB2">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3">
    <w:nsid w:val="6BF14DC2"/>
    <w:multiLevelType w:val="hybridMultilevel"/>
    <w:tmpl w:val="980C880C"/>
    <w:lvl w:ilvl="0" w:tplc="237E25EE">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4">
    <w:nsid w:val="6E2B4329"/>
    <w:multiLevelType w:val="hybridMultilevel"/>
    <w:tmpl w:val="329E6794"/>
    <w:lvl w:ilvl="0" w:tplc="761EEFE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22D6DAA"/>
    <w:multiLevelType w:val="hybridMultilevel"/>
    <w:tmpl w:val="C24EAEB0"/>
    <w:lvl w:ilvl="0" w:tplc="6A64180C">
      <w:start w:val="2"/>
      <w:numFmt w:val="decimal"/>
      <w:lvlText w:val="%1、"/>
      <w:lvlJc w:val="left"/>
      <w:pPr>
        <w:tabs>
          <w:tab w:val="num" w:pos="1470"/>
        </w:tabs>
        <w:ind w:left="1470" w:hanging="720"/>
      </w:pPr>
      <w:rPr>
        <w:rFonts w:ascii="仿宋_GB2312" w:eastAsia="仿宋_GB2312" w:hint="default"/>
      </w:r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6">
    <w:nsid w:val="765A1F94"/>
    <w:multiLevelType w:val="hybridMultilevel"/>
    <w:tmpl w:val="69D47C9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B4B47E5"/>
    <w:multiLevelType w:val="hybridMultilevel"/>
    <w:tmpl w:val="AB4E624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CE243E7"/>
    <w:multiLevelType w:val="hybridMultilevel"/>
    <w:tmpl w:val="6A0E0F1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F5B1979"/>
    <w:multiLevelType w:val="hybridMultilevel"/>
    <w:tmpl w:val="C72A3B2E"/>
    <w:lvl w:ilvl="0" w:tplc="5ECC3796">
      <w:start w:val="1"/>
      <w:numFmt w:val="decimal"/>
      <w:lvlText w:val="%1、"/>
      <w:lvlJc w:val="left"/>
      <w:pPr>
        <w:tabs>
          <w:tab w:val="num" w:pos="1843"/>
        </w:tabs>
        <w:ind w:left="1843" w:hanging="1155"/>
      </w:pPr>
      <w:rPr>
        <w:rFonts w:hint="eastAsia"/>
      </w:rPr>
    </w:lvl>
    <w:lvl w:ilvl="1" w:tplc="04090019" w:tentative="1">
      <w:start w:val="1"/>
      <w:numFmt w:val="lowerLetter"/>
      <w:lvlText w:val="%2)"/>
      <w:lvlJc w:val="left"/>
      <w:pPr>
        <w:tabs>
          <w:tab w:val="num" w:pos="1528"/>
        </w:tabs>
        <w:ind w:left="1528" w:hanging="420"/>
      </w:pPr>
    </w:lvl>
    <w:lvl w:ilvl="2" w:tplc="0409001B" w:tentative="1">
      <w:start w:val="1"/>
      <w:numFmt w:val="lowerRoman"/>
      <w:lvlText w:val="%3."/>
      <w:lvlJc w:val="right"/>
      <w:pPr>
        <w:tabs>
          <w:tab w:val="num" w:pos="1948"/>
        </w:tabs>
        <w:ind w:left="1948" w:hanging="420"/>
      </w:pPr>
    </w:lvl>
    <w:lvl w:ilvl="3" w:tplc="0409000F" w:tentative="1">
      <w:start w:val="1"/>
      <w:numFmt w:val="decimal"/>
      <w:lvlText w:val="%4."/>
      <w:lvlJc w:val="left"/>
      <w:pPr>
        <w:tabs>
          <w:tab w:val="num" w:pos="2368"/>
        </w:tabs>
        <w:ind w:left="2368" w:hanging="420"/>
      </w:pPr>
    </w:lvl>
    <w:lvl w:ilvl="4" w:tplc="04090019" w:tentative="1">
      <w:start w:val="1"/>
      <w:numFmt w:val="lowerLetter"/>
      <w:lvlText w:val="%5)"/>
      <w:lvlJc w:val="left"/>
      <w:pPr>
        <w:tabs>
          <w:tab w:val="num" w:pos="2788"/>
        </w:tabs>
        <w:ind w:left="2788" w:hanging="420"/>
      </w:pPr>
    </w:lvl>
    <w:lvl w:ilvl="5" w:tplc="0409001B" w:tentative="1">
      <w:start w:val="1"/>
      <w:numFmt w:val="lowerRoman"/>
      <w:lvlText w:val="%6."/>
      <w:lvlJc w:val="right"/>
      <w:pPr>
        <w:tabs>
          <w:tab w:val="num" w:pos="3208"/>
        </w:tabs>
        <w:ind w:left="3208" w:hanging="420"/>
      </w:pPr>
    </w:lvl>
    <w:lvl w:ilvl="6" w:tplc="0409000F" w:tentative="1">
      <w:start w:val="1"/>
      <w:numFmt w:val="decimal"/>
      <w:lvlText w:val="%7."/>
      <w:lvlJc w:val="left"/>
      <w:pPr>
        <w:tabs>
          <w:tab w:val="num" w:pos="3628"/>
        </w:tabs>
        <w:ind w:left="3628" w:hanging="420"/>
      </w:pPr>
    </w:lvl>
    <w:lvl w:ilvl="7" w:tplc="04090019" w:tentative="1">
      <w:start w:val="1"/>
      <w:numFmt w:val="lowerLetter"/>
      <w:lvlText w:val="%8)"/>
      <w:lvlJc w:val="left"/>
      <w:pPr>
        <w:tabs>
          <w:tab w:val="num" w:pos="4048"/>
        </w:tabs>
        <w:ind w:left="4048" w:hanging="420"/>
      </w:pPr>
    </w:lvl>
    <w:lvl w:ilvl="8" w:tplc="0409001B" w:tentative="1">
      <w:start w:val="1"/>
      <w:numFmt w:val="lowerRoman"/>
      <w:lvlText w:val="%9."/>
      <w:lvlJc w:val="right"/>
      <w:pPr>
        <w:tabs>
          <w:tab w:val="num" w:pos="4468"/>
        </w:tabs>
        <w:ind w:left="4468" w:hanging="420"/>
      </w:pPr>
    </w:lvl>
  </w:abstractNum>
  <w:num w:numId="1">
    <w:abstractNumId w:val="20"/>
  </w:num>
  <w:num w:numId="2">
    <w:abstractNumId w:val="17"/>
  </w:num>
  <w:num w:numId="3">
    <w:abstractNumId w:val="29"/>
  </w:num>
  <w:num w:numId="4">
    <w:abstractNumId w:val="2"/>
  </w:num>
  <w:num w:numId="5">
    <w:abstractNumId w:val="14"/>
  </w:num>
  <w:num w:numId="6">
    <w:abstractNumId w:val="10"/>
  </w:num>
  <w:num w:numId="7">
    <w:abstractNumId w:val="28"/>
  </w:num>
  <w:num w:numId="8">
    <w:abstractNumId w:val="21"/>
  </w:num>
  <w:num w:numId="9">
    <w:abstractNumId w:val="18"/>
  </w:num>
  <w:num w:numId="10">
    <w:abstractNumId w:val="26"/>
  </w:num>
  <w:num w:numId="11">
    <w:abstractNumId w:val="27"/>
  </w:num>
  <w:num w:numId="12">
    <w:abstractNumId w:val="19"/>
  </w:num>
  <w:num w:numId="13">
    <w:abstractNumId w:val="4"/>
  </w:num>
  <w:num w:numId="14">
    <w:abstractNumId w:val="22"/>
  </w:num>
  <w:num w:numId="15">
    <w:abstractNumId w:val="11"/>
  </w:num>
  <w:num w:numId="16">
    <w:abstractNumId w:val="8"/>
  </w:num>
  <w:num w:numId="17">
    <w:abstractNumId w:val="5"/>
  </w:num>
  <w:num w:numId="18">
    <w:abstractNumId w:val="16"/>
  </w:num>
  <w:num w:numId="19">
    <w:abstractNumId w:val="1"/>
  </w:num>
  <w:num w:numId="20">
    <w:abstractNumId w:val="15"/>
  </w:num>
  <w:num w:numId="21">
    <w:abstractNumId w:val="12"/>
  </w:num>
  <w:num w:numId="22">
    <w:abstractNumId w:val="25"/>
  </w:num>
  <w:num w:numId="23">
    <w:abstractNumId w:val="24"/>
  </w:num>
  <w:num w:numId="24">
    <w:abstractNumId w:val="3"/>
  </w:num>
  <w:num w:numId="25">
    <w:abstractNumId w:val="13"/>
  </w:num>
  <w:num w:numId="26">
    <w:abstractNumId w:val="6"/>
  </w:num>
  <w:num w:numId="27">
    <w:abstractNumId w:val="9"/>
  </w:num>
  <w:num w:numId="28">
    <w:abstractNumId w:val="0"/>
  </w:num>
  <w:num w:numId="29">
    <w:abstractNumId w:val="2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proofState w:spelling="clean"/>
  <w:attachedTemplate r:id="rId1"/>
  <w:defaultTabStop w:val="420"/>
  <w:evenAndOddHeaders/>
  <w:drawingGridHorizontalSpacing w:val="158"/>
  <w:drawingGridVerticalSpacing w:val="29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056"/>
    <w:rsid w:val="000011EB"/>
    <w:rsid w:val="00004058"/>
    <w:rsid w:val="000043A3"/>
    <w:rsid w:val="00010BCB"/>
    <w:rsid w:val="00011BD7"/>
    <w:rsid w:val="000140D9"/>
    <w:rsid w:val="0007710A"/>
    <w:rsid w:val="00077BA6"/>
    <w:rsid w:val="00092DBD"/>
    <w:rsid w:val="00094AB6"/>
    <w:rsid w:val="000A551C"/>
    <w:rsid w:val="000B0BA9"/>
    <w:rsid w:val="000B3FB9"/>
    <w:rsid w:val="000B5C8D"/>
    <w:rsid w:val="000B756E"/>
    <w:rsid w:val="000C31BC"/>
    <w:rsid w:val="000D0B49"/>
    <w:rsid w:val="000E150B"/>
    <w:rsid w:val="000E362A"/>
    <w:rsid w:val="00104C6F"/>
    <w:rsid w:val="0010627D"/>
    <w:rsid w:val="001151A4"/>
    <w:rsid w:val="00117346"/>
    <w:rsid w:val="00117539"/>
    <w:rsid w:val="001279A8"/>
    <w:rsid w:val="0015474D"/>
    <w:rsid w:val="001649D8"/>
    <w:rsid w:val="001671E5"/>
    <w:rsid w:val="00171838"/>
    <w:rsid w:val="00177DED"/>
    <w:rsid w:val="001851DF"/>
    <w:rsid w:val="00185A6C"/>
    <w:rsid w:val="00193FB2"/>
    <w:rsid w:val="001A447F"/>
    <w:rsid w:val="001B11DF"/>
    <w:rsid w:val="001D307E"/>
    <w:rsid w:val="001D3A09"/>
    <w:rsid w:val="001E1E9A"/>
    <w:rsid w:val="00200649"/>
    <w:rsid w:val="00201C66"/>
    <w:rsid w:val="00250057"/>
    <w:rsid w:val="0025247C"/>
    <w:rsid w:val="00256EA2"/>
    <w:rsid w:val="002663BF"/>
    <w:rsid w:val="00282CE7"/>
    <w:rsid w:val="00293F64"/>
    <w:rsid w:val="002A5224"/>
    <w:rsid w:val="002B1523"/>
    <w:rsid w:val="002B6B7D"/>
    <w:rsid w:val="002C5D4A"/>
    <w:rsid w:val="002E547F"/>
    <w:rsid w:val="002F1F82"/>
    <w:rsid w:val="003037D6"/>
    <w:rsid w:val="0030655D"/>
    <w:rsid w:val="00330727"/>
    <w:rsid w:val="00330E10"/>
    <w:rsid w:val="003353D4"/>
    <w:rsid w:val="003465D2"/>
    <w:rsid w:val="003531D0"/>
    <w:rsid w:val="0035391D"/>
    <w:rsid w:val="00357934"/>
    <w:rsid w:val="0036428B"/>
    <w:rsid w:val="0037035F"/>
    <w:rsid w:val="00376849"/>
    <w:rsid w:val="00396EE3"/>
    <w:rsid w:val="003A1F1C"/>
    <w:rsid w:val="003A6744"/>
    <w:rsid w:val="003B5CB5"/>
    <w:rsid w:val="003E69FE"/>
    <w:rsid w:val="003F467B"/>
    <w:rsid w:val="00412C22"/>
    <w:rsid w:val="0042038A"/>
    <w:rsid w:val="0045754D"/>
    <w:rsid w:val="004642BD"/>
    <w:rsid w:val="00464303"/>
    <w:rsid w:val="0047105E"/>
    <w:rsid w:val="0048374C"/>
    <w:rsid w:val="0049263A"/>
    <w:rsid w:val="00497F5A"/>
    <w:rsid w:val="004A042A"/>
    <w:rsid w:val="004B05B9"/>
    <w:rsid w:val="004B06ED"/>
    <w:rsid w:val="004B1B57"/>
    <w:rsid w:val="004B3DAF"/>
    <w:rsid w:val="004C0122"/>
    <w:rsid w:val="004D0945"/>
    <w:rsid w:val="004D3088"/>
    <w:rsid w:val="004E1506"/>
    <w:rsid w:val="004F3A9F"/>
    <w:rsid w:val="00500619"/>
    <w:rsid w:val="00502E28"/>
    <w:rsid w:val="0050326D"/>
    <w:rsid w:val="00521CF2"/>
    <w:rsid w:val="00554E1F"/>
    <w:rsid w:val="00555439"/>
    <w:rsid w:val="005574A1"/>
    <w:rsid w:val="00586F5E"/>
    <w:rsid w:val="005877BE"/>
    <w:rsid w:val="00592B35"/>
    <w:rsid w:val="00593B3A"/>
    <w:rsid w:val="00597563"/>
    <w:rsid w:val="005C63E4"/>
    <w:rsid w:val="005D0C3C"/>
    <w:rsid w:val="005D27D3"/>
    <w:rsid w:val="005E2F40"/>
    <w:rsid w:val="00624858"/>
    <w:rsid w:val="00641647"/>
    <w:rsid w:val="00646F92"/>
    <w:rsid w:val="00650663"/>
    <w:rsid w:val="006527D3"/>
    <w:rsid w:val="0065433A"/>
    <w:rsid w:val="00656CE8"/>
    <w:rsid w:val="00657EB0"/>
    <w:rsid w:val="00663751"/>
    <w:rsid w:val="00665F3E"/>
    <w:rsid w:val="00677817"/>
    <w:rsid w:val="00680B41"/>
    <w:rsid w:val="0068332A"/>
    <w:rsid w:val="006A3A31"/>
    <w:rsid w:val="006D05E4"/>
    <w:rsid w:val="006D1B9A"/>
    <w:rsid w:val="006D783B"/>
    <w:rsid w:val="006E536F"/>
    <w:rsid w:val="0071070A"/>
    <w:rsid w:val="00720551"/>
    <w:rsid w:val="00725292"/>
    <w:rsid w:val="00726445"/>
    <w:rsid w:val="00731968"/>
    <w:rsid w:val="0073568F"/>
    <w:rsid w:val="00761204"/>
    <w:rsid w:val="00783836"/>
    <w:rsid w:val="00784ADD"/>
    <w:rsid w:val="007867DD"/>
    <w:rsid w:val="00795F68"/>
    <w:rsid w:val="007B2127"/>
    <w:rsid w:val="007B41E5"/>
    <w:rsid w:val="007D43D7"/>
    <w:rsid w:val="007D52E3"/>
    <w:rsid w:val="007D6CEA"/>
    <w:rsid w:val="007E1275"/>
    <w:rsid w:val="007E54C0"/>
    <w:rsid w:val="007E6112"/>
    <w:rsid w:val="007F2A93"/>
    <w:rsid w:val="00806074"/>
    <w:rsid w:val="008119AF"/>
    <w:rsid w:val="00815443"/>
    <w:rsid w:val="0082384A"/>
    <w:rsid w:val="00835B83"/>
    <w:rsid w:val="008379CF"/>
    <w:rsid w:val="00855BB7"/>
    <w:rsid w:val="008676C9"/>
    <w:rsid w:val="00873A72"/>
    <w:rsid w:val="0088151E"/>
    <w:rsid w:val="008A648D"/>
    <w:rsid w:val="008D3F64"/>
    <w:rsid w:val="008E4578"/>
    <w:rsid w:val="008E790D"/>
    <w:rsid w:val="008F1A8A"/>
    <w:rsid w:val="00910F69"/>
    <w:rsid w:val="00927CE7"/>
    <w:rsid w:val="009343F0"/>
    <w:rsid w:val="00946AB7"/>
    <w:rsid w:val="009544FD"/>
    <w:rsid w:val="00963CF0"/>
    <w:rsid w:val="00977E48"/>
    <w:rsid w:val="009860ED"/>
    <w:rsid w:val="009862C6"/>
    <w:rsid w:val="00990745"/>
    <w:rsid w:val="00996ACB"/>
    <w:rsid w:val="009A12FE"/>
    <w:rsid w:val="009A4006"/>
    <w:rsid w:val="009A7AE1"/>
    <w:rsid w:val="009B3336"/>
    <w:rsid w:val="009C13B5"/>
    <w:rsid w:val="009C3117"/>
    <w:rsid w:val="009C4AB4"/>
    <w:rsid w:val="009F1085"/>
    <w:rsid w:val="009F49B3"/>
    <w:rsid w:val="00A06498"/>
    <w:rsid w:val="00A2118F"/>
    <w:rsid w:val="00A2228C"/>
    <w:rsid w:val="00A3545F"/>
    <w:rsid w:val="00A42D5E"/>
    <w:rsid w:val="00A56AA0"/>
    <w:rsid w:val="00A619E3"/>
    <w:rsid w:val="00A64A26"/>
    <w:rsid w:val="00A66763"/>
    <w:rsid w:val="00A83409"/>
    <w:rsid w:val="00A84695"/>
    <w:rsid w:val="00A94790"/>
    <w:rsid w:val="00AA4ECC"/>
    <w:rsid w:val="00AB141C"/>
    <w:rsid w:val="00AB439C"/>
    <w:rsid w:val="00AB4D6F"/>
    <w:rsid w:val="00AB7B57"/>
    <w:rsid w:val="00AC2516"/>
    <w:rsid w:val="00AC2BA9"/>
    <w:rsid w:val="00AE2491"/>
    <w:rsid w:val="00AE42A9"/>
    <w:rsid w:val="00B02548"/>
    <w:rsid w:val="00B076B8"/>
    <w:rsid w:val="00B1546A"/>
    <w:rsid w:val="00B171E0"/>
    <w:rsid w:val="00B21DF0"/>
    <w:rsid w:val="00B26C31"/>
    <w:rsid w:val="00B37125"/>
    <w:rsid w:val="00B41AB5"/>
    <w:rsid w:val="00B41E2F"/>
    <w:rsid w:val="00B41EE6"/>
    <w:rsid w:val="00B5216C"/>
    <w:rsid w:val="00B67056"/>
    <w:rsid w:val="00B87BD0"/>
    <w:rsid w:val="00B963B3"/>
    <w:rsid w:val="00BA2B43"/>
    <w:rsid w:val="00BB4307"/>
    <w:rsid w:val="00BB471B"/>
    <w:rsid w:val="00BF0878"/>
    <w:rsid w:val="00C010B0"/>
    <w:rsid w:val="00C21997"/>
    <w:rsid w:val="00C25B30"/>
    <w:rsid w:val="00C276C5"/>
    <w:rsid w:val="00C27F53"/>
    <w:rsid w:val="00C334E9"/>
    <w:rsid w:val="00C428FC"/>
    <w:rsid w:val="00C50EE0"/>
    <w:rsid w:val="00C53D10"/>
    <w:rsid w:val="00C56E7B"/>
    <w:rsid w:val="00C60702"/>
    <w:rsid w:val="00C864ED"/>
    <w:rsid w:val="00C96C5E"/>
    <w:rsid w:val="00CA4178"/>
    <w:rsid w:val="00CA48EA"/>
    <w:rsid w:val="00CA5EDA"/>
    <w:rsid w:val="00CB0360"/>
    <w:rsid w:val="00CB113F"/>
    <w:rsid w:val="00CC2BA8"/>
    <w:rsid w:val="00CC2F65"/>
    <w:rsid w:val="00CC4F47"/>
    <w:rsid w:val="00CC5C33"/>
    <w:rsid w:val="00CF4F1D"/>
    <w:rsid w:val="00D11FCE"/>
    <w:rsid w:val="00D15871"/>
    <w:rsid w:val="00D167E1"/>
    <w:rsid w:val="00D16B0F"/>
    <w:rsid w:val="00D21BB9"/>
    <w:rsid w:val="00D30E41"/>
    <w:rsid w:val="00D42322"/>
    <w:rsid w:val="00D45125"/>
    <w:rsid w:val="00D504F3"/>
    <w:rsid w:val="00D51B84"/>
    <w:rsid w:val="00D6388F"/>
    <w:rsid w:val="00D82355"/>
    <w:rsid w:val="00DA3A80"/>
    <w:rsid w:val="00DD0655"/>
    <w:rsid w:val="00DD5DA6"/>
    <w:rsid w:val="00DE0DCA"/>
    <w:rsid w:val="00DE3428"/>
    <w:rsid w:val="00DE3ECF"/>
    <w:rsid w:val="00E12448"/>
    <w:rsid w:val="00E16B61"/>
    <w:rsid w:val="00E22258"/>
    <w:rsid w:val="00E2792F"/>
    <w:rsid w:val="00E30BDA"/>
    <w:rsid w:val="00E44EC2"/>
    <w:rsid w:val="00E47684"/>
    <w:rsid w:val="00E5194D"/>
    <w:rsid w:val="00E6136C"/>
    <w:rsid w:val="00E8265A"/>
    <w:rsid w:val="00E86047"/>
    <w:rsid w:val="00E9418F"/>
    <w:rsid w:val="00E96769"/>
    <w:rsid w:val="00EB25AA"/>
    <w:rsid w:val="00EB3EEE"/>
    <w:rsid w:val="00ED0C2A"/>
    <w:rsid w:val="00ED4CE6"/>
    <w:rsid w:val="00F006A0"/>
    <w:rsid w:val="00F01808"/>
    <w:rsid w:val="00F04A92"/>
    <w:rsid w:val="00F3482B"/>
    <w:rsid w:val="00F36909"/>
    <w:rsid w:val="00F446CF"/>
    <w:rsid w:val="00F62BE2"/>
    <w:rsid w:val="00F63707"/>
    <w:rsid w:val="00F67A50"/>
    <w:rsid w:val="00F765E5"/>
    <w:rsid w:val="00F80252"/>
    <w:rsid w:val="00F9021A"/>
    <w:rsid w:val="00FA1C52"/>
    <w:rsid w:val="00FB3B25"/>
    <w:rsid w:val="00FB5D05"/>
    <w:rsid w:val="00FC28A0"/>
    <w:rsid w:val="00FD5971"/>
    <w:rsid w:val="00FE6084"/>
    <w:rsid w:val="00FE6891"/>
    <w:rsid w:val="00FF2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2F"/>
    <w:pPr>
      <w:widowControl w:val="0"/>
      <w:jc w:val="both"/>
    </w:pPr>
    <w:rPr>
      <w:rFonts w:ascii="仿宋_GB2312" w:eastAsia="仿宋_GB2312"/>
      <w:sz w:val="32"/>
      <w:szCs w:val="32"/>
    </w:rPr>
  </w:style>
  <w:style w:type="paragraph" w:styleId="1">
    <w:name w:val="heading 1"/>
    <w:basedOn w:val="a"/>
    <w:next w:val="a"/>
    <w:link w:val="1Char"/>
    <w:uiPriority w:val="99"/>
    <w:qFormat/>
    <w:rsid w:val="00677817"/>
    <w:pPr>
      <w:keepNext/>
      <w:keepLines/>
      <w:spacing w:before="340" w:after="330" w:line="576" w:lineRule="auto"/>
      <w:outlineLvl w:val="0"/>
    </w:pPr>
    <w:rPr>
      <w:rFonts w:asciiTheme="minorHAnsi" w:eastAsiaTheme="minorEastAsia" w:hAnsiTheme="minorHAnsi" w:cstheme="minorBid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qFormat/>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 w:type="character" w:customStyle="1" w:styleId="1Char">
    <w:name w:val="标题 1 Char"/>
    <w:basedOn w:val="a0"/>
    <w:link w:val="1"/>
    <w:uiPriority w:val="99"/>
    <w:rsid w:val="00677817"/>
    <w:rPr>
      <w:rFonts w:asciiTheme="minorHAnsi" w:eastAsiaTheme="minorEastAsia" w:hAnsiTheme="minorHAnsi" w:cstheme="minorBidi"/>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2F"/>
    <w:pPr>
      <w:widowControl w:val="0"/>
      <w:jc w:val="both"/>
    </w:pPr>
    <w:rPr>
      <w:rFonts w:ascii="仿宋_GB2312" w:eastAsia="仿宋_GB2312"/>
      <w:sz w:val="32"/>
      <w:szCs w:val="32"/>
    </w:rPr>
  </w:style>
  <w:style w:type="paragraph" w:styleId="1">
    <w:name w:val="heading 1"/>
    <w:basedOn w:val="a"/>
    <w:next w:val="a"/>
    <w:link w:val="1Char"/>
    <w:uiPriority w:val="99"/>
    <w:qFormat/>
    <w:rsid w:val="00677817"/>
    <w:pPr>
      <w:keepNext/>
      <w:keepLines/>
      <w:spacing w:before="340" w:after="330" w:line="576" w:lineRule="auto"/>
      <w:outlineLvl w:val="0"/>
    </w:pPr>
    <w:rPr>
      <w:rFonts w:asciiTheme="minorHAnsi" w:eastAsiaTheme="minorEastAsia" w:hAnsiTheme="minorHAnsi" w:cstheme="minorBid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qFormat/>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 w:type="character" w:customStyle="1" w:styleId="1Char">
    <w:name w:val="标题 1 Char"/>
    <w:basedOn w:val="a0"/>
    <w:link w:val="1"/>
    <w:uiPriority w:val="99"/>
    <w:rsid w:val="00677817"/>
    <w:rPr>
      <w:rFonts w:asciiTheme="minorHAnsi" w:eastAsiaTheme="minorEastAsia" w:hAnsiTheme="minorHAnsi" w:cstheme="minorBid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wen\AppData\Roaming\Microsoft\Templates\&#33487;&#24220;&#2115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5EC4-641B-423D-8EB7-D2A1FEC7C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苏府办</Template>
  <TotalTime>30</TotalTime>
  <Pages>8</Pages>
  <Words>1049</Words>
  <Characters>5981</Characters>
  <Application>Microsoft Office Word</Application>
  <DocSecurity>0</DocSecurity>
  <Lines>49</Lines>
  <Paragraphs>14</Paragraphs>
  <ScaleCrop>false</ScaleCrop>
  <Company>jgys</Company>
  <LinksUpToDate>false</LinksUpToDate>
  <CharactersWithSpaces>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苏府办</dc:title>
  <dc:creator>王悦</dc:creator>
  <cp:lastModifiedBy>szfb</cp:lastModifiedBy>
  <cp:revision>5</cp:revision>
  <cp:lastPrinted>2023-04-10T01:02:00Z</cp:lastPrinted>
  <dcterms:created xsi:type="dcterms:W3CDTF">2023-04-10T00:35:00Z</dcterms:created>
  <dcterms:modified xsi:type="dcterms:W3CDTF">2023-04-11T01:20:00Z</dcterms:modified>
</cp:coreProperties>
</file>