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B494F6" w14:textId="77777777" w:rsidR="001A41B2" w:rsidRDefault="001A41B2" w:rsidP="00995D68">
      <w:pPr>
        <w:adjustRightInd w:val="0"/>
        <w:snapToGrid w:val="0"/>
        <w:spacing w:line="580" w:lineRule="exact"/>
        <w:jc w:val="center"/>
        <w:outlineLvl w:val="1"/>
        <w:rPr>
          <w:rFonts w:ascii="方正小标宋_GBK" w:eastAsia="方正小标宋_GBK" w:hAnsi="方正小标宋_GBK" w:cs="方正小标宋_GBK"/>
          <w:snapToGrid w:val="0"/>
          <w:kern w:val="0"/>
          <w:sz w:val="44"/>
          <w:szCs w:val="44"/>
        </w:rPr>
      </w:pPr>
      <w:bookmarkStart w:id="0" w:name="_Toc680"/>
    </w:p>
    <w:p w14:paraId="5A973B6C" w14:textId="0BB03381" w:rsidR="00124AF0" w:rsidRPr="00DF5748" w:rsidRDefault="00124AF0" w:rsidP="00995D68">
      <w:pPr>
        <w:adjustRightInd w:val="0"/>
        <w:snapToGrid w:val="0"/>
        <w:spacing w:line="580" w:lineRule="exact"/>
        <w:jc w:val="center"/>
        <w:outlineLvl w:val="1"/>
        <w:rPr>
          <w:rFonts w:ascii="方正小标宋_GBK" w:eastAsia="方正小标宋_GBK" w:hAnsi="方正小标宋_GBK" w:cs="方正小标宋_GBK" w:hint="eastAsia"/>
          <w:snapToGrid w:val="0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napToGrid w:val="0"/>
          <w:kern w:val="0"/>
          <w:sz w:val="44"/>
          <w:szCs w:val="44"/>
        </w:rPr>
        <w:t>苏州市重点产业紧缺人才计划实施办法</w:t>
      </w:r>
      <w:bookmarkEnd w:id="0"/>
    </w:p>
    <w:p w14:paraId="76CF92BF" w14:textId="77777777" w:rsidR="000053D1" w:rsidRDefault="000053D1" w:rsidP="00995D68">
      <w:pPr>
        <w:adjustRightInd w:val="0"/>
        <w:snapToGrid w:val="0"/>
        <w:spacing w:line="580" w:lineRule="exact"/>
        <w:rPr>
          <w:rFonts w:ascii="Times New Roman" w:eastAsia="楷体_GB2312" w:hAnsi="Times New Roman" w:cs="Times New Roman"/>
          <w:snapToGrid w:val="0"/>
          <w:kern w:val="0"/>
          <w:sz w:val="32"/>
          <w:szCs w:val="32"/>
        </w:rPr>
      </w:pPr>
    </w:p>
    <w:p w14:paraId="143D948A" w14:textId="77777777" w:rsidR="000053D1" w:rsidRDefault="000053D1" w:rsidP="00995D68"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 w:cs="Times New Roman"/>
          <w:snapToGrid w:val="0"/>
          <w:kern w:val="0"/>
          <w:sz w:val="32"/>
          <w:szCs w:val="32"/>
        </w:rPr>
      </w:pPr>
      <w:r w:rsidRPr="000053D1">
        <w:rPr>
          <w:rFonts w:ascii="Times New Roman" w:eastAsia="黑体" w:hAnsi="Times New Roman" w:cs="Times New Roman"/>
          <w:snapToGrid w:val="0"/>
          <w:kern w:val="0"/>
          <w:sz w:val="32"/>
          <w:szCs w:val="32"/>
        </w:rPr>
        <w:t>支持范围</w:t>
      </w:r>
      <w:r w:rsidRPr="000053D1">
        <w:rPr>
          <w:rFonts w:ascii="Times New Roman" w:eastAsia="黑体" w:hAnsi="Times New Roman" w:cs="Times New Roman" w:hint="eastAsia"/>
          <w:snapToGrid w:val="0"/>
          <w:kern w:val="0"/>
          <w:sz w:val="32"/>
          <w:szCs w:val="32"/>
        </w:rPr>
        <w:t>：</w:t>
      </w:r>
    </w:p>
    <w:p w14:paraId="19781C05" w14:textId="77777777" w:rsidR="000053D1" w:rsidRDefault="000053D1" w:rsidP="00995D68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苏州市重点产业</w:t>
      </w:r>
      <w:proofErr w:type="gramStart"/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紧缺人才是指</w:t>
      </w:r>
      <w:proofErr w:type="gramEnd"/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在我市重点产业领域具有本科及以上学历、符合我市紧缺专业要求，并从事相关工作的中高端人才。</w:t>
      </w:r>
    </w:p>
    <w:p w14:paraId="2FD7B3E6" w14:textId="77777777" w:rsidR="000053D1" w:rsidRPr="000053D1" w:rsidRDefault="000053D1" w:rsidP="00995D68"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 w:cs="Times New Roman"/>
          <w:snapToGrid w:val="0"/>
          <w:kern w:val="0"/>
          <w:sz w:val="32"/>
          <w:szCs w:val="32"/>
        </w:rPr>
      </w:pPr>
      <w:r w:rsidRPr="000053D1">
        <w:rPr>
          <w:rFonts w:ascii="Times New Roman" w:eastAsia="黑体" w:hAnsi="Times New Roman" w:cs="Times New Roman"/>
          <w:snapToGrid w:val="0"/>
          <w:kern w:val="0"/>
          <w:sz w:val="32"/>
          <w:szCs w:val="32"/>
        </w:rPr>
        <w:t>申报条件</w:t>
      </w:r>
      <w:r w:rsidRPr="000053D1">
        <w:rPr>
          <w:rFonts w:ascii="Times New Roman" w:eastAsia="黑体" w:hAnsi="Times New Roman" w:cs="Times New Roman" w:hint="eastAsia"/>
          <w:snapToGrid w:val="0"/>
          <w:kern w:val="0"/>
          <w:sz w:val="32"/>
          <w:szCs w:val="32"/>
        </w:rPr>
        <w:t>：</w:t>
      </w:r>
    </w:p>
    <w:p w14:paraId="011D4E5C" w14:textId="77777777" w:rsidR="000053D1" w:rsidRDefault="000053D1" w:rsidP="00995D68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苏州市重点产业紧缺人才计划申报单位应在我市注册，具有独立法人资格，并符合下列条件之一：</w:t>
      </w:r>
    </w:p>
    <w:p w14:paraId="5C53BDB1" w14:textId="77777777" w:rsidR="000053D1" w:rsidRDefault="000053D1" w:rsidP="00995D68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我</w:t>
      </w:r>
      <w:r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32"/>
        </w:rPr>
        <w:t>市重点产业</w:t>
      </w:r>
      <w:proofErr w:type="gramStart"/>
      <w:r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32"/>
        </w:rPr>
        <w:t>链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规模</w:t>
      </w:r>
      <w:proofErr w:type="gramEnd"/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以上企业；</w:t>
      </w:r>
    </w:p>
    <w:p w14:paraId="13A117D4" w14:textId="77777777" w:rsidR="000053D1" w:rsidRDefault="000053D1" w:rsidP="00995D68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市级以上领军人才创办的企业；</w:t>
      </w:r>
    </w:p>
    <w:p w14:paraId="261BEDDE" w14:textId="77777777" w:rsidR="000053D1" w:rsidRDefault="000053D1" w:rsidP="00995D68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 xml:space="preserve">3. 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国家高新技术企业；</w:t>
      </w:r>
    </w:p>
    <w:p w14:paraId="18812CED" w14:textId="77777777" w:rsidR="000053D1" w:rsidRDefault="000053D1" w:rsidP="00995D68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 xml:space="preserve">4. 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承担省重大、市重点产业项目的企业；</w:t>
      </w:r>
    </w:p>
    <w:p w14:paraId="2EA53A51" w14:textId="12650652" w:rsidR="000053D1" w:rsidRDefault="000053D1" w:rsidP="00995D68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 xml:space="preserve">5. 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各县级市（区）重点推荐的优秀单位。</w:t>
      </w:r>
    </w:p>
    <w:p w14:paraId="13BB1470" w14:textId="77777777" w:rsidR="000053D1" w:rsidRDefault="000053D1" w:rsidP="00995D68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苏州市重点产业紧缺人才计划申报对象应同时具备以下条件：</w:t>
      </w:r>
    </w:p>
    <w:p w14:paraId="0B0BCC74" w14:textId="77777777" w:rsidR="000053D1" w:rsidRDefault="000053D1" w:rsidP="00995D68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具有全日制本科及以上学历，与单位签订劳动合同，在苏缴纳社保和个税的优秀人才；</w:t>
      </w:r>
    </w:p>
    <w:p w14:paraId="5EAF47B8" w14:textId="77777777" w:rsidR="000053D1" w:rsidRDefault="000053D1" w:rsidP="00995D68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本人专业与所在岗位匹配，</w:t>
      </w:r>
      <w:proofErr w:type="gramStart"/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且专业</w:t>
      </w:r>
      <w:proofErr w:type="gramEnd"/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符合当年度《苏州市重点产业紧缺专业人才需求目录》要求；</w:t>
      </w:r>
    </w:p>
    <w:p w14:paraId="055F45EC" w14:textId="77777777" w:rsidR="000053D1" w:rsidRDefault="000053D1" w:rsidP="00995D68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 xml:space="preserve">3. 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本科、硕士研究生、博士研究生在申报当年度年龄分别不超过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35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周岁、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40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周岁、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45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周岁。</w:t>
      </w:r>
    </w:p>
    <w:p w14:paraId="330A2DAD" w14:textId="77777777" w:rsidR="000053D1" w:rsidRPr="000053D1" w:rsidRDefault="000053D1" w:rsidP="00995D68"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 w:cs="Times New Roman"/>
          <w:snapToGrid w:val="0"/>
          <w:kern w:val="0"/>
          <w:sz w:val="32"/>
          <w:szCs w:val="32"/>
        </w:rPr>
      </w:pPr>
      <w:r w:rsidRPr="000053D1">
        <w:rPr>
          <w:rFonts w:ascii="Times New Roman" w:eastAsia="黑体" w:hAnsi="Times New Roman" w:cs="Times New Roman"/>
          <w:snapToGrid w:val="0"/>
          <w:kern w:val="0"/>
          <w:sz w:val="32"/>
          <w:szCs w:val="32"/>
        </w:rPr>
        <w:t>遴选机制</w:t>
      </w:r>
      <w:r>
        <w:rPr>
          <w:rFonts w:ascii="Times New Roman" w:eastAsia="黑体" w:hAnsi="Times New Roman" w:cs="Times New Roman" w:hint="eastAsia"/>
          <w:snapToGrid w:val="0"/>
          <w:kern w:val="0"/>
          <w:sz w:val="32"/>
          <w:szCs w:val="32"/>
        </w:rPr>
        <w:t>：</w:t>
      </w:r>
    </w:p>
    <w:p w14:paraId="28870F81" w14:textId="77777777" w:rsidR="000053D1" w:rsidRDefault="000053D1" w:rsidP="00995D68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lastRenderedPageBreak/>
        <w:t>苏州市重点产业紧缺人才计划采取积分认定制，根据人才的学历层次、紧缺指数、薪酬水平等维度对人才进行评价，每年择优进行资助。</w:t>
      </w: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设立电商人才专项，由市商务局负责认定。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苏州市企业高端人才推荐引进的团队成员，符合本办法申报条件的，可直接认定。</w:t>
      </w:r>
    </w:p>
    <w:p w14:paraId="606A908B" w14:textId="77777777" w:rsidR="000053D1" w:rsidRPr="000053D1" w:rsidRDefault="000053D1" w:rsidP="00995D68"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 w:cs="Times New Roman"/>
          <w:snapToGrid w:val="0"/>
          <w:kern w:val="0"/>
          <w:sz w:val="32"/>
          <w:szCs w:val="32"/>
        </w:rPr>
      </w:pPr>
      <w:r w:rsidRPr="000053D1">
        <w:rPr>
          <w:rFonts w:ascii="Times New Roman" w:eastAsia="黑体" w:hAnsi="Times New Roman" w:cs="Times New Roman"/>
          <w:snapToGrid w:val="0"/>
          <w:kern w:val="0"/>
          <w:sz w:val="32"/>
          <w:szCs w:val="32"/>
        </w:rPr>
        <w:t>资助标准</w:t>
      </w:r>
      <w:r w:rsidRPr="000053D1">
        <w:rPr>
          <w:rFonts w:ascii="Times New Roman" w:eastAsia="黑体" w:hAnsi="Times New Roman" w:cs="Times New Roman" w:hint="eastAsia"/>
          <w:snapToGrid w:val="0"/>
          <w:kern w:val="0"/>
          <w:sz w:val="32"/>
          <w:szCs w:val="32"/>
        </w:rPr>
        <w:t>：</w:t>
      </w:r>
    </w:p>
    <w:p w14:paraId="733805AD" w14:textId="77777777" w:rsidR="000053D1" w:rsidRDefault="000053D1" w:rsidP="00995D68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经认定</w:t>
      </w: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人才可分</w:t>
      </w: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层次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获得</w:t>
      </w:r>
      <w:r>
        <w:rPr>
          <w:rFonts w:ascii="Times New Roman" w:eastAsia="仿宋_GB2312" w:hAnsi="Times New Roman" w:cs="Times New Roman"/>
          <w:sz w:val="32"/>
          <w:szCs w:val="32"/>
        </w:rPr>
        <w:t>30</w:t>
      </w:r>
      <w:r>
        <w:rPr>
          <w:rFonts w:ascii="Times New Roman" w:eastAsia="仿宋_GB2312" w:hAnsi="Times New Roman" w:cs="Times New Roman"/>
          <w:sz w:val="32"/>
          <w:szCs w:val="32"/>
        </w:rPr>
        <w:t>万元、</w:t>
      </w:r>
      <w:r>
        <w:rPr>
          <w:rFonts w:ascii="Times New Roman" w:eastAsia="仿宋_GB2312" w:hAnsi="Times New Roman" w:cs="Times New Roman"/>
          <w:sz w:val="32"/>
          <w:szCs w:val="32"/>
        </w:rPr>
        <w:t>15</w:t>
      </w:r>
      <w:r>
        <w:rPr>
          <w:rFonts w:ascii="Times New Roman" w:eastAsia="仿宋_GB2312" w:hAnsi="Times New Roman" w:cs="Times New Roman"/>
          <w:sz w:val="32"/>
          <w:szCs w:val="32"/>
        </w:rPr>
        <w:t>万元、</w:t>
      </w:r>
      <w:r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sz w:val="32"/>
          <w:szCs w:val="32"/>
        </w:rPr>
        <w:t>万元、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万元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不等的薪酬补贴。</w:t>
      </w:r>
    </w:p>
    <w:p w14:paraId="473EAE3D" w14:textId="77777777" w:rsidR="000053D1" w:rsidRDefault="000053D1" w:rsidP="00995D68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苏州市重点产业紧缺人才使用公积金贷款购买首套住房的，</w:t>
      </w: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最高放宽至贷款限额的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倍</w:t>
      </w: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，自评定之日起</w:t>
      </w: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年内有效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。</w:t>
      </w:r>
    </w:p>
    <w:p w14:paraId="796787CD" w14:textId="77777777" w:rsidR="00713B39" w:rsidRDefault="00713B39" w:rsidP="00995D68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</w:p>
    <w:p w14:paraId="3F88A9E0" w14:textId="5498AE41" w:rsidR="00136331" w:rsidRPr="00136331" w:rsidRDefault="00995D68" w:rsidP="00136331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</w:pPr>
      <w:r w:rsidRPr="00995D68"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每年</w:t>
      </w:r>
      <w:r w:rsidR="00903DF2"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9</w:t>
      </w:r>
      <w:r w:rsidRPr="00995D68"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月发布申报通知，敬请关注“苏州人才发布”“苏州</w:t>
      </w: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人社发布</w:t>
      </w:r>
      <w:r w:rsidRPr="00995D68"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”</w:t>
      </w:r>
      <w:proofErr w:type="gramStart"/>
      <w:r w:rsidRPr="00995D68"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微信公众号</w:t>
      </w:r>
      <w:proofErr w:type="gramEnd"/>
      <w:r w:rsidRPr="00995D68"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。（咨询电话：</w:t>
      </w:r>
      <w:r w:rsidRPr="00995D68"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0512-</w:t>
      </w:r>
      <w:r w:rsidR="00136331" w:rsidRPr="00136331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69820110</w:t>
      </w:r>
      <w:r w:rsidRPr="00995D68"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，咨询邮箱：</w:t>
      </w:r>
      <w:r w:rsidR="00136331" w:rsidRPr="00136331"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zczx@rsj.suzhou.gov.cn</w:t>
      </w:r>
      <w:r w:rsidRPr="00995D68"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）</w:t>
      </w:r>
    </w:p>
    <w:sectPr w:rsidR="00136331" w:rsidRPr="001363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13EE86" w14:textId="77777777" w:rsidR="00AB1C1D" w:rsidRDefault="00AB1C1D" w:rsidP="00124AF0">
      <w:r>
        <w:separator/>
      </w:r>
    </w:p>
  </w:endnote>
  <w:endnote w:type="continuationSeparator" w:id="0">
    <w:p w14:paraId="62FE5F92" w14:textId="77777777" w:rsidR="00AB1C1D" w:rsidRDefault="00AB1C1D" w:rsidP="00124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6B5E48" w14:textId="77777777" w:rsidR="00AB1C1D" w:rsidRDefault="00AB1C1D" w:rsidP="00124AF0">
      <w:r>
        <w:separator/>
      </w:r>
    </w:p>
  </w:footnote>
  <w:footnote w:type="continuationSeparator" w:id="0">
    <w:p w14:paraId="290F9D67" w14:textId="77777777" w:rsidR="00AB1C1D" w:rsidRDefault="00AB1C1D" w:rsidP="00124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C52"/>
    <w:rsid w:val="000053D1"/>
    <w:rsid w:val="00124AF0"/>
    <w:rsid w:val="00136331"/>
    <w:rsid w:val="001A41B2"/>
    <w:rsid w:val="00327789"/>
    <w:rsid w:val="00403B1B"/>
    <w:rsid w:val="00435B4F"/>
    <w:rsid w:val="004C1136"/>
    <w:rsid w:val="00713B39"/>
    <w:rsid w:val="00903DF2"/>
    <w:rsid w:val="009219CA"/>
    <w:rsid w:val="00995D68"/>
    <w:rsid w:val="00AB1C1D"/>
    <w:rsid w:val="00C05D1B"/>
    <w:rsid w:val="00CE3A48"/>
    <w:rsid w:val="00DF5748"/>
    <w:rsid w:val="00EA24C3"/>
    <w:rsid w:val="00EB7C52"/>
    <w:rsid w:val="00FC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E7BB62"/>
  <w15:chartTrackingRefBased/>
  <w15:docId w15:val="{1E290F4C-3999-466B-A5D4-7BB6D0ED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124AF0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4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4A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4A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4A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张敏</dc:creator>
  <cp:keywords/>
  <dc:description/>
  <cp:lastModifiedBy>慧 袁</cp:lastModifiedBy>
  <cp:revision>10</cp:revision>
  <dcterms:created xsi:type="dcterms:W3CDTF">2024-07-11T04:38:00Z</dcterms:created>
  <dcterms:modified xsi:type="dcterms:W3CDTF">2024-07-12T08:02:00Z</dcterms:modified>
</cp:coreProperties>
</file>