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31AC7" w14:textId="77777777" w:rsidR="00281017" w:rsidRDefault="00000000">
      <w:pPr>
        <w:spacing w:line="560" w:lineRule="exact"/>
        <w:rPr>
          <w:rFonts w:ascii="方正小标宋_GBK" w:eastAsia="方正小标宋_GBK" w:hAnsi="方正小标宋_GBK" w:cs="方正小标宋_GBK" w:hint="eastAsia"/>
          <w:color w:val="000000" w:themeColor="text1"/>
          <w:sz w:val="36"/>
          <w:szCs w:val="36"/>
        </w:rPr>
      </w:pPr>
      <w:r>
        <w:rPr>
          <w:rFonts w:ascii="方正小标宋_GBK" w:eastAsia="方正小标宋_GBK" w:hAnsi="方正小标宋_GBK" w:cs="方正小标宋_GBK" w:hint="eastAsia"/>
          <w:color w:val="000000" w:themeColor="text1"/>
          <w:sz w:val="36"/>
          <w:szCs w:val="36"/>
        </w:rPr>
        <w:t>附件：</w:t>
      </w:r>
    </w:p>
    <w:p w14:paraId="7397264C" w14:textId="77777777" w:rsidR="00281017" w:rsidRDefault="00000000">
      <w:pPr>
        <w:spacing w:line="560" w:lineRule="exact"/>
        <w:jc w:val="center"/>
        <w:rPr>
          <w:rFonts w:ascii="方正小标宋_GBK" w:eastAsia="方正小标宋_GBK" w:hAnsi="方正小标宋_GBK" w:cs="方正小标宋_GBK" w:hint="eastAsia"/>
          <w:color w:val="000000" w:themeColor="text1"/>
          <w:sz w:val="36"/>
          <w:szCs w:val="36"/>
        </w:rPr>
      </w:pPr>
      <w:proofErr w:type="gramStart"/>
      <w:r>
        <w:rPr>
          <w:rFonts w:ascii="方正小标宋_GBK" w:eastAsia="方正小标宋_GBK" w:hAnsi="方正小标宋_GBK" w:cs="方正小标宋_GBK" w:hint="eastAsia"/>
          <w:color w:val="000000" w:themeColor="text1"/>
          <w:sz w:val="36"/>
          <w:szCs w:val="36"/>
        </w:rPr>
        <w:t>《</w:t>
      </w:r>
      <w:proofErr w:type="gramEnd"/>
      <w:r>
        <w:rPr>
          <w:rFonts w:ascii="方正小标宋_GBK" w:eastAsia="方正小标宋_GBK" w:hAnsi="方正小标宋_GBK" w:cs="方正小标宋_GBK" w:hint="eastAsia"/>
          <w:color w:val="000000" w:themeColor="text1"/>
          <w:sz w:val="36"/>
          <w:szCs w:val="36"/>
        </w:rPr>
        <w:t>苏州市被征地农民社会保障资金个人分账户余额</w:t>
      </w:r>
    </w:p>
    <w:p w14:paraId="08A521EE" w14:textId="77777777" w:rsidR="00281017" w:rsidRDefault="00000000">
      <w:pPr>
        <w:spacing w:line="560" w:lineRule="exact"/>
        <w:jc w:val="center"/>
        <w:rPr>
          <w:rFonts w:ascii="方正小标宋_GBK" w:eastAsia="方正小标宋_GBK" w:hAnsi="方正小标宋_GBK" w:cs="方正小标宋_GBK" w:hint="eastAsia"/>
          <w:color w:val="000000" w:themeColor="text1"/>
          <w:kern w:val="0"/>
          <w:sz w:val="36"/>
          <w:szCs w:val="36"/>
        </w:rPr>
      </w:pPr>
      <w:r>
        <w:rPr>
          <w:rFonts w:ascii="方正小标宋_GBK" w:eastAsia="方正小标宋_GBK" w:hAnsi="方正小标宋_GBK" w:cs="方正小标宋_GBK" w:hint="eastAsia"/>
          <w:color w:val="000000" w:themeColor="text1"/>
          <w:sz w:val="36"/>
          <w:szCs w:val="36"/>
        </w:rPr>
        <w:t>处理办法</w:t>
      </w:r>
      <w:proofErr w:type="gramStart"/>
      <w:r>
        <w:rPr>
          <w:rFonts w:ascii="方正小标宋_GBK" w:eastAsia="方正小标宋_GBK" w:hAnsi="方正小标宋_GBK" w:cs="方正小标宋_GBK" w:hint="eastAsia"/>
          <w:color w:val="000000" w:themeColor="text1"/>
          <w:sz w:val="36"/>
          <w:szCs w:val="36"/>
        </w:rPr>
        <w:t>》</w:t>
      </w:r>
      <w:proofErr w:type="gramEnd"/>
      <w:r>
        <w:rPr>
          <w:rFonts w:ascii="方正小标宋_GBK" w:eastAsia="方正小标宋_GBK" w:hAnsi="方正小标宋_GBK" w:cs="方正小标宋_GBK" w:hint="eastAsia"/>
          <w:color w:val="000000" w:themeColor="text1"/>
          <w:sz w:val="36"/>
          <w:szCs w:val="36"/>
        </w:rPr>
        <w:t>后评估报告</w:t>
      </w:r>
    </w:p>
    <w:p w14:paraId="421365BA" w14:textId="77777777" w:rsidR="00281017" w:rsidRDefault="00281017">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p>
    <w:p w14:paraId="7D32683C" w14:textId="77777777" w:rsidR="00281017" w:rsidRDefault="00000000">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一、</w:t>
      </w:r>
      <w:r>
        <w:rPr>
          <w:rStyle w:val="a5"/>
          <w:rFonts w:ascii="黑体" w:eastAsia="黑体" w:hAnsi="黑体" w:cs="黑体" w:hint="eastAsia"/>
          <w:b w:val="0"/>
          <w:color w:val="000000" w:themeColor="text1"/>
          <w:sz w:val="32"/>
          <w:szCs w:val="32"/>
        </w:rPr>
        <w:t>评估工作项目基本情况</w:t>
      </w:r>
    </w:p>
    <w:p w14:paraId="11D5B392" w14:textId="77777777" w:rsidR="00281017" w:rsidRDefault="00000000">
      <w:pPr>
        <w:pStyle w:val="a4"/>
        <w:widowControl/>
        <w:spacing w:beforeAutospacing="0" w:afterAutospacing="0" w:line="560" w:lineRule="exact"/>
        <w:ind w:firstLine="42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（一）重大决策背景</w:t>
      </w:r>
    </w:p>
    <w:p w14:paraId="4E569F8F"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近年来，国家和省先后修订了《土地管理法》《土地管理法实施条例》《江苏省土地管理条例》等一系列土地管理法律法规，在土地征收、被征地农民社会保障等方面</w:t>
      </w:r>
      <w:proofErr w:type="gramStart"/>
      <w:r>
        <w:rPr>
          <w:rFonts w:ascii="仿宋_GB2312" w:eastAsia="仿宋_GB2312" w:hAnsi="仿宋_GB2312" w:cs="仿宋_GB2312" w:hint="eastAsia"/>
          <w:color w:val="030303"/>
          <w:kern w:val="0"/>
          <w:sz w:val="32"/>
          <w:szCs w:val="32"/>
          <w:shd w:val="clear" w:color="auto" w:fill="FFFFFF"/>
          <w:lang w:bidi="ar"/>
        </w:rPr>
        <w:t>作出</w:t>
      </w:r>
      <w:proofErr w:type="gramEnd"/>
      <w:r>
        <w:rPr>
          <w:rFonts w:ascii="仿宋_GB2312" w:eastAsia="仿宋_GB2312" w:hAnsi="仿宋_GB2312" w:cs="仿宋_GB2312" w:hint="eastAsia"/>
          <w:color w:val="030303"/>
          <w:kern w:val="0"/>
          <w:sz w:val="32"/>
          <w:szCs w:val="32"/>
          <w:shd w:val="clear" w:color="auto" w:fill="FFFFFF"/>
          <w:lang w:bidi="ar"/>
        </w:rPr>
        <w:t>了新规定。2021年12月30日，省政府印发了《江苏省被征地农民社会保障办法》（苏政发〔2021〕87号，以下简称《省办法》），自2022年3月1日起正式实施，同步废止《江苏省征地补偿和被征地农民社会保障办法》（省政府令第93号）。依据《省办法》规定，由各设区市人民政府统一制定被征地农民社会保障资金个人分账户余额处理办法，并报省人民政府备案。为全面贯彻落实《省办法》，结合苏州实际，按照市委、市政府的决策部署，苏州市人力资源和社会保障局牵头制定《苏州市被征地农民社会保障资金个人分账户余额处理办法》（苏府</w:t>
      </w:r>
      <w:proofErr w:type="gramStart"/>
      <w:r>
        <w:rPr>
          <w:rFonts w:ascii="仿宋_GB2312" w:eastAsia="仿宋_GB2312" w:hAnsi="仿宋_GB2312" w:cs="仿宋_GB2312" w:hint="eastAsia"/>
          <w:color w:val="030303"/>
          <w:kern w:val="0"/>
          <w:sz w:val="32"/>
          <w:szCs w:val="32"/>
          <w:shd w:val="clear" w:color="auto" w:fill="FFFFFF"/>
          <w:lang w:bidi="ar"/>
        </w:rPr>
        <w:t>规</w:t>
      </w:r>
      <w:proofErr w:type="gramEnd"/>
      <w:r>
        <w:rPr>
          <w:rFonts w:ascii="仿宋_GB2312" w:eastAsia="仿宋_GB2312" w:hAnsi="仿宋_GB2312" w:cs="仿宋_GB2312" w:hint="eastAsia"/>
          <w:color w:val="030303"/>
          <w:kern w:val="0"/>
          <w:sz w:val="32"/>
          <w:szCs w:val="32"/>
          <w:shd w:val="clear" w:color="auto" w:fill="FFFFFF"/>
          <w:lang w:bidi="ar"/>
        </w:rPr>
        <w:t>字〔2022〕4号，以下简称《市办法》），自</w:t>
      </w:r>
      <w:r>
        <w:rPr>
          <w:rFonts w:ascii="仿宋_GB2312" w:eastAsia="仿宋_GB2312" w:hAnsi="仿宋_GB2312" w:cs="仿宋_GB2312"/>
          <w:color w:val="030303"/>
          <w:kern w:val="0"/>
          <w:sz w:val="32"/>
          <w:szCs w:val="32"/>
          <w:shd w:val="clear" w:color="auto" w:fill="FFFFFF"/>
          <w:lang w:bidi="ar"/>
        </w:rPr>
        <w:t>2022年9月1日正式实施。</w:t>
      </w:r>
    </w:p>
    <w:p w14:paraId="6C3421A4" w14:textId="77777777" w:rsidR="00281017" w:rsidRDefault="00000000">
      <w:pPr>
        <w:pStyle w:val="a4"/>
        <w:widowControl/>
        <w:spacing w:beforeAutospacing="0" w:afterAutospacing="0" w:line="560" w:lineRule="exact"/>
        <w:ind w:firstLineChars="200" w:firstLine="64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（二）重大决策项目实施概况情况</w:t>
      </w:r>
    </w:p>
    <w:p w14:paraId="26FB719D"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《市办法》正式实施以来，苏州10个市（区）中，张家港市、常熟市、太仓市、昆山市、吴江区实际落实实施，吴中区、相城区、姑苏区、工业园区、高新区辖区内无新增</w:t>
      </w:r>
      <w:r>
        <w:rPr>
          <w:rFonts w:ascii="仿宋_GB2312" w:eastAsia="仿宋_GB2312" w:hAnsi="仿宋_GB2312" w:cs="仿宋_GB2312" w:hint="eastAsia"/>
          <w:color w:val="030303"/>
          <w:kern w:val="0"/>
          <w:sz w:val="32"/>
          <w:szCs w:val="32"/>
          <w:shd w:val="clear" w:color="auto" w:fill="FFFFFF"/>
          <w:lang w:bidi="ar"/>
        </w:rPr>
        <w:lastRenderedPageBreak/>
        <w:t>被征地农民，不涉及</w:t>
      </w:r>
      <w:proofErr w:type="gramStart"/>
      <w:r>
        <w:rPr>
          <w:rFonts w:ascii="仿宋_GB2312" w:eastAsia="仿宋_GB2312" w:hAnsi="仿宋_GB2312" w:cs="仿宋_GB2312" w:hint="eastAsia"/>
          <w:color w:val="030303"/>
          <w:kern w:val="0"/>
          <w:sz w:val="32"/>
          <w:szCs w:val="32"/>
          <w:shd w:val="clear" w:color="auto" w:fill="FFFFFF"/>
          <w:lang w:bidi="ar"/>
        </w:rPr>
        <w:t>征地余额</w:t>
      </w:r>
      <w:proofErr w:type="gramEnd"/>
      <w:r>
        <w:rPr>
          <w:rFonts w:ascii="仿宋_GB2312" w:eastAsia="仿宋_GB2312" w:hAnsi="仿宋_GB2312" w:cs="仿宋_GB2312" w:hint="eastAsia"/>
          <w:color w:val="030303"/>
          <w:kern w:val="0"/>
          <w:sz w:val="32"/>
          <w:szCs w:val="32"/>
          <w:shd w:val="clear" w:color="auto" w:fill="FFFFFF"/>
          <w:lang w:bidi="ar"/>
        </w:rPr>
        <w:t>处理等情况。《市办法》正式实施以来，截至2024年6月，全市实际被征地保障对象累计约26319人次，征地项目和保障对象已全部</w:t>
      </w:r>
      <w:proofErr w:type="gramStart"/>
      <w:r>
        <w:rPr>
          <w:rFonts w:ascii="仿宋_GB2312" w:eastAsia="仿宋_GB2312" w:hAnsi="仿宋_GB2312" w:cs="仿宋_GB2312" w:hint="eastAsia"/>
          <w:color w:val="030303"/>
          <w:kern w:val="0"/>
          <w:sz w:val="32"/>
          <w:szCs w:val="32"/>
          <w:shd w:val="clear" w:color="auto" w:fill="FFFFFF"/>
          <w:lang w:bidi="ar"/>
        </w:rPr>
        <w:t>录入省</w:t>
      </w:r>
      <w:proofErr w:type="gramEnd"/>
      <w:r>
        <w:rPr>
          <w:rFonts w:ascii="仿宋_GB2312" w:eastAsia="仿宋_GB2312" w:hAnsi="仿宋_GB2312" w:cs="仿宋_GB2312" w:hint="eastAsia"/>
          <w:color w:val="030303"/>
          <w:kern w:val="0"/>
          <w:sz w:val="32"/>
          <w:szCs w:val="32"/>
          <w:shd w:val="clear" w:color="auto" w:fill="FFFFFF"/>
          <w:lang w:bidi="ar"/>
        </w:rPr>
        <w:t>系统，被征地农民社会保障资金已全部保障到位，保障待遇水平稳步增长。</w:t>
      </w:r>
    </w:p>
    <w:p w14:paraId="17425035" w14:textId="77777777" w:rsidR="00281017" w:rsidRDefault="00000000">
      <w:pPr>
        <w:pStyle w:val="a4"/>
        <w:widowControl/>
        <w:spacing w:beforeAutospacing="0" w:afterAutospacing="0" w:line="560" w:lineRule="exact"/>
        <w:ind w:firstLineChars="200" w:firstLine="64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（三）重大决策主要成果内容</w:t>
      </w:r>
    </w:p>
    <w:p w14:paraId="660BAF42"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市办法》主要实现以下几方面目标：全面贯彻落实《省办法》文件政策内容，明确了余额处理办法的指导思想、基本原则、实施范围、实施对象、实施标准、实施办法、实施期限等具体内容，落实了《省办法》中的相关要求，细化了</w:t>
      </w:r>
      <w:bookmarkStart w:id="0" w:name="OLE_LINK2"/>
      <w:r>
        <w:rPr>
          <w:rFonts w:ascii="仿宋_GB2312" w:eastAsia="仿宋_GB2312" w:hAnsi="仿宋_GB2312" w:cs="仿宋_GB2312" w:hint="eastAsia"/>
          <w:color w:val="030303"/>
          <w:kern w:val="0"/>
          <w:sz w:val="32"/>
          <w:szCs w:val="32"/>
          <w:shd w:val="clear" w:color="auto" w:fill="FFFFFF"/>
          <w:lang w:bidi="ar"/>
        </w:rPr>
        <w:t>《省办法》</w:t>
      </w:r>
      <w:bookmarkEnd w:id="0"/>
      <w:r>
        <w:rPr>
          <w:rFonts w:ascii="仿宋_GB2312" w:eastAsia="仿宋_GB2312" w:hAnsi="仿宋_GB2312" w:cs="仿宋_GB2312" w:hint="eastAsia"/>
          <w:color w:val="030303"/>
          <w:kern w:val="0"/>
          <w:sz w:val="32"/>
          <w:szCs w:val="32"/>
          <w:shd w:val="clear" w:color="auto" w:fill="FFFFFF"/>
          <w:lang w:bidi="ar"/>
        </w:rPr>
        <w:t>实施后个人分账户余额新概念所需要的新工作措施，为参加城乡居民基本养老保险的被征地农民提供更长久、更高水平的社会保障。</w:t>
      </w:r>
    </w:p>
    <w:p w14:paraId="694F650B" w14:textId="77777777" w:rsidR="00281017" w:rsidRDefault="00000000">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二、评估工作概况</w:t>
      </w:r>
    </w:p>
    <w:p w14:paraId="25E450AE" w14:textId="77777777" w:rsidR="00281017" w:rsidRDefault="00000000">
      <w:pPr>
        <w:pStyle w:val="a4"/>
        <w:widowControl/>
        <w:spacing w:beforeAutospacing="0" w:afterAutospacing="0" w:line="560" w:lineRule="exact"/>
        <w:ind w:firstLineChars="200" w:firstLine="64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（一）评估准备阶段</w:t>
      </w:r>
    </w:p>
    <w:p w14:paraId="42F7FC73"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b/>
          <w:bCs/>
          <w:color w:val="030303"/>
          <w:sz w:val="32"/>
          <w:szCs w:val="32"/>
          <w:shd w:val="clear" w:color="auto" w:fill="FFFFFF"/>
          <w:lang w:bidi="ar"/>
        </w:rPr>
      </w:pPr>
      <w:r>
        <w:rPr>
          <w:rFonts w:ascii="仿宋_GB2312" w:eastAsia="仿宋_GB2312" w:hAnsi="仿宋_GB2312" w:cs="仿宋_GB2312" w:hint="eastAsia"/>
          <w:b/>
          <w:bCs/>
          <w:color w:val="030303"/>
          <w:sz w:val="32"/>
          <w:szCs w:val="32"/>
          <w:shd w:val="clear" w:color="auto" w:fill="FFFFFF"/>
          <w:lang w:bidi="ar"/>
        </w:rPr>
        <w:t>1. 评估启动的背景说明</w:t>
      </w:r>
    </w:p>
    <w:p w14:paraId="3E9CAE6E"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市办法》实施至今已两年，为被征地农民征地后生活提供可持续社会保障支持方面积累了工作经验。按照国务院《重大行政决策程序暂行条例》《江苏省重大行政决策程序实施办法》《江苏省规章立法后评估办法》《苏州市重大行政决策程序规定》《苏州市重大行政决策程序规定实施细则》等有关规定，参照《苏州市规章立法后评估办法》，进行了重大行政决策和规范性文件后评估。</w:t>
      </w:r>
    </w:p>
    <w:p w14:paraId="1BDC85F5" w14:textId="77777777" w:rsidR="00281017" w:rsidRDefault="00000000">
      <w:pPr>
        <w:pStyle w:val="a4"/>
        <w:widowControl/>
        <w:numPr>
          <w:ilvl w:val="0"/>
          <w:numId w:val="1"/>
        </w:numPr>
        <w:spacing w:beforeAutospacing="0" w:afterAutospacing="0" w:line="560" w:lineRule="exact"/>
        <w:ind w:firstLineChars="200" w:firstLine="643"/>
        <w:jc w:val="both"/>
        <w:rPr>
          <w:rFonts w:ascii="仿宋_GB2312" w:eastAsia="仿宋_GB2312" w:hAnsi="仿宋_GB2312" w:cs="仿宋_GB2312" w:hint="eastAsia"/>
          <w:b/>
          <w:bCs/>
          <w:color w:val="030303"/>
          <w:sz w:val="32"/>
          <w:szCs w:val="32"/>
          <w:shd w:val="clear" w:color="auto" w:fill="FFFFFF"/>
          <w:lang w:bidi="ar"/>
        </w:rPr>
      </w:pPr>
      <w:r>
        <w:rPr>
          <w:rFonts w:ascii="仿宋_GB2312" w:eastAsia="仿宋_GB2312" w:hAnsi="仿宋_GB2312" w:cs="仿宋_GB2312" w:hint="eastAsia"/>
          <w:b/>
          <w:bCs/>
          <w:color w:val="030303"/>
          <w:sz w:val="32"/>
          <w:szCs w:val="32"/>
          <w:shd w:val="clear" w:color="auto" w:fill="FFFFFF"/>
          <w:lang w:bidi="ar"/>
        </w:rPr>
        <w:t>成立后评估工作小组</w:t>
      </w:r>
    </w:p>
    <w:p w14:paraId="760BD33B"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lastRenderedPageBreak/>
        <w:t>为保障本次评估活动的有序进行，由苏州市人力资源和社会保障局主导并组织力量，牵头于2024年7月下旬组建评估小组。</w:t>
      </w:r>
    </w:p>
    <w:p w14:paraId="3EB3665C" w14:textId="77777777" w:rsidR="00281017" w:rsidRDefault="00000000">
      <w:pPr>
        <w:pStyle w:val="a4"/>
        <w:widowControl/>
        <w:numPr>
          <w:ilvl w:val="0"/>
          <w:numId w:val="1"/>
        </w:numPr>
        <w:spacing w:beforeAutospacing="0" w:afterAutospacing="0" w:line="560" w:lineRule="exact"/>
        <w:ind w:firstLineChars="200" w:firstLine="643"/>
        <w:jc w:val="both"/>
        <w:rPr>
          <w:rFonts w:ascii="仿宋_GB2312" w:eastAsia="仿宋_GB2312" w:hAnsi="仿宋_GB2312" w:cs="仿宋_GB2312" w:hint="eastAsia"/>
          <w:b/>
          <w:bCs/>
          <w:color w:val="030303"/>
          <w:sz w:val="32"/>
          <w:szCs w:val="32"/>
          <w:shd w:val="clear" w:color="auto" w:fill="FFFFFF"/>
          <w:lang w:bidi="ar"/>
        </w:rPr>
      </w:pPr>
      <w:r>
        <w:rPr>
          <w:rFonts w:ascii="仿宋_GB2312" w:eastAsia="仿宋_GB2312" w:hAnsi="仿宋_GB2312" w:cs="仿宋_GB2312" w:hint="eastAsia"/>
          <w:b/>
          <w:bCs/>
          <w:color w:val="030303"/>
          <w:sz w:val="32"/>
          <w:szCs w:val="32"/>
          <w:shd w:val="clear" w:color="auto" w:fill="FFFFFF"/>
          <w:lang w:bidi="ar"/>
        </w:rPr>
        <w:t>后评估准备工作</w:t>
      </w:r>
    </w:p>
    <w:p w14:paraId="036AAEDE"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苏州市人力资源和社会保障局牵头，会同相关单位处室、后评估课题组讨论制定，于2024年7月29日印发《〈苏州市被征地农民社会保障资金个人分账户余额处理办法〉后评估工作方案》，主要围绕以下几方面进行具体制定：一是前期准备阶段，对该项目进行了解和研究，列出需要评估的主要重点问题；二是调研论证阶段，组织第三</w:t>
      </w:r>
      <w:proofErr w:type="gramStart"/>
      <w:r>
        <w:rPr>
          <w:rFonts w:ascii="仿宋_GB2312" w:eastAsia="仿宋_GB2312" w:hAnsi="仿宋_GB2312" w:cs="仿宋_GB2312" w:hint="eastAsia"/>
          <w:color w:val="030303"/>
          <w:kern w:val="0"/>
          <w:sz w:val="32"/>
          <w:szCs w:val="32"/>
          <w:shd w:val="clear" w:color="auto" w:fill="FFFFFF"/>
          <w:lang w:bidi="ar"/>
        </w:rPr>
        <w:t>方专业</w:t>
      </w:r>
      <w:proofErr w:type="gramEnd"/>
      <w:r>
        <w:rPr>
          <w:rFonts w:ascii="仿宋_GB2312" w:eastAsia="仿宋_GB2312" w:hAnsi="仿宋_GB2312" w:cs="仿宋_GB2312" w:hint="eastAsia"/>
          <w:color w:val="030303"/>
          <w:kern w:val="0"/>
          <w:sz w:val="32"/>
          <w:szCs w:val="32"/>
          <w:shd w:val="clear" w:color="auto" w:fill="FFFFFF"/>
          <w:lang w:bidi="ar"/>
        </w:rPr>
        <w:t>机构开展专题调研并分析汇总所有相关数据；三是报告形成阶段，起草评估报告初稿，经论证后形成正式评估报告。</w:t>
      </w:r>
    </w:p>
    <w:p w14:paraId="2EC32D27"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2024年7月31日至8月15日，后评估工作小组在苏州市人力资源和社会保障局网站发布了《关于开展〈苏州市被征地农民社会保障资金个人分账户余额处理办法〉后评估工作的公告》，公开征求意见和建议。</w:t>
      </w:r>
    </w:p>
    <w:p w14:paraId="10A7F4FB" w14:textId="77777777" w:rsidR="00281017" w:rsidRDefault="00000000">
      <w:pPr>
        <w:pStyle w:val="a4"/>
        <w:widowControl/>
        <w:spacing w:beforeAutospacing="0" w:afterAutospacing="0" w:line="560" w:lineRule="exact"/>
        <w:ind w:firstLineChars="200" w:firstLine="64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（二）评估实施阶段</w:t>
      </w:r>
    </w:p>
    <w:p w14:paraId="166E036C"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本次评估活动运用了立法比较分析、专题调研等方法，对《市办法》的政治性、合法性、合理性、协调性、规范性、可操作性和实效性方面进行全面评估。</w:t>
      </w:r>
    </w:p>
    <w:p w14:paraId="15860F98"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1.立法比较分析。</w:t>
      </w:r>
      <w:r>
        <w:rPr>
          <w:rFonts w:ascii="仿宋_GB2312" w:eastAsia="仿宋_GB2312" w:hAnsi="仿宋_GB2312" w:cs="仿宋_GB2312" w:hint="eastAsia"/>
          <w:color w:val="030303"/>
          <w:kern w:val="0"/>
          <w:sz w:val="32"/>
          <w:szCs w:val="32"/>
          <w:shd w:val="clear" w:color="auto" w:fill="FFFFFF"/>
          <w:lang w:bidi="ar"/>
        </w:rPr>
        <w:t>将《市办法》与国家、省、市等各级制定的法律、法规、规章、规范性文件及政策进行比较，主要、全面和深入地分析《实施意见》内容的政治性和合法性。</w:t>
      </w:r>
    </w:p>
    <w:p w14:paraId="5310E706"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2.书面征求意见。</w:t>
      </w:r>
      <w:r>
        <w:rPr>
          <w:rFonts w:ascii="仿宋_GB2312" w:eastAsia="仿宋_GB2312" w:hAnsi="仿宋_GB2312" w:cs="仿宋_GB2312" w:hint="eastAsia"/>
          <w:color w:val="030303"/>
          <w:kern w:val="0"/>
          <w:sz w:val="32"/>
          <w:szCs w:val="32"/>
          <w:shd w:val="clear" w:color="auto" w:fill="FFFFFF"/>
          <w:lang w:bidi="ar"/>
        </w:rPr>
        <w:t>苏州市人力资源和社会保障局向苏州</w:t>
      </w:r>
      <w:r>
        <w:rPr>
          <w:rFonts w:ascii="仿宋_GB2312" w:eastAsia="仿宋_GB2312" w:hAnsi="仿宋_GB2312" w:cs="仿宋_GB2312" w:hint="eastAsia"/>
          <w:color w:val="030303"/>
          <w:kern w:val="0"/>
          <w:sz w:val="32"/>
          <w:szCs w:val="32"/>
          <w:shd w:val="clear" w:color="auto" w:fill="FFFFFF"/>
          <w:lang w:bidi="ar"/>
        </w:rPr>
        <w:lastRenderedPageBreak/>
        <w:t>10个市（区）的人力资源和社会保障局、财政局、自然资源和规划局等单位就《市办法》的实施情况及实施过程遇到的问题等发函征求意见，为评估结论奠定了坚实的基础。</w:t>
      </w:r>
    </w:p>
    <w:p w14:paraId="4A7BC2D8"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3.召开座谈会。</w:t>
      </w:r>
      <w:r>
        <w:rPr>
          <w:rFonts w:ascii="仿宋_GB2312" w:eastAsia="仿宋_GB2312" w:hAnsi="仿宋_GB2312" w:cs="仿宋_GB2312" w:hint="eastAsia"/>
          <w:color w:val="030303"/>
          <w:kern w:val="0"/>
          <w:sz w:val="32"/>
          <w:szCs w:val="32"/>
          <w:shd w:val="clear" w:color="auto" w:fill="FFFFFF"/>
          <w:lang w:bidi="ar"/>
        </w:rPr>
        <w:t>2024年9月上旬，后评估工作小组会同课题组赴张家港市、常熟市、吴江区召开座谈会，就《市办法》落实情况听取了相关部门、基层组织、农民代表等多方意见，就《市办法》实施效果及问题对策等进行了深入的交流和沟通，基于相关资料汇总与分析形成评估报告。</w:t>
      </w:r>
    </w:p>
    <w:p w14:paraId="08EEC75E"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4.文件检索。</w:t>
      </w:r>
      <w:r>
        <w:rPr>
          <w:rFonts w:ascii="仿宋_GB2312" w:eastAsia="仿宋_GB2312" w:hAnsi="仿宋_GB2312" w:cs="仿宋_GB2312" w:hint="eastAsia"/>
          <w:color w:val="030303"/>
          <w:kern w:val="0"/>
          <w:sz w:val="32"/>
          <w:szCs w:val="32"/>
          <w:shd w:val="clear" w:color="auto" w:fill="FFFFFF"/>
          <w:lang w:bidi="ar"/>
        </w:rPr>
        <w:t>通过广泛搜集相关政策文件、相关资料，将有价值的内容作为评估的参考资料。</w:t>
      </w:r>
    </w:p>
    <w:p w14:paraId="4B630E08" w14:textId="77777777" w:rsidR="00281017" w:rsidRDefault="00000000">
      <w:pPr>
        <w:pStyle w:val="a4"/>
        <w:widowControl/>
        <w:spacing w:beforeAutospacing="0" w:afterAutospacing="0" w:line="560" w:lineRule="exact"/>
        <w:ind w:firstLineChars="200" w:firstLine="64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（三）评估报告形成阶段</w:t>
      </w:r>
    </w:p>
    <w:p w14:paraId="321E1B2E"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在以上工作基础上，后评估课题组形成后评估报告初稿。评估小组对初稿提出相关建议意见，最终形成评估报告的征求意见稿。</w:t>
      </w:r>
    </w:p>
    <w:p w14:paraId="4805781F"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经讨论，苏州市人力资源和社会保障局会同课题组对后评估报告进行进一步修改和完善，最终形成后评估报告正式稿。</w:t>
      </w:r>
    </w:p>
    <w:p w14:paraId="14DE10E2" w14:textId="77777777" w:rsidR="00281017" w:rsidRDefault="00000000">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三、评估工作项目履行基本情况及实施成效</w:t>
      </w:r>
    </w:p>
    <w:p w14:paraId="263A7CDA" w14:textId="77777777" w:rsidR="00281017" w:rsidRDefault="00000000">
      <w:pPr>
        <w:pStyle w:val="a4"/>
        <w:widowControl/>
        <w:spacing w:beforeAutospacing="0" w:afterAutospacing="0" w:line="560" w:lineRule="exact"/>
        <w:ind w:firstLineChars="200" w:firstLine="640"/>
        <w:jc w:val="both"/>
        <w:rPr>
          <w:rStyle w:val="a5"/>
          <w:rFonts w:ascii="黑体" w:eastAsia="黑体" w:hAnsi="黑体" w:cs="黑体"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（一）《市办法》实施成效</w:t>
      </w:r>
    </w:p>
    <w:p w14:paraId="2CD48D5D" w14:textId="77777777" w:rsidR="00281017" w:rsidRDefault="00000000">
      <w:pPr>
        <w:spacing w:line="560" w:lineRule="exact"/>
        <w:ind w:firstLineChars="200" w:firstLine="640"/>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color w:val="030303"/>
          <w:kern w:val="0"/>
          <w:sz w:val="32"/>
          <w:szCs w:val="32"/>
          <w:shd w:val="clear" w:color="auto" w:fill="FFFFFF"/>
          <w:lang w:bidi="ar"/>
        </w:rPr>
        <w:t>《市办法》涉及实际实施的五个市（区）均严格按照《省办法》和《市办法》实施，进行系列落实工作。</w:t>
      </w:r>
    </w:p>
    <w:p w14:paraId="713FFE47"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一是加大政策宣传力度，分层次、</w:t>
      </w:r>
      <w:proofErr w:type="gramStart"/>
      <w:r>
        <w:rPr>
          <w:rFonts w:ascii="仿宋_GB2312" w:eastAsia="仿宋_GB2312" w:hAnsi="仿宋_GB2312" w:cs="仿宋_GB2312" w:hint="eastAsia"/>
          <w:b/>
          <w:bCs/>
          <w:color w:val="030303"/>
          <w:kern w:val="0"/>
          <w:sz w:val="32"/>
          <w:szCs w:val="32"/>
          <w:shd w:val="clear" w:color="auto" w:fill="FFFFFF"/>
          <w:lang w:bidi="ar"/>
        </w:rPr>
        <w:t>分片区</w:t>
      </w:r>
      <w:proofErr w:type="gramEnd"/>
      <w:r>
        <w:rPr>
          <w:rFonts w:ascii="仿宋_GB2312" w:eastAsia="仿宋_GB2312" w:hAnsi="仿宋_GB2312" w:cs="仿宋_GB2312" w:hint="eastAsia"/>
          <w:b/>
          <w:bCs/>
          <w:color w:val="030303"/>
          <w:kern w:val="0"/>
          <w:sz w:val="32"/>
          <w:szCs w:val="32"/>
          <w:shd w:val="clear" w:color="auto" w:fill="FFFFFF"/>
          <w:lang w:bidi="ar"/>
        </w:rPr>
        <w:t>进行政策培训。</w:t>
      </w:r>
      <w:r>
        <w:rPr>
          <w:rFonts w:ascii="仿宋_GB2312" w:eastAsia="仿宋_GB2312" w:hAnsi="仿宋_GB2312" w:cs="仿宋_GB2312" w:hint="eastAsia"/>
          <w:color w:val="030303"/>
          <w:kern w:val="0"/>
          <w:sz w:val="32"/>
          <w:szCs w:val="32"/>
          <w:shd w:val="clear" w:color="auto" w:fill="FFFFFF"/>
          <w:lang w:bidi="ar"/>
        </w:rPr>
        <w:t>通过多渠道下发宣传资料，加强对各镇区、街道征地分管领导、负责同志、经办人员和各村、社区社保专管员的对政策</w:t>
      </w:r>
      <w:r>
        <w:rPr>
          <w:rFonts w:ascii="仿宋_GB2312" w:eastAsia="仿宋_GB2312" w:hAnsi="仿宋_GB2312" w:cs="仿宋_GB2312" w:hint="eastAsia"/>
          <w:color w:val="030303"/>
          <w:kern w:val="0"/>
          <w:sz w:val="32"/>
          <w:szCs w:val="32"/>
          <w:shd w:val="clear" w:color="auto" w:fill="FFFFFF"/>
          <w:lang w:bidi="ar"/>
        </w:rPr>
        <w:lastRenderedPageBreak/>
        <w:t>内容的熟悉度。</w:t>
      </w:r>
    </w:p>
    <w:p w14:paraId="3F0ACD4C"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二是做好新老政策差异分析。</w:t>
      </w:r>
      <w:r>
        <w:rPr>
          <w:rFonts w:ascii="仿宋_GB2312" w:eastAsia="仿宋_GB2312" w:hAnsi="仿宋_GB2312" w:cs="仿宋_GB2312" w:hint="eastAsia"/>
          <w:color w:val="030303"/>
          <w:kern w:val="0"/>
          <w:sz w:val="32"/>
          <w:szCs w:val="32"/>
          <w:shd w:val="clear" w:color="auto" w:fill="FFFFFF"/>
          <w:lang w:bidi="ar"/>
        </w:rPr>
        <w:t>通过会议传达，让</w:t>
      </w:r>
      <w:bookmarkStart w:id="1" w:name="OLE_LINK3"/>
      <w:r>
        <w:rPr>
          <w:rFonts w:ascii="仿宋_GB2312" w:eastAsia="仿宋_GB2312" w:hAnsi="仿宋_GB2312" w:cs="仿宋_GB2312" w:hint="eastAsia"/>
          <w:color w:val="030303"/>
          <w:kern w:val="0"/>
          <w:sz w:val="32"/>
          <w:szCs w:val="32"/>
          <w:shd w:val="clear" w:color="auto" w:fill="FFFFFF"/>
          <w:lang w:bidi="ar"/>
        </w:rPr>
        <w:t>各镇区、街道</w:t>
      </w:r>
      <w:bookmarkEnd w:id="1"/>
      <w:r>
        <w:rPr>
          <w:rFonts w:ascii="仿宋_GB2312" w:eastAsia="仿宋_GB2312" w:hAnsi="仿宋_GB2312" w:cs="仿宋_GB2312" w:hint="eastAsia"/>
          <w:color w:val="030303"/>
          <w:kern w:val="0"/>
          <w:sz w:val="32"/>
          <w:szCs w:val="32"/>
          <w:shd w:val="clear" w:color="auto" w:fill="FFFFFF"/>
          <w:lang w:bidi="ar"/>
        </w:rPr>
        <w:t>分管领导、负责同志对《省办法》和《市办法》有大致、直观的了解，并初步掌握《省办法》和《市办法》与省93号令征地保障政策的区别。组织业务人员认真研读政策，分析新老保障政策的差异，对新政策中关于安置补助费抵缴、居保退休人员和养老年龄段无待遇人员个人分账户余额处理办法等问题进行重点研究，推进新政策精准实施。</w:t>
      </w:r>
    </w:p>
    <w:p w14:paraId="1C72BED8"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三是制定本市贯彻落实文件措施。</w:t>
      </w:r>
      <w:r>
        <w:rPr>
          <w:rFonts w:ascii="仿宋_GB2312" w:eastAsia="仿宋_GB2312" w:hAnsi="仿宋_GB2312" w:cs="仿宋_GB2312" w:hint="eastAsia"/>
          <w:color w:val="030303"/>
          <w:kern w:val="0"/>
          <w:sz w:val="32"/>
          <w:szCs w:val="32"/>
          <w:shd w:val="clear" w:color="auto" w:fill="FFFFFF"/>
          <w:lang w:bidi="ar"/>
        </w:rPr>
        <w:t>各市（区）结合自身实际，</w:t>
      </w:r>
      <w:proofErr w:type="gramStart"/>
      <w:r>
        <w:rPr>
          <w:rFonts w:ascii="仿宋_GB2312" w:eastAsia="仿宋_GB2312" w:hAnsi="仿宋_GB2312" w:cs="仿宋_GB2312" w:hint="eastAsia"/>
          <w:color w:val="030303"/>
          <w:kern w:val="0"/>
          <w:sz w:val="32"/>
          <w:szCs w:val="32"/>
          <w:shd w:val="clear" w:color="auto" w:fill="FFFFFF"/>
          <w:lang w:bidi="ar"/>
        </w:rPr>
        <w:t>明确未</w:t>
      </w:r>
      <w:proofErr w:type="gramEnd"/>
      <w:r>
        <w:rPr>
          <w:rFonts w:ascii="仿宋_GB2312" w:eastAsia="仿宋_GB2312" w:hAnsi="仿宋_GB2312" w:cs="仿宋_GB2312" w:hint="eastAsia"/>
          <w:color w:val="030303"/>
          <w:kern w:val="0"/>
          <w:sz w:val="32"/>
          <w:szCs w:val="32"/>
          <w:shd w:val="clear" w:color="auto" w:fill="FFFFFF"/>
          <w:lang w:bidi="ar"/>
        </w:rPr>
        <w:t>失地/被征地农民保障方式、明确一次性记入城乡居保个人账户的月数、明确社会保障费用筹资标准、明确个人分账户余额操作办法等方面，准确做好新老政策的衔接工作，明确本地化的落实口径。</w:t>
      </w:r>
    </w:p>
    <w:p w14:paraId="79101CF6"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四是分层次、</w:t>
      </w:r>
      <w:proofErr w:type="gramStart"/>
      <w:r>
        <w:rPr>
          <w:rFonts w:ascii="仿宋_GB2312" w:eastAsia="仿宋_GB2312" w:hAnsi="仿宋_GB2312" w:cs="仿宋_GB2312" w:hint="eastAsia"/>
          <w:b/>
          <w:bCs/>
          <w:color w:val="030303"/>
          <w:kern w:val="0"/>
          <w:sz w:val="32"/>
          <w:szCs w:val="32"/>
          <w:shd w:val="clear" w:color="auto" w:fill="FFFFFF"/>
          <w:lang w:bidi="ar"/>
        </w:rPr>
        <w:t>分片区</w:t>
      </w:r>
      <w:proofErr w:type="gramEnd"/>
      <w:r>
        <w:rPr>
          <w:rFonts w:ascii="仿宋_GB2312" w:eastAsia="仿宋_GB2312" w:hAnsi="仿宋_GB2312" w:cs="仿宋_GB2312" w:hint="eastAsia"/>
          <w:b/>
          <w:bCs/>
          <w:color w:val="030303"/>
          <w:kern w:val="0"/>
          <w:sz w:val="32"/>
          <w:szCs w:val="32"/>
          <w:shd w:val="clear" w:color="auto" w:fill="FFFFFF"/>
          <w:lang w:bidi="ar"/>
        </w:rPr>
        <w:t>进行政策培训。</w:t>
      </w:r>
      <w:r>
        <w:rPr>
          <w:rFonts w:ascii="仿宋_GB2312" w:eastAsia="仿宋_GB2312" w:hAnsi="仿宋_GB2312" w:cs="仿宋_GB2312" w:hint="eastAsia"/>
          <w:color w:val="030303"/>
          <w:kern w:val="0"/>
          <w:sz w:val="32"/>
          <w:szCs w:val="32"/>
          <w:shd w:val="clear" w:color="auto" w:fill="FFFFFF"/>
          <w:lang w:bidi="ar"/>
        </w:rPr>
        <w:t>对各镇区、街道经办人员以及村社区社保专管员进行“面对面”培训，确保经办人员和村社区社保专管员熟练掌握政策和经办流程。在具体实施过程中，先期培养一批熟练掌握征地经办业务的经办人员，再通过这些经办人员以点带面，慢慢辐射其他镇区、街道共同实施。</w:t>
      </w:r>
    </w:p>
    <w:p w14:paraId="7A3407EB" w14:textId="77777777" w:rsidR="00281017" w:rsidRDefault="00000000">
      <w:pPr>
        <w:spacing w:line="560" w:lineRule="exact"/>
        <w:ind w:firstLineChars="200" w:firstLine="643"/>
        <w:rPr>
          <w:rFonts w:ascii="仿宋_GB2312" w:eastAsia="仿宋_GB2312" w:hAnsi="仿宋_GB2312" w:cs="仿宋_GB2312" w:hint="eastAsia"/>
          <w:color w:val="030303"/>
          <w:kern w:val="0"/>
          <w:sz w:val="32"/>
          <w:szCs w:val="32"/>
          <w:shd w:val="clear" w:color="auto" w:fill="FFFFFF"/>
          <w:lang w:bidi="ar"/>
        </w:rPr>
      </w:pPr>
      <w:r>
        <w:rPr>
          <w:rFonts w:ascii="仿宋_GB2312" w:eastAsia="仿宋_GB2312" w:hAnsi="仿宋_GB2312" w:cs="仿宋_GB2312" w:hint="eastAsia"/>
          <w:b/>
          <w:bCs/>
          <w:color w:val="030303"/>
          <w:kern w:val="0"/>
          <w:sz w:val="32"/>
          <w:szCs w:val="32"/>
          <w:shd w:val="clear" w:color="auto" w:fill="FFFFFF"/>
          <w:lang w:bidi="ar"/>
        </w:rPr>
        <w:t>五是关注征地后续问题解决。</w:t>
      </w:r>
      <w:r>
        <w:rPr>
          <w:rFonts w:ascii="仿宋_GB2312" w:eastAsia="仿宋_GB2312" w:hAnsi="仿宋_GB2312" w:cs="仿宋_GB2312" w:hint="eastAsia"/>
          <w:color w:val="030303"/>
          <w:kern w:val="0"/>
          <w:sz w:val="32"/>
          <w:szCs w:val="32"/>
          <w:shd w:val="clear" w:color="auto" w:fill="FFFFFF"/>
          <w:lang w:bidi="ar"/>
        </w:rPr>
        <w:t>市（区）、镇（街道）两级的政策与经办部门协同联动、形成合力，共同关注《省办法》和《市办法》实施后产生的问题，确保《省办法》和《市办法》稳步推行。</w:t>
      </w:r>
    </w:p>
    <w:p w14:paraId="3920BAA2" w14:textId="77777777" w:rsidR="00281017" w:rsidRDefault="00000000">
      <w:pPr>
        <w:pStyle w:val="a4"/>
        <w:widowControl/>
        <w:spacing w:beforeAutospacing="0" w:afterAutospacing="0" w:line="560" w:lineRule="exact"/>
        <w:ind w:firstLineChars="200" w:firstLine="640"/>
        <w:jc w:val="both"/>
        <w:rPr>
          <w:rStyle w:val="a5"/>
          <w:rFonts w:ascii="楷体_GB2312" w:eastAsia="楷体_GB2312" w:hAnsi="楷体_GB2312" w:cs="楷体_GB2312" w:hint="eastAsia"/>
          <w:b w:val="0"/>
          <w:color w:val="000000" w:themeColor="text1"/>
          <w:sz w:val="32"/>
          <w:szCs w:val="32"/>
        </w:rPr>
      </w:pPr>
      <w:r>
        <w:rPr>
          <w:rStyle w:val="a5"/>
          <w:rFonts w:ascii="楷体_GB2312" w:eastAsia="楷体_GB2312" w:hAnsi="楷体_GB2312" w:cs="楷体_GB2312" w:hint="eastAsia"/>
          <w:b w:val="0"/>
          <w:color w:val="000000" w:themeColor="text1"/>
          <w:sz w:val="32"/>
          <w:szCs w:val="32"/>
        </w:rPr>
        <w:t>（二）决策利益相关主体的评价意见</w:t>
      </w:r>
    </w:p>
    <w:p w14:paraId="37A4A0DC"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color w:val="030303"/>
          <w:sz w:val="32"/>
          <w:szCs w:val="32"/>
          <w:shd w:val="clear" w:color="auto" w:fill="FFFFFF"/>
          <w:lang w:bidi="ar"/>
        </w:rPr>
        <w:lastRenderedPageBreak/>
        <w:t>2024年9月12日至9月13日，苏州市人力资源和社会保障局牵头，后评估课题组协同，赴张家港市、常熟市、吴江区开展余额处理办法后评估工作座谈，邀请相关部门和基层组织、农民代表召开调研座谈会，听取《市办法》实施情况及问题建议。通过三场专题座谈会，参与人员普遍反映，《市办法》的正式施行和落实对于维护被征地农民合法权益和切实提高被征地农民社会保障水平具有显著积极作用，对于苏州完善养老社会保障体系具有重要意义，应继续实施。</w:t>
      </w:r>
    </w:p>
    <w:p w14:paraId="41BBE0C1" w14:textId="77777777" w:rsidR="00281017" w:rsidRDefault="00000000">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四、综合评估</w:t>
      </w:r>
    </w:p>
    <w:p w14:paraId="5FAA14DE"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color w:val="030303"/>
          <w:sz w:val="32"/>
          <w:szCs w:val="32"/>
          <w:shd w:val="clear" w:color="auto" w:fill="FFFFFF"/>
          <w:lang w:bidi="ar"/>
        </w:rPr>
        <w:t>本部分从政治性、合法性、合理性、协调性、规范性、可操作性和实效性七个方面，对《市办法》展开综合评估，结论如下。</w:t>
      </w:r>
    </w:p>
    <w:p w14:paraId="1AEF70CD"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b/>
          <w:bCs/>
          <w:color w:val="000000" w:themeColor="text1"/>
          <w:sz w:val="32"/>
          <w:szCs w:val="32"/>
        </w:rPr>
        <w:t>从政治性角度来看，</w:t>
      </w:r>
      <w:r>
        <w:rPr>
          <w:rFonts w:ascii="仿宋_GB2312" w:eastAsia="仿宋_GB2312" w:hAnsi="仿宋_GB2312" w:cs="仿宋_GB2312" w:hint="eastAsia"/>
          <w:color w:val="030303"/>
          <w:sz w:val="32"/>
          <w:szCs w:val="32"/>
          <w:shd w:val="clear" w:color="auto" w:fill="FFFFFF"/>
          <w:lang w:bidi="ar"/>
        </w:rPr>
        <w:t>《市办法》严格贯彻落实相关上级政策文件精神，统筹兼顾考虑上级规定和属地实际情况，紧扣维护征地农民合法权益和提高被征地农民社会保障水平宗旨，进行文件制定。</w:t>
      </w:r>
    </w:p>
    <w:p w14:paraId="6EC72E61" w14:textId="77777777" w:rsidR="00281017" w:rsidRDefault="00000000">
      <w:pPr>
        <w:pStyle w:val="a4"/>
        <w:widowControl/>
        <w:spacing w:beforeAutospacing="0" w:afterAutospacing="0" w:line="560" w:lineRule="exact"/>
        <w:ind w:firstLineChars="200" w:firstLine="643"/>
        <w:jc w:val="both"/>
        <w:rPr>
          <w:rStyle w:val="a5"/>
          <w:rFonts w:ascii="仿宋_GB2312" w:eastAsia="仿宋_GB2312" w:hAnsi="仿宋_GB2312" w:cs="仿宋_GB2312" w:hint="eastAsia"/>
          <w:b w:val="0"/>
          <w:color w:val="000000" w:themeColor="text1"/>
          <w:sz w:val="32"/>
          <w:szCs w:val="32"/>
        </w:rPr>
      </w:pPr>
      <w:r>
        <w:rPr>
          <w:rFonts w:ascii="仿宋_GB2312" w:eastAsia="仿宋_GB2312" w:hAnsi="仿宋_GB2312" w:cs="仿宋_GB2312" w:hint="eastAsia"/>
          <w:b/>
          <w:bCs/>
          <w:color w:val="000000" w:themeColor="text1"/>
          <w:sz w:val="32"/>
          <w:szCs w:val="32"/>
        </w:rPr>
        <w:t>从合法性角度来看，</w:t>
      </w:r>
      <w:r>
        <w:rPr>
          <w:rFonts w:ascii="仿宋_GB2312" w:eastAsia="仿宋_GB2312" w:hAnsi="仿宋_GB2312" w:cs="仿宋_GB2312" w:hint="eastAsia"/>
          <w:color w:val="030303"/>
          <w:sz w:val="32"/>
          <w:szCs w:val="32"/>
          <w:shd w:val="clear" w:color="auto" w:fill="FFFFFF"/>
          <w:lang w:bidi="ar"/>
        </w:rPr>
        <w:t>《市办法》严格贯彻相关上位文件精神制定，依据相关上位法要求，责任主体、实施主体合法，决策过程、实施内容等方面均符合相关法律规定，依法依规进行文件制定工作，不存在违反上位法的情况。</w:t>
      </w:r>
    </w:p>
    <w:p w14:paraId="6A4B2B22"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b/>
          <w:bCs/>
          <w:color w:val="000000" w:themeColor="text1"/>
          <w:sz w:val="32"/>
          <w:szCs w:val="32"/>
        </w:rPr>
        <w:t>从合理性角度来看，</w:t>
      </w:r>
      <w:r>
        <w:rPr>
          <w:rFonts w:ascii="仿宋_GB2312" w:eastAsia="仿宋_GB2312" w:hAnsi="仿宋_GB2312" w:cs="仿宋_GB2312" w:hint="eastAsia"/>
          <w:color w:val="030303"/>
          <w:sz w:val="32"/>
          <w:szCs w:val="32"/>
          <w:shd w:val="clear" w:color="auto" w:fill="FFFFFF"/>
          <w:lang w:bidi="ar"/>
        </w:rPr>
        <w:t>《市办法》制定理念先进、规定细致，就苏州被征地农民社会保障的规定充分反映了兼顾了被征地农民的现实利益和长远发展的基本要求，统筹考虑了不</w:t>
      </w:r>
      <w:r>
        <w:rPr>
          <w:rFonts w:ascii="仿宋_GB2312" w:eastAsia="仿宋_GB2312" w:hAnsi="仿宋_GB2312" w:cs="仿宋_GB2312" w:hint="eastAsia"/>
          <w:color w:val="030303"/>
          <w:sz w:val="32"/>
          <w:szCs w:val="32"/>
          <w:shd w:val="clear" w:color="auto" w:fill="FFFFFF"/>
          <w:lang w:bidi="ar"/>
        </w:rPr>
        <w:lastRenderedPageBreak/>
        <w:t>同年度征地以及不同保障对象等有关情况，确保政策平稳衔接，具有合理性。</w:t>
      </w:r>
    </w:p>
    <w:p w14:paraId="60C2A6C5"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b/>
          <w:bCs/>
          <w:color w:val="000000" w:themeColor="text1"/>
          <w:sz w:val="32"/>
          <w:szCs w:val="32"/>
        </w:rPr>
        <w:t>从协调性角度来看，</w:t>
      </w:r>
      <w:r>
        <w:rPr>
          <w:rFonts w:ascii="仿宋_GB2312" w:eastAsia="仿宋_GB2312" w:hAnsi="仿宋_GB2312" w:cs="仿宋_GB2312" w:hint="eastAsia"/>
          <w:color w:val="030303"/>
          <w:sz w:val="32"/>
          <w:szCs w:val="32"/>
          <w:shd w:val="clear" w:color="auto" w:fill="FFFFFF"/>
          <w:lang w:bidi="ar"/>
        </w:rPr>
        <w:t>《市办法》出台以后依法合</w:t>
      </w:r>
      <w:proofErr w:type="gramStart"/>
      <w:r>
        <w:rPr>
          <w:rFonts w:ascii="仿宋_GB2312" w:eastAsia="仿宋_GB2312" w:hAnsi="仿宋_GB2312" w:cs="仿宋_GB2312" w:hint="eastAsia"/>
          <w:color w:val="030303"/>
          <w:sz w:val="32"/>
          <w:szCs w:val="32"/>
          <w:shd w:val="clear" w:color="auto" w:fill="FFFFFF"/>
          <w:lang w:bidi="ar"/>
        </w:rPr>
        <w:t>规</w:t>
      </w:r>
      <w:proofErr w:type="gramEnd"/>
      <w:r>
        <w:rPr>
          <w:rFonts w:ascii="仿宋_GB2312" w:eastAsia="仿宋_GB2312" w:hAnsi="仿宋_GB2312" w:cs="仿宋_GB2312" w:hint="eastAsia"/>
          <w:color w:val="030303"/>
          <w:sz w:val="32"/>
          <w:szCs w:val="32"/>
          <w:shd w:val="clear" w:color="auto" w:fill="FFFFFF"/>
          <w:lang w:bidi="ar"/>
        </w:rPr>
        <w:t>地处理个人分账户余额有效保障被征地农民切身利益，稳妥有效处理了《省办法》实施前后的待遇衔接问题，具有协调性。</w:t>
      </w:r>
    </w:p>
    <w:p w14:paraId="2684B13B"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b/>
          <w:bCs/>
          <w:color w:val="000000" w:themeColor="text1"/>
          <w:sz w:val="32"/>
          <w:szCs w:val="32"/>
        </w:rPr>
        <w:t>从规范性角度来看，</w:t>
      </w:r>
      <w:r>
        <w:rPr>
          <w:rFonts w:ascii="仿宋_GB2312" w:eastAsia="仿宋_GB2312" w:hAnsi="仿宋_GB2312" w:cs="仿宋_GB2312" w:hint="eastAsia"/>
          <w:color w:val="030303"/>
          <w:sz w:val="32"/>
          <w:szCs w:val="32"/>
          <w:shd w:val="clear" w:color="auto" w:fill="FFFFFF"/>
          <w:lang w:bidi="ar"/>
        </w:rPr>
        <w:t>明确实施范围对象，立法技术规范，概念界定清晰，逻辑结构严密，条文表达准确，规章正确、实施有效，具有规范性。</w:t>
      </w:r>
    </w:p>
    <w:p w14:paraId="4B8FD9DB"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b/>
          <w:bCs/>
          <w:color w:val="000000" w:themeColor="text1"/>
          <w:sz w:val="32"/>
          <w:szCs w:val="32"/>
        </w:rPr>
        <w:t>从可操作性角度来看，</w:t>
      </w:r>
      <w:r>
        <w:rPr>
          <w:rFonts w:ascii="仿宋_GB2312" w:eastAsia="仿宋_GB2312" w:hAnsi="仿宋_GB2312" w:cs="仿宋_GB2312" w:hint="eastAsia"/>
          <w:color w:val="030303"/>
          <w:sz w:val="32"/>
          <w:szCs w:val="32"/>
          <w:shd w:val="clear" w:color="auto" w:fill="FFFFFF"/>
          <w:lang w:bidi="ar"/>
        </w:rPr>
        <w:t>《市办法》出台制定了周密、可行的实施方案，并建立了完善的危机预警及应急机制，广泛征求相关单位和个人意见，充分吸纳，并且实施时机成熟，2022年实施至今，经办实施顺畅平稳，具备可操作性。</w:t>
      </w:r>
    </w:p>
    <w:p w14:paraId="68A593F4" w14:textId="77777777" w:rsidR="00281017" w:rsidRDefault="00000000">
      <w:pPr>
        <w:pStyle w:val="a4"/>
        <w:widowControl/>
        <w:spacing w:beforeAutospacing="0" w:afterAutospacing="0" w:line="560" w:lineRule="exact"/>
        <w:ind w:firstLineChars="200" w:firstLine="643"/>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b/>
          <w:bCs/>
          <w:color w:val="000000" w:themeColor="text1"/>
          <w:sz w:val="32"/>
          <w:szCs w:val="32"/>
        </w:rPr>
        <w:t>从实效性角度来看，</w:t>
      </w:r>
      <w:r>
        <w:rPr>
          <w:rFonts w:ascii="仿宋_GB2312" w:eastAsia="仿宋_GB2312" w:hAnsi="仿宋_GB2312" w:cs="仿宋_GB2312" w:hint="eastAsia"/>
          <w:color w:val="030303"/>
          <w:sz w:val="32"/>
          <w:szCs w:val="32"/>
          <w:shd w:val="clear" w:color="auto" w:fill="FFFFFF"/>
          <w:lang w:bidi="ar"/>
        </w:rPr>
        <w:t>《市办法》以人为本，符合实际，具有可操作性，能够有效解决苏州市被征地农民社会保障资金个人分账户余额处理问题，能够被遵守与执行，能够实现预期的立法目的，具有较好的社会效益。</w:t>
      </w:r>
    </w:p>
    <w:p w14:paraId="3329D8F9"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color w:val="030303"/>
          <w:sz w:val="32"/>
          <w:szCs w:val="32"/>
          <w:shd w:val="clear" w:color="auto" w:fill="FFFFFF"/>
          <w:lang w:bidi="ar"/>
        </w:rPr>
        <w:t>综上所述，《市办法》严格贯彻落实相关上级文件精神，内容合法、合理，具有较强的规范性、协调性和可操作性，执行情况平稳、良好，具有显著的社会效应，为苏州被征地农民征地后生活提供可持续性社会保障。《市办法》内容适应实际工作需要，建议继续实施。</w:t>
      </w:r>
    </w:p>
    <w:p w14:paraId="6775A06C" w14:textId="77777777" w:rsidR="00281017" w:rsidRDefault="00000000">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五、存在问题及原因</w:t>
      </w:r>
    </w:p>
    <w:p w14:paraId="26983284"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Style w:val="a5"/>
          <w:rFonts w:ascii="楷体_GB2312" w:eastAsia="楷体_GB2312" w:hAnsi="楷体_GB2312" w:cs="楷体_GB2312" w:hint="eastAsia"/>
          <w:b w:val="0"/>
          <w:color w:val="000000" w:themeColor="text1"/>
          <w:sz w:val="32"/>
          <w:szCs w:val="32"/>
        </w:rPr>
        <w:t>（一）需持续做好被征地农民社会保障标准调整。</w:t>
      </w:r>
      <w:r>
        <w:rPr>
          <w:rFonts w:ascii="仿宋_GB2312" w:eastAsia="仿宋_GB2312" w:hAnsi="仿宋_GB2312" w:cs="仿宋_GB2312" w:hint="eastAsia"/>
          <w:color w:val="030303"/>
          <w:sz w:val="32"/>
          <w:szCs w:val="32"/>
          <w:shd w:val="clear" w:color="auto" w:fill="FFFFFF"/>
          <w:lang w:bidi="ar"/>
        </w:rPr>
        <w:t>《市办法》实施后，不同年度征地并转记居保的人员待遇以及与</w:t>
      </w:r>
      <w:r>
        <w:rPr>
          <w:rFonts w:ascii="仿宋_GB2312" w:eastAsia="仿宋_GB2312" w:hAnsi="仿宋_GB2312" w:cs="仿宋_GB2312" w:hint="eastAsia"/>
          <w:color w:val="030303"/>
          <w:sz w:val="32"/>
          <w:szCs w:val="32"/>
          <w:shd w:val="clear" w:color="auto" w:fill="FFFFFF"/>
          <w:lang w:bidi="ar"/>
        </w:rPr>
        <w:lastRenderedPageBreak/>
        <w:t>原领取养老补助金等人员待遇保持大致平衡、略有增长。受企业职工基本养老保险缴费基数下限年度调整以及城乡居保基础养老金调整等因素影响，被征地农民社会保障相关标准调整工作需持续关注，统筹研究和平衡。</w:t>
      </w:r>
    </w:p>
    <w:p w14:paraId="37D6BF48"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Style w:val="a5"/>
          <w:rFonts w:ascii="楷体_GB2312" w:eastAsia="楷体_GB2312" w:hAnsi="楷体_GB2312" w:cs="楷体_GB2312" w:hint="eastAsia"/>
          <w:b w:val="0"/>
          <w:color w:val="000000" w:themeColor="text1"/>
          <w:sz w:val="32"/>
          <w:szCs w:val="32"/>
        </w:rPr>
        <w:t>（二）需进一步完善业务系统开发和优化服务工作。</w:t>
      </w:r>
      <w:r>
        <w:rPr>
          <w:rFonts w:ascii="仿宋_GB2312" w:eastAsia="仿宋_GB2312" w:hAnsi="仿宋_GB2312" w:cs="仿宋_GB2312" w:hint="eastAsia"/>
          <w:color w:val="030303"/>
          <w:sz w:val="32"/>
          <w:szCs w:val="32"/>
          <w:shd w:val="clear" w:color="auto" w:fill="FFFFFF"/>
          <w:lang w:bidi="ar"/>
        </w:rPr>
        <w:t>在实施过程中，存在部分少数人员业务经办无法操作问题。例如，我市</w:t>
      </w:r>
      <w:r>
        <w:rPr>
          <w:rFonts w:ascii="仿宋_GB2312" w:eastAsia="仿宋_GB2312" w:hAnsi="仿宋_GB2312" w:cs="仿宋_GB2312"/>
          <w:color w:val="030303"/>
          <w:sz w:val="32"/>
          <w:szCs w:val="32"/>
          <w:shd w:val="clear" w:color="auto" w:fill="FFFFFF"/>
          <w:lang w:bidi="ar"/>
        </w:rPr>
        <w:t>5</w:t>
      </w:r>
      <w:r>
        <w:rPr>
          <w:rFonts w:ascii="仿宋_GB2312" w:eastAsia="仿宋_GB2312" w:hAnsi="仿宋_GB2312" w:cs="仿宋_GB2312" w:hint="eastAsia"/>
          <w:color w:val="030303"/>
          <w:sz w:val="32"/>
          <w:szCs w:val="32"/>
          <w:shd w:val="clear" w:color="auto" w:fill="FFFFFF"/>
          <w:lang w:bidi="ar"/>
        </w:rPr>
        <w:t>5-60周岁之间已领取城乡</w:t>
      </w:r>
      <w:r>
        <w:rPr>
          <w:rFonts w:ascii="仿宋_GB2312" w:eastAsia="仿宋_GB2312" w:hAnsi="仿宋_GB2312" w:cs="仿宋_GB2312"/>
          <w:color w:val="030303"/>
          <w:sz w:val="32"/>
          <w:szCs w:val="32"/>
          <w:shd w:val="clear" w:color="auto" w:fill="FFFFFF"/>
          <w:lang w:bidi="ar"/>
        </w:rPr>
        <w:t>居保待遇</w:t>
      </w:r>
      <w:proofErr w:type="gramStart"/>
      <w:r>
        <w:rPr>
          <w:rFonts w:ascii="仿宋_GB2312" w:eastAsia="仿宋_GB2312" w:hAnsi="仿宋_GB2312" w:cs="仿宋_GB2312" w:hint="eastAsia"/>
          <w:color w:val="030303"/>
          <w:sz w:val="32"/>
          <w:szCs w:val="32"/>
          <w:shd w:val="clear" w:color="auto" w:fill="FFFFFF"/>
          <w:lang w:bidi="ar"/>
        </w:rPr>
        <w:t>的女参保人</w:t>
      </w:r>
      <w:proofErr w:type="gramEnd"/>
      <w:r>
        <w:rPr>
          <w:rFonts w:ascii="仿宋_GB2312" w:eastAsia="仿宋_GB2312" w:hAnsi="仿宋_GB2312" w:cs="仿宋_GB2312" w:hint="eastAsia"/>
          <w:color w:val="030303"/>
          <w:sz w:val="32"/>
          <w:szCs w:val="32"/>
          <w:shd w:val="clear" w:color="auto" w:fill="FFFFFF"/>
          <w:lang w:bidi="ar"/>
        </w:rPr>
        <w:t>员</w:t>
      </w:r>
      <w:r>
        <w:rPr>
          <w:rFonts w:ascii="仿宋_GB2312" w:eastAsia="仿宋_GB2312" w:hAnsi="仿宋_GB2312" w:cs="仿宋_GB2312"/>
          <w:color w:val="030303"/>
          <w:sz w:val="32"/>
          <w:szCs w:val="32"/>
          <w:shd w:val="clear" w:color="auto" w:fill="FFFFFF"/>
          <w:lang w:bidi="ar"/>
        </w:rPr>
        <w:t>，</w:t>
      </w:r>
      <w:r>
        <w:rPr>
          <w:rFonts w:ascii="仿宋_GB2312" w:eastAsia="仿宋_GB2312" w:hAnsi="仿宋_GB2312" w:cs="仿宋_GB2312" w:hint="eastAsia"/>
          <w:color w:val="030303"/>
          <w:sz w:val="32"/>
          <w:szCs w:val="32"/>
          <w:shd w:val="clear" w:color="auto" w:fill="FFFFFF"/>
          <w:lang w:bidi="ar"/>
        </w:rPr>
        <w:t>征地后</w:t>
      </w:r>
      <w:r>
        <w:rPr>
          <w:rFonts w:ascii="仿宋_GB2312" w:eastAsia="仿宋_GB2312" w:hAnsi="仿宋_GB2312" w:cs="仿宋_GB2312"/>
          <w:color w:val="030303"/>
          <w:sz w:val="32"/>
          <w:szCs w:val="32"/>
          <w:shd w:val="clear" w:color="auto" w:fill="FFFFFF"/>
          <w:lang w:bidi="ar"/>
        </w:rPr>
        <w:t>省一体化平台</w:t>
      </w:r>
      <w:r>
        <w:rPr>
          <w:rFonts w:ascii="仿宋_GB2312" w:eastAsia="仿宋_GB2312" w:hAnsi="仿宋_GB2312" w:cs="仿宋_GB2312" w:hint="eastAsia"/>
          <w:color w:val="030303"/>
          <w:sz w:val="32"/>
          <w:szCs w:val="32"/>
          <w:shd w:val="clear" w:color="auto" w:fill="FFFFFF"/>
          <w:lang w:bidi="ar"/>
        </w:rPr>
        <w:t>业务系统</w:t>
      </w:r>
      <w:proofErr w:type="gramStart"/>
      <w:r>
        <w:rPr>
          <w:rFonts w:ascii="仿宋_GB2312" w:eastAsia="仿宋_GB2312" w:hAnsi="仿宋_GB2312" w:cs="仿宋_GB2312"/>
          <w:color w:val="030303"/>
          <w:sz w:val="32"/>
          <w:szCs w:val="32"/>
          <w:shd w:val="clear" w:color="auto" w:fill="FFFFFF"/>
          <w:lang w:bidi="ar"/>
        </w:rPr>
        <w:t>无法转记居保</w:t>
      </w:r>
      <w:proofErr w:type="gramEnd"/>
      <w:r>
        <w:rPr>
          <w:rFonts w:ascii="仿宋_GB2312" w:eastAsia="仿宋_GB2312" w:hAnsi="仿宋_GB2312" w:cs="仿宋_GB2312" w:hint="eastAsia"/>
          <w:color w:val="030303"/>
          <w:sz w:val="32"/>
          <w:szCs w:val="32"/>
          <w:shd w:val="clear" w:color="auto" w:fill="FFFFFF"/>
          <w:lang w:bidi="ar"/>
        </w:rPr>
        <w:t>。主要原因</w:t>
      </w:r>
      <w:proofErr w:type="gramStart"/>
      <w:r>
        <w:rPr>
          <w:rFonts w:ascii="仿宋_GB2312" w:eastAsia="仿宋_GB2312" w:hAnsi="仿宋_GB2312" w:cs="仿宋_GB2312" w:hint="eastAsia"/>
          <w:color w:val="030303"/>
          <w:sz w:val="32"/>
          <w:szCs w:val="32"/>
          <w:shd w:val="clear" w:color="auto" w:fill="FFFFFF"/>
          <w:lang w:bidi="ar"/>
        </w:rPr>
        <w:t>在于省</w:t>
      </w:r>
      <w:proofErr w:type="gramEnd"/>
      <w:r>
        <w:rPr>
          <w:rFonts w:ascii="仿宋_GB2312" w:eastAsia="仿宋_GB2312" w:hAnsi="仿宋_GB2312" w:cs="仿宋_GB2312" w:hint="eastAsia"/>
          <w:color w:val="030303"/>
          <w:sz w:val="32"/>
          <w:szCs w:val="32"/>
          <w:shd w:val="clear" w:color="auto" w:fill="FFFFFF"/>
          <w:lang w:bidi="ar"/>
        </w:rPr>
        <w:t>系统对地方政策或业务的衔接兼容问题。</w:t>
      </w:r>
    </w:p>
    <w:p w14:paraId="4474F204"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Style w:val="a5"/>
          <w:rFonts w:ascii="楷体_GB2312" w:eastAsia="楷体_GB2312" w:hAnsi="楷体_GB2312" w:cs="楷体_GB2312" w:hint="eastAsia"/>
          <w:b w:val="0"/>
          <w:color w:val="000000" w:themeColor="text1"/>
          <w:sz w:val="32"/>
          <w:szCs w:val="32"/>
        </w:rPr>
        <w:t>（三）需关注劳动年龄段被征地农民参保意愿问题。</w:t>
      </w:r>
      <w:r>
        <w:rPr>
          <w:rFonts w:ascii="仿宋_GB2312" w:eastAsia="仿宋_GB2312" w:hAnsi="仿宋_GB2312" w:cs="仿宋_GB2312" w:hint="eastAsia"/>
          <w:color w:val="030303"/>
          <w:sz w:val="32"/>
          <w:szCs w:val="32"/>
          <w:shd w:val="clear" w:color="auto" w:fill="FFFFFF"/>
          <w:lang w:bidi="ar"/>
        </w:rPr>
        <w:t>部分劳动年龄段保障对象无参保意愿，本人不</w:t>
      </w:r>
      <w:proofErr w:type="gramStart"/>
      <w:r>
        <w:rPr>
          <w:rFonts w:ascii="仿宋_GB2312" w:eastAsia="仿宋_GB2312" w:hAnsi="仿宋_GB2312" w:cs="仿宋_GB2312" w:hint="eastAsia"/>
          <w:color w:val="030303"/>
          <w:sz w:val="32"/>
          <w:szCs w:val="32"/>
          <w:shd w:val="clear" w:color="auto" w:fill="FFFFFF"/>
          <w:lang w:bidi="ar"/>
        </w:rPr>
        <w:t>作出</w:t>
      </w:r>
      <w:proofErr w:type="gramEnd"/>
      <w:r>
        <w:rPr>
          <w:rFonts w:ascii="仿宋_GB2312" w:eastAsia="仿宋_GB2312" w:hAnsi="仿宋_GB2312" w:cs="仿宋_GB2312" w:hint="eastAsia"/>
          <w:color w:val="030303"/>
          <w:sz w:val="32"/>
          <w:szCs w:val="32"/>
          <w:shd w:val="clear" w:color="auto" w:fill="FFFFFF"/>
          <w:lang w:bidi="ar"/>
        </w:rPr>
        <w:t>分账户资金处理方式选择的，无法有效落实社会保障。</w:t>
      </w:r>
    </w:p>
    <w:p w14:paraId="55755A85" w14:textId="77777777" w:rsidR="00281017" w:rsidRDefault="00000000">
      <w:pPr>
        <w:pStyle w:val="a4"/>
        <w:widowControl/>
        <w:spacing w:beforeAutospacing="0" w:afterAutospacing="0" w:line="560" w:lineRule="exact"/>
        <w:ind w:firstLineChars="200" w:firstLine="640"/>
        <w:jc w:val="both"/>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六、有关建议</w:t>
      </w:r>
    </w:p>
    <w:p w14:paraId="121E7CB5"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color w:val="030303"/>
          <w:sz w:val="32"/>
          <w:szCs w:val="32"/>
          <w:shd w:val="clear" w:color="auto" w:fill="FFFFFF"/>
          <w:lang w:bidi="ar"/>
        </w:rPr>
        <w:t>《市办法》履行了公众参与、专家咨询论证等重大行政决策程序，还通过了市司法局合法性审核，未涉及违反有关法律、法规、上级规定等内容。在实施以来，新老办法衔接较为顺畅平稳，具备可操作性。</w:t>
      </w:r>
    </w:p>
    <w:p w14:paraId="36A2DDCF" w14:textId="77777777" w:rsidR="00281017" w:rsidRDefault="00000000">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r>
        <w:rPr>
          <w:rFonts w:ascii="仿宋_GB2312" w:eastAsia="仿宋_GB2312" w:hAnsi="仿宋_GB2312" w:cs="仿宋_GB2312" w:hint="eastAsia"/>
          <w:color w:val="030303"/>
          <w:sz w:val="32"/>
          <w:szCs w:val="32"/>
          <w:shd w:val="clear" w:color="auto" w:fill="FFFFFF"/>
          <w:lang w:bidi="ar"/>
        </w:rPr>
        <w:t>为进一步提升《市办法》，建议以《市办法》后评估为契机，</w:t>
      </w:r>
      <w:r>
        <w:rPr>
          <w:rFonts w:ascii="仿宋_GB2312" w:eastAsia="仿宋_GB2312" w:hAnsi="仿宋_GB2312" w:cs="仿宋_GB2312" w:hint="eastAsia"/>
          <w:b/>
          <w:bCs/>
          <w:color w:val="030303"/>
          <w:sz w:val="32"/>
          <w:szCs w:val="32"/>
          <w:shd w:val="clear" w:color="auto" w:fill="FFFFFF"/>
          <w:lang w:bidi="ar"/>
        </w:rPr>
        <w:t>一是</w:t>
      </w:r>
      <w:r>
        <w:rPr>
          <w:rFonts w:ascii="仿宋_GB2312" w:eastAsia="仿宋_GB2312" w:hAnsi="仿宋_GB2312" w:cs="仿宋_GB2312" w:hint="eastAsia"/>
          <w:color w:val="030303"/>
          <w:sz w:val="32"/>
          <w:szCs w:val="32"/>
          <w:shd w:val="clear" w:color="auto" w:fill="FFFFFF"/>
          <w:lang w:bidi="ar"/>
        </w:rPr>
        <w:t>统筹做好标准调整工作。根据政策规定，结合我市实际，统筹做好被征地</w:t>
      </w:r>
      <w:proofErr w:type="gramStart"/>
      <w:r>
        <w:rPr>
          <w:rFonts w:ascii="仿宋_GB2312" w:eastAsia="仿宋_GB2312" w:hAnsi="仿宋_GB2312" w:cs="仿宋_GB2312" w:hint="eastAsia"/>
          <w:color w:val="030303"/>
          <w:sz w:val="32"/>
          <w:szCs w:val="32"/>
          <w:shd w:val="clear" w:color="auto" w:fill="FFFFFF"/>
          <w:lang w:bidi="ar"/>
        </w:rPr>
        <w:t>农</w:t>
      </w:r>
      <w:proofErr w:type="gramEnd"/>
      <w:r>
        <w:rPr>
          <w:rFonts w:ascii="仿宋_GB2312" w:eastAsia="仿宋_GB2312" w:hAnsi="仿宋_GB2312" w:cs="仿宋_GB2312" w:hint="eastAsia"/>
          <w:color w:val="030303"/>
          <w:sz w:val="32"/>
          <w:szCs w:val="32"/>
          <w:shd w:val="clear" w:color="auto" w:fill="FFFFFF"/>
          <w:lang w:bidi="ar"/>
        </w:rPr>
        <w:t>农民社会保障标准研究和调整工作。对于工作中出现的问题，及时研究相关处理意见和办法。</w:t>
      </w:r>
      <w:r>
        <w:rPr>
          <w:rFonts w:ascii="仿宋_GB2312" w:eastAsia="仿宋_GB2312" w:hAnsi="仿宋_GB2312" w:cs="仿宋_GB2312" w:hint="eastAsia"/>
          <w:b/>
          <w:bCs/>
          <w:color w:val="030303"/>
          <w:sz w:val="32"/>
          <w:szCs w:val="32"/>
          <w:shd w:val="clear" w:color="auto" w:fill="FFFFFF"/>
          <w:lang w:bidi="ar"/>
        </w:rPr>
        <w:t>二是</w:t>
      </w:r>
      <w:r>
        <w:rPr>
          <w:rFonts w:ascii="仿宋_GB2312" w:eastAsia="仿宋_GB2312" w:hAnsi="仿宋_GB2312" w:cs="仿宋_GB2312" w:hint="eastAsia"/>
          <w:color w:val="030303"/>
          <w:sz w:val="32"/>
          <w:szCs w:val="32"/>
          <w:shd w:val="clear" w:color="auto" w:fill="FFFFFF"/>
          <w:lang w:bidi="ar"/>
        </w:rPr>
        <w:t>不断完善业务系统开发。业务系统要符合和适应政策规定相关要求，对于各地反馈的部分群体操作性问题，积极向上反映，建议尽快通过业务模块完善或者系统开发等方式加</w:t>
      </w:r>
      <w:r>
        <w:rPr>
          <w:rFonts w:ascii="仿宋_GB2312" w:eastAsia="仿宋_GB2312" w:hAnsi="仿宋_GB2312" w:cs="仿宋_GB2312" w:hint="eastAsia"/>
          <w:color w:val="030303"/>
          <w:sz w:val="32"/>
          <w:szCs w:val="32"/>
          <w:shd w:val="clear" w:color="auto" w:fill="FFFFFF"/>
          <w:lang w:bidi="ar"/>
        </w:rPr>
        <w:lastRenderedPageBreak/>
        <w:t>以解决。</w:t>
      </w:r>
      <w:r>
        <w:rPr>
          <w:rFonts w:ascii="仿宋_GB2312" w:eastAsia="仿宋_GB2312" w:hAnsi="仿宋_GB2312" w:cs="仿宋_GB2312" w:hint="eastAsia"/>
          <w:b/>
          <w:bCs/>
          <w:color w:val="030303"/>
          <w:sz w:val="32"/>
          <w:szCs w:val="32"/>
          <w:shd w:val="clear" w:color="auto" w:fill="FFFFFF"/>
          <w:lang w:bidi="ar"/>
        </w:rPr>
        <w:t>三是</w:t>
      </w:r>
      <w:r>
        <w:rPr>
          <w:rFonts w:ascii="仿宋_GB2312" w:eastAsia="仿宋_GB2312" w:hAnsi="仿宋_GB2312" w:cs="仿宋_GB2312" w:hint="eastAsia"/>
          <w:color w:val="030303"/>
          <w:sz w:val="32"/>
          <w:szCs w:val="32"/>
          <w:shd w:val="clear" w:color="auto" w:fill="FFFFFF"/>
          <w:lang w:bidi="ar"/>
        </w:rPr>
        <w:t>持续加强政策宣传。在尊重征地保障对象意愿情况下，积极加强政策宣传，优化业务经办，提升服务效能，鼓励和推动保障对象应保尽保，长远生计有保障。</w:t>
      </w:r>
    </w:p>
    <w:p w14:paraId="21240E91" w14:textId="77777777" w:rsidR="00281017" w:rsidRDefault="00281017">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p>
    <w:p w14:paraId="7F4F8546" w14:textId="77777777" w:rsidR="00281017" w:rsidRDefault="00281017">
      <w:pPr>
        <w:pStyle w:val="a4"/>
        <w:widowControl/>
        <w:spacing w:beforeAutospacing="0" w:afterAutospacing="0" w:line="560" w:lineRule="exact"/>
        <w:ind w:firstLineChars="200" w:firstLine="640"/>
        <w:jc w:val="both"/>
        <w:rPr>
          <w:rFonts w:ascii="仿宋_GB2312" w:eastAsia="仿宋_GB2312" w:hAnsi="仿宋_GB2312" w:cs="仿宋_GB2312" w:hint="eastAsia"/>
          <w:color w:val="030303"/>
          <w:sz w:val="32"/>
          <w:szCs w:val="32"/>
          <w:shd w:val="clear" w:color="auto" w:fill="FFFFFF"/>
          <w:lang w:bidi="ar"/>
        </w:rPr>
      </w:pPr>
    </w:p>
    <w:p w14:paraId="28B8BBE7" w14:textId="77777777" w:rsidR="00281017" w:rsidRDefault="00281017">
      <w:pPr>
        <w:pStyle w:val="a4"/>
        <w:widowControl/>
        <w:spacing w:beforeAutospacing="0" w:afterAutospacing="0" w:line="560" w:lineRule="exact"/>
        <w:ind w:firstLineChars="200" w:firstLine="640"/>
        <w:jc w:val="both"/>
        <w:rPr>
          <w:rFonts w:ascii="仿宋_GB2312" w:eastAsia="仿宋_GB2312" w:hAnsi="仿宋_GB2312" w:cs="仿宋_GB2312" w:hint="eastAsia"/>
          <w:color w:val="000000" w:themeColor="text1"/>
          <w:sz w:val="32"/>
          <w:szCs w:val="32"/>
        </w:rPr>
      </w:pPr>
    </w:p>
    <w:p w14:paraId="520D4EEE" w14:textId="77777777" w:rsidR="00281017" w:rsidRDefault="00281017">
      <w:pPr>
        <w:pStyle w:val="a4"/>
        <w:widowControl/>
        <w:spacing w:beforeAutospacing="0" w:afterAutospacing="0" w:line="560" w:lineRule="exact"/>
        <w:ind w:firstLineChars="200" w:firstLine="640"/>
        <w:jc w:val="both"/>
        <w:rPr>
          <w:rFonts w:ascii="仿宋_GB2312" w:eastAsia="仿宋_GB2312" w:hAnsi="仿宋_GB2312" w:cs="仿宋_GB2312" w:hint="eastAsia"/>
          <w:color w:val="000000" w:themeColor="text1"/>
          <w:sz w:val="32"/>
          <w:szCs w:val="32"/>
        </w:rPr>
      </w:pPr>
    </w:p>
    <w:p w14:paraId="6399DB46" w14:textId="77777777" w:rsidR="00281017" w:rsidRDefault="00281017">
      <w:pPr>
        <w:pStyle w:val="a4"/>
        <w:widowControl/>
        <w:spacing w:beforeAutospacing="0" w:afterAutospacing="0" w:line="560" w:lineRule="exact"/>
        <w:ind w:firstLineChars="200" w:firstLine="640"/>
        <w:jc w:val="both"/>
        <w:rPr>
          <w:rFonts w:ascii="仿宋_GB2312" w:eastAsia="仿宋_GB2312" w:hAnsi="仿宋_GB2312" w:cs="仿宋_GB2312" w:hint="eastAsia"/>
          <w:color w:val="000000" w:themeColor="text1"/>
          <w:sz w:val="32"/>
          <w:szCs w:val="32"/>
        </w:rPr>
      </w:pPr>
    </w:p>
    <w:sectPr w:rsidR="002810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F3FCA" w14:textId="77777777" w:rsidR="003D244E" w:rsidRDefault="003D244E" w:rsidP="007E5F07">
      <w:r>
        <w:separator/>
      </w:r>
    </w:p>
  </w:endnote>
  <w:endnote w:type="continuationSeparator" w:id="0">
    <w:p w14:paraId="212C857F" w14:textId="77777777" w:rsidR="003D244E" w:rsidRDefault="003D244E" w:rsidP="007E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2000000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02D83" w14:textId="77777777" w:rsidR="003D244E" w:rsidRDefault="003D244E" w:rsidP="007E5F07">
      <w:r>
        <w:separator/>
      </w:r>
    </w:p>
  </w:footnote>
  <w:footnote w:type="continuationSeparator" w:id="0">
    <w:p w14:paraId="6678DA50" w14:textId="77777777" w:rsidR="003D244E" w:rsidRDefault="003D244E" w:rsidP="007E5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7E0D03"/>
    <w:multiLevelType w:val="singleLevel"/>
    <w:tmpl w:val="B47E0D03"/>
    <w:lvl w:ilvl="0">
      <w:start w:val="2"/>
      <w:numFmt w:val="decimal"/>
      <w:suff w:val="space"/>
      <w:lvlText w:val="%1."/>
      <w:lvlJc w:val="left"/>
    </w:lvl>
  </w:abstractNum>
  <w:num w:numId="1" w16cid:durableId="133811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QyZjQ0ZmQyNDZhOTAyNmE5OTM5NjZhOTg2M2M5NDAifQ=="/>
  </w:docVars>
  <w:rsids>
    <w:rsidRoot w:val="2CC40005"/>
    <w:rsid w:val="00281017"/>
    <w:rsid w:val="003D244E"/>
    <w:rsid w:val="007E5F07"/>
    <w:rsid w:val="00C2624F"/>
    <w:rsid w:val="1FFAE869"/>
    <w:rsid w:val="2CC40005"/>
    <w:rsid w:val="2EF60B73"/>
    <w:rsid w:val="59B3674E"/>
    <w:rsid w:val="647EB470"/>
    <w:rsid w:val="9F34B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1E5CE"/>
  <w15:docId w15:val="{9979FA6B-96D7-4513-BB83-DDF85945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 w:type="paragraph" w:styleId="a6">
    <w:name w:val="header"/>
    <w:basedOn w:val="a"/>
    <w:link w:val="a7"/>
    <w:rsid w:val="007E5F07"/>
    <w:pPr>
      <w:tabs>
        <w:tab w:val="center" w:pos="4153"/>
        <w:tab w:val="right" w:pos="8306"/>
      </w:tabs>
      <w:snapToGrid w:val="0"/>
      <w:jc w:val="center"/>
    </w:pPr>
    <w:rPr>
      <w:sz w:val="18"/>
      <w:szCs w:val="18"/>
    </w:rPr>
  </w:style>
  <w:style w:type="character" w:customStyle="1" w:styleId="a7">
    <w:name w:val="页眉 字符"/>
    <w:basedOn w:val="a0"/>
    <w:link w:val="a6"/>
    <w:rsid w:val="007E5F0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chenli</dc:creator>
  <cp:lastModifiedBy>309843803@qq.com</cp:lastModifiedBy>
  <cp:revision>2</cp:revision>
  <dcterms:created xsi:type="dcterms:W3CDTF">2024-10-21T13:17:00Z</dcterms:created>
  <dcterms:modified xsi:type="dcterms:W3CDTF">2024-10-23T10:00:00Z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2759BAD8FF524D4B87C4FF2E7529E3E0_11</vt:lpwstr>
  </property>
</Properties>
</file>